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E1D28C" w14:textId="58591DCF" w:rsidR="0083526C" w:rsidRDefault="00FC5747" w:rsidP="00735BF9">
      <w:pPr>
        <w:pStyle w:val="Title"/>
      </w:pPr>
      <w:r>
        <w:t xml:space="preserve">Towards </w:t>
      </w:r>
      <w:r w:rsidRPr="00735BF9">
        <w:t>an ordinary life</w:t>
      </w:r>
    </w:p>
    <w:p w14:paraId="1B571376" w14:textId="71F7AD99" w:rsidR="00F23846" w:rsidRDefault="00FC5747" w:rsidP="00735BF9">
      <w:pPr>
        <w:pStyle w:val="Subtitle"/>
      </w:pPr>
      <w:r>
        <w:t>Annual Report 2015-16</w:t>
      </w:r>
    </w:p>
    <w:p w14:paraId="45CBBD32" w14:textId="77777777" w:rsidR="00F23846" w:rsidRDefault="00F23846">
      <w:pPr>
        <w:spacing w:before="0" w:after="0" w:line="240" w:lineRule="auto"/>
        <w:rPr>
          <w:rFonts w:eastAsiaTheme="minorEastAsia"/>
          <w:color w:val="6B2976" w:themeColor="text2"/>
          <w:sz w:val="22"/>
          <w:szCs w:val="22"/>
        </w:rPr>
      </w:pPr>
      <w:r>
        <w:br w:type="page"/>
      </w:r>
    </w:p>
    <w:p w14:paraId="76925E18" w14:textId="77777777" w:rsidR="00FC5747" w:rsidRPr="00B80D00" w:rsidRDefault="00FC5747" w:rsidP="008068EC">
      <w:pPr>
        <w:pStyle w:val="Heading1"/>
      </w:pPr>
      <w:r w:rsidRPr="00B80D00">
        <w:lastRenderedPageBreak/>
        <w:t>An ordinary life</w:t>
      </w:r>
    </w:p>
    <w:p w14:paraId="6830C2D1" w14:textId="77777777" w:rsidR="00FC5747" w:rsidRDefault="00FC5747" w:rsidP="00673537">
      <w:r>
        <w:t xml:space="preserve">It’s not about having a life better than anyone else in the world, but there are things everyone takes for granted, and it is those things that are ordinary that ought to be ordinary for people with disability too. </w:t>
      </w:r>
    </w:p>
    <w:p w14:paraId="31AEAEC2" w14:textId="77777777" w:rsidR="00FC5747" w:rsidRDefault="00FC5747" w:rsidP="00FC5747">
      <w:pPr>
        <w:rPr>
          <w:rStyle w:val="Bold"/>
        </w:rPr>
      </w:pPr>
      <w:r>
        <w:rPr>
          <w:rStyle w:val="Bold"/>
        </w:rPr>
        <w:t xml:space="preserve">Prof. Rhonda </w:t>
      </w:r>
      <w:proofErr w:type="spellStart"/>
      <w:r>
        <w:rPr>
          <w:rStyle w:val="Bold"/>
        </w:rPr>
        <w:t>Galbally</w:t>
      </w:r>
      <w:proofErr w:type="spellEnd"/>
      <w:r>
        <w:rPr>
          <w:rStyle w:val="Bold"/>
        </w:rPr>
        <w:t xml:space="preserve"> AO, NDIS Independent Advisory Council Principal Member</w:t>
      </w:r>
    </w:p>
    <w:p w14:paraId="1573125C" w14:textId="77777777" w:rsidR="00FC5747" w:rsidRDefault="00FC5747" w:rsidP="00FC5747">
      <w:r>
        <w:t>People with disability that I know, and that I talk to, don’t want anything special. They want to get a job, they want to go to the movies, they want to go to the beach — they just want the same kind of opportunities as everybody else.</w:t>
      </w:r>
    </w:p>
    <w:p w14:paraId="7A940AA4" w14:textId="77777777" w:rsidR="00FC5747" w:rsidRPr="007A52EB" w:rsidRDefault="00FC5747" w:rsidP="007A52EB">
      <w:pPr>
        <w:rPr>
          <w:rStyle w:val="Bold"/>
        </w:rPr>
      </w:pPr>
      <w:r w:rsidRPr="007A52EB">
        <w:rPr>
          <w:rStyle w:val="Bold"/>
        </w:rPr>
        <w:t>Kirsten Deane, NDIA employee and mother of prospective participant, Sophie.</w:t>
      </w:r>
    </w:p>
    <w:p w14:paraId="1C6930C3" w14:textId="355415EF" w:rsidR="00FC5747" w:rsidRPr="00FC5747" w:rsidRDefault="00FC5747" w:rsidP="008068EC">
      <w:pPr>
        <w:pStyle w:val="Heading2"/>
      </w:pPr>
      <w:r w:rsidRPr="00FC5747">
        <w:lastRenderedPageBreak/>
        <w:t>About this report</w:t>
      </w:r>
    </w:p>
    <w:p w14:paraId="0A8073FF" w14:textId="77777777" w:rsidR="00FC5747" w:rsidRPr="00FC5747" w:rsidRDefault="00FC5747" w:rsidP="009B627E">
      <w:pPr>
        <w:rPr>
          <w:lang w:val="en-GB"/>
        </w:rPr>
      </w:pPr>
      <w:r w:rsidRPr="00FC5747">
        <w:rPr>
          <w:lang w:val="en-GB"/>
        </w:rPr>
        <w:t xml:space="preserve">This report is a summary of performance and operations of the National Disability Insurance Agency (‘the Agency’) for the 2015-16 financial year as required by the </w:t>
      </w:r>
      <w:r w:rsidRPr="00263B3E">
        <w:rPr>
          <w:rStyle w:val="Italic"/>
        </w:rPr>
        <w:t>Public Governance, Performance and Accountability Act 2013</w:t>
      </w:r>
      <w:r w:rsidRPr="00FC5747">
        <w:rPr>
          <w:lang w:val="en-GB"/>
        </w:rPr>
        <w:t xml:space="preserve"> (PGPA Act). It presents the key actions, initiatives and key performance indicators around the implementation and management of the National Disability Insurance Scheme (‘the Scheme’) against targets set out in the Department of Social Services 2015-16 Portfolio Budget Statement (PBS), the NDIA 2015-19 Corporate Plan and the NDIA 2013-16 Strategic Plan.</w:t>
      </w:r>
    </w:p>
    <w:p w14:paraId="277ACCC6" w14:textId="2FE45D55" w:rsidR="006F4FA1" w:rsidRDefault="00FC5747" w:rsidP="00FC5747">
      <w:pPr>
        <w:pStyle w:val="Heading1"/>
      </w:pPr>
      <w:bookmarkStart w:id="0" w:name="_Toc464482068"/>
      <w:r w:rsidRPr="00FC5747">
        <w:lastRenderedPageBreak/>
        <w:t>In</w:t>
      </w:r>
      <w:r w:rsidRPr="00521622">
        <w:t>troduc</w:t>
      </w:r>
      <w:r w:rsidRPr="00FC5747">
        <w:t>tion</w:t>
      </w:r>
      <w:bookmarkEnd w:id="0"/>
    </w:p>
    <w:p w14:paraId="6D1E8AEB" w14:textId="322CD829" w:rsidR="00FC5747" w:rsidRPr="00B80D00" w:rsidRDefault="00FC5747" w:rsidP="00B80D00">
      <w:pPr>
        <w:pStyle w:val="Heading2"/>
      </w:pPr>
      <w:bookmarkStart w:id="1" w:name="_Toc464482069"/>
      <w:r w:rsidRPr="00B80D00">
        <w:lastRenderedPageBreak/>
        <w:t>The National Disability Insurance Scheme (NDIS)</w:t>
      </w:r>
      <w:bookmarkEnd w:id="1"/>
    </w:p>
    <w:p w14:paraId="47C45155" w14:textId="77777777" w:rsidR="00FC5747" w:rsidRDefault="00FC5747" w:rsidP="00FC5747">
      <w:pPr>
        <w:pStyle w:val="CalloutlargeCallouts"/>
      </w:pPr>
      <w:r>
        <w:t xml:space="preserve">‘For the first time, Australians will have access to a national scheme that will support people with disability, providing certainty, consistency and equity.’ </w:t>
      </w:r>
    </w:p>
    <w:p w14:paraId="5170FC60" w14:textId="77777777" w:rsidR="00FC5747" w:rsidRDefault="00FC5747" w:rsidP="00FC5747">
      <w:r>
        <w:t>David Bowen, NDIA Chief Executive Officer</w:t>
      </w:r>
    </w:p>
    <w:p w14:paraId="768EC830" w14:textId="047ABD74" w:rsidR="00FC5747" w:rsidRDefault="00FC5747" w:rsidP="00ED26D2">
      <w:pPr>
        <w:pStyle w:val="Heading3"/>
      </w:pPr>
      <w:r>
        <w:t>Why was the Scheme created?</w:t>
      </w:r>
    </w:p>
    <w:p w14:paraId="5EA2C70E" w14:textId="77777777" w:rsidR="00FC5747" w:rsidRDefault="00FC5747" w:rsidP="00FC5747">
      <w:r>
        <w:t xml:space="preserve">Years of study and discussion about the inadequacy of the Australian disability support system culminated in a major report released by the Productivity Commission on 10 August 2011. Based on the report, a decision was made in the same year by the Council of Australian Governments (COAG) to establish a new disability scheme. </w:t>
      </w:r>
    </w:p>
    <w:p w14:paraId="25BB5A66" w14:textId="77777777" w:rsidR="00FC5747" w:rsidRDefault="00FC5747" w:rsidP="00FC5747">
      <w:r>
        <w:t xml:space="preserve">The National Disability Insurance Agency was created in 2013 when the </w:t>
      </w:r>
      <w:r>
        <w:rPr>
          <w:rStyle w:val="Italic"/>
        </w:rPr>
        <w:t>National Disability Insurance Scheme Act 2013</w:t>
      </w:r>
      <w:r>
        <w:t xml:space="preserve"> (NDIS Act) came into force. The Agency was charged with the task of implementing the new Scheme. See page 202 for further details about the enabling legislation and how the Agency meets its legislated objectives.</w:t>
      </w:r>
    </w:p>
    <w:p w14:paraId="1F87CDA1" w14:textId="79BBB43D" w:rsidR="00FC5747" w:rsidRDefault="00FC5747" w:rsidP="00ED26D2">
      <w:pPr>
        <w:pStyle w:val="Heading3"/>
      </w:pPr>
      <w:r>
        <w:t>NDIS – the Scheme</w:t>
      </w:r>
    </w:p>
    <w:p w14:paraId="37E85369" w14:textId="77777777" w:rsidR="00FC5747" w:rsidRDefault="00FC5747" w:rsidP="00FC5747">
      <w:r>
        <w:t xml:space="preserve">The National Disability Insurance Scheme </w:t>
      </w:r>
      <w:r>
        <w:br/>
        <w:t xml:space="preserve">(NDIS or ‘the Scheme’) is a new model of funding and social support for people with disability in Australia. It has been hailed as a once in a lifetime opportunity to change the way disability services are provided, with the aim of providing an ordinary life for its participants, and the most significant reform in Australia since Medicare was introduced. </w:t>
      </w:r>
    </w:p>
    <w:p w14:paraId="66D4A647" w14:textId="77777777" w:rsidR="00FC5747" w:rsidRDefault="00FC5747" w:rsidP="00FC5747">
      <w:r>
        <w:t xml:space="preserve">The Scheme aims to increase the capacity of all Australians to play their part. In particular, providers of mainstream health, education and social services, community </w:t>
      </w:r>
      <w:proofErr w:type="spellStart"/>
      <w:r>
        <w:t>organisations</w:t>
      </w:r>
      <w:proofErr w:type="spellEnd"/>
      <w:r>
        <w:t xml:space="preserve">, businesses and employers will develop new ways of working. It will also positively impact the wider community by highlighting the significant contribution that people with disability make to the nation socially, culturally and economically. </w:t>
      </w:r>
    </w:p>
    <w:p w14:paraId="06FBE869" w14:textId="77777777" w:rsidR="00FC5747" w:rsidRDefault="00FC5747" w:rsidP="00FC5747">
      <w:r>
        <w:t xml:space="preserve">Significantly, the Scheme has a vision to increase the choice and control people with disability have over the supports they require. This will enable their independence and full participation in the broader community. </w:t>
      </w:r>
    </w:p>
    <w:p w14:paraId="090FA5DE" w14:textId="77777777" w:rsidR="00FC5747" w:rsidRDefault="00FC5747" w:rsidP="00FC5747">
      <w:r>
        <w:t>This is described as creating an opportunity for people with disability to live ‘an ordinary life’.</w:t>
      </w:r>
    </w:p>
    <w:p w14:paraId="385ADF16" w14:textId="1C43428C" w:rsidR="00FC5747" w:rsidRDefault="00FC5747" w:rsidP="003513C2">
      <w:pPr>
        <w:pStyle w:val="Heading3"/>
      </w:pPr>
      <w:r>
        <w:t>NDIA – the Agency</w:t>
      </w:r>
    </w:p>
    <w:p w14:paraId="112D13A1" w14:textId="77777777" w:rsidR="00FC5747" w:rsidRDefault="00FC5747" w:rsidP="00FC5747">
      <w:r>
        <w:t xml:space="preserve">The National Disability Insurance Agency (NDIA or ‘the Agency’) is the </w:t>
      </w:r>
      <w:proofErr w:type="spellStart"/>
      <w:r>
        <w:t>organisation</w:t>
      </w:r>
      <w:proofErr w:type="spellEnd"/>
      <w:r>
        <w:t xml:space="preserve"> responsible for implementing the Scheme.  </w:t>
      </w:r>
    </w:p>
    <w:p w14:paraId="7227C660" w14:textId="146F3ABE" w:rsidR="00FC5747" w:rsidRDefault="00FC5747" w:rsidP="003513C2">
      <w:pPr>
        <w:pStyle w:val="Heading3"/>
      </w:pPr>
      <w:r>
        <w:t>Key features of the Scheme</w:t>
      </w:r>
    </w:p>
    <w:p w14:paraId="7AF2422A" w14:textId="5E315BDF" w:rsidR="00FC5747" w:rsidRPr="00740E66" w:rsidRDefault="00FC5747" w:rsidP="00740E66">
      <w:pPr>
        <w:pStyle w:val="BodyBullets"/>
      </w:pPr>
      <w:r w:rsidRPr="00740E66">
        <w:t xml:space="preserve">People with disability are at the </w:t>
      </w:r>
      <w:proofErr w:type="spellStart"/>
      <w:r w:rsidRPr="00740E66">
        <w:t>centre</w:t>
      </w:r>
      <w:proofErr w:type="spellEnd"/>
      <w:r w:rsidRPr="00740E66">
        <w:t xml:space="preserve"> of the Scheme and are involved in the design process.</w:t>
      </w:r>
    </w:p>
    <w:p w14:paraId="3AE137AD" w14:textId="77777777" w:rsidR="00FC5747" w:rsidRPr="00740E66" w:rsidRDefault="00FC5747" w:rsidP="00740E66">
      <w:pPr>
        <w:pStyle w:val="BodyBullets"/>
      </w:pPr>
      <w:r w:rsidRPr="00740E66">
        <w:t>It provides participants with choice and control, over the reasonable and necessary support they receive.</w:t>
      </w:r>
    </w:p>
    <w:p w14:paraId="6D21A968" w14:textId="77777777" w:rsidR="00FC5747" w:rsidRPr="00740E66" w:rsidRDefault="00FC5747" w:rsidP="00740E66">
      <w:pPr>
        <w:pStyle w:val="BodyBullets"/>
      </w:pPr>
      <w:r w:rsidRPr="00740E66">
        <w:lastRenderedPageBreak/>
        <w:t>It aligns the whole of Australia in its design, where previously funding was state and territory led.</w:t>
      </w:r>
    </w:p>
    <w:p w14:paraId="3F6CF883" w14:textId="269E53B4" w:rsidR="00FC5747" w:rsidRPr="00740E66" w:rsidRDefault="00FC5747" w:rsidP="00740E66">
      <w:pPr>
        <w:pStyle w:val="BodyBullets"/>
      </w:pPr>
      <w:r w:rsidRPr="00740E66">
        <w:t>It is based on insurance principles, which fundamentally mean planning early, for supports likely to be required over a whole lifetime.</w:t>
      </w:r>
    </w:p>
    <w:p w14:paraId="52868BA3" w14:textId="77777777" w:rsidR="00FC5747" w:rsidRPr="00740E66" w:rsidRDefault="00FC5747" w:rsidP="00740E66">
      <w:pPr>
        <w:pStyle w:val="BodyBullets"/>
      </w:pPr>
      <w:r w:rsidRPr="00740E66">
        <w:t>It uses the planning process to fund supports based on individual need, rather than a one-size-fits-all fixed dollar amount.</w:t>
      </w:r>
    </w:p>
    <w:p w14:paraId="0EA7C216" w14:textId="55167631" w:rsidR="00FC5747" w:rsidRDefault="00FC5747" w:rsidP="00740E66">
      <w:pPr>
        <w:pStyle w:val="BodyBullets"/>
      </w:pPr>
      <w:r w:rsidRPr="00740E66">
        <w:t>It is designed to continually evolve and grow as lessons are learned across the Scheme and as advances are made in areas such as technology.</w:t>
      </w:r>
    </w:p>
    <w:p w14:paraId="408F1CC9" w14:textId="3E9B7FF2" w:rsidR="00A91517" w:rsidRDefault="00A91517" w:rsidP="00A91517">
      <w:pPr>
        <w:pStyle w:val="Heading3"/>
      </w:pPr>
      <w:r>
        <w:t>Where is the Scheme now?</w:t>
      </w:r>
    </w:p>
    <w:p w14:paraId="4D5033D8" w14:textId="77777777" w:rsidR="00A91517" w:rsidRDefault="00A91517" w:rsidP="00A91517">
      <w:r>
        <w:t xml:space="preserve">From 1 July 2016, the full rollout of the Scheme will commence with an anticipated target of 460 000 people participating in the Scheme by 2019. </w:t>
      </w:r>
    </w:p>
    <w:p w14:paraId="18E1C3BB" w14:textId="77777777" w:rsidR="00A91517" w:rsidRDefault="00A91517" w:rsidP="00A91517">
      <w:r>
        <w:t>A three-year trial of the Scheme commenced in 2013. Seven selected sites were launched across Australia, and with the addition of two early transition sites, the Scheme has reached 35 695 participants by July 2016.</w:t>
      </w:r>
    </w:p>
    <w:p w14:paraId="281EA3BE" w14:textId="77777777" w:rsidR="00A91517" w:rsidRDefault="00A91517" w:rsidP="00A91517">
      <w:r>
        <w:t>From 2020 and beyond, the Scheme will continue to support existing participants and bring on any new participants.</w:t>
      </w:r>
    </w:p>
    <w:p w14:paraId="4E7E13D3" w14:textId="606952CF" w:rsidR="002C10CC" w:rsidRDefault="002C10CC" w:rsidP="00D044BC">
      <w:pPr>
        <w:pStyle w:val="Heading2"/>
      </w:pPr>
      <w:bookmarkStart w:id="2" w:name="_Toc464482070"/>
      <w:r>
        <w:lastRenderedPageBreak/>
        <w:t>A year of achievement</w:t>
      </w:r>
      <w:bookmarkEnd w:id="2"/>
      <w:r>
        <w:t xml:space="preserve"> </w:t>
      </w:r>
    </w:p>
    <w:p w14:paraId="55CB597F" w14:textId="77777777" w:rsidR="002C10CC" w:rsidRDefault="002C10CC" w:rsidP="003070FE">
      <w:pPr>
        <w:pStyle w:val="IntroPara"/>
      </w:pPr>
      <w:r>
        <w:t xml:space="preserve">This is the third year of the Scheme which now moves from a three-year trial phase to full Scheme rollout from 1 July 2016. </w:t>
      </w:r>
    </w:p>
    <w:p w14:paraId="753540CA" w14:textId="77777777" w:rsidR="002C10CC" w:rsidRDefault="002C10CC" w:rsidP="00AB6B37">
      <w:r>
        <w:t xml:space="preserve">The following information highlights many of the achievements made over the course of 2015-16 as the Agency drives the Scheme to transition. Many of these activities are discussed further across this report. In particular, Section 1 illustrates some of the strategic background </w:t>
      </w:r>
      <w:r>
        <w:br/>
        <w:t>to activities and the remaining sections describe the context of the activities against goals and how performance is measured.</w:t>
      </w:r>
    </w:p>
    <w:p w14:paraId="1703758E" w14:textId="77777777" w:rsidR="002C10CC" w:rsidRDefault="002C10CC" w:rsidP="00AB6B37">
      <w:r>
        <w:t>Participant satisfaction with the Scheme has remained very high and the Agency is seeing real evidence of alignment of services and supports in trial sites across Australia.</w:t>
      </w:r>
    </w:p>
    <w:p w14:paraId="6B4888EA" w14:textId="77777777" w:rsidR="002C10CC" w:rsidRDefault="002C10CC" w:rsidP="00AB6B37">
      <w:r>
        <w:t>Coupled with interest from across the world during the trial phase, especially in areas such as technology, the Scheme provides an opportunity for innovation that leverages international expertise and resources.</w:t>
      </w:r>
    </w:p>
    <w:p w14:paraId="58B96607" w14:textId="77777777" w:rsidR="002C10CC" w:rsidRDefault="002C10CC" w:rsidP="00AB6B37">
      <w:r>
        <w:t xml:space="preserve">The final year of trial has provided a diversity of lessons for the Agency and the people it will support. The Agency has been listening and learning from trial to build and deliver the Scheme, to create effective relationships with participants and stronger connections with the community. It follows a cyclical process of continual learning. Further refinements will naturally occur as the Scheme evolves, demonstrating of the fundamental principles </w:t>
      </w:r>
      <w:r>
        <w:br/>
        <w:t xml:space="preserve">that underpin the Scheme to meet the needs </w:t>
      </w:r>
      <w:r>
        <w:br/>
        <w:t xml:space="preserve">of people with disability. </w:t>
      </w:r>
    </w:p>
    <w:p w14:paraId="6719E325" w14:textId="36529C64" w:rsidR="00AB6B37" w:rsidRDefault="00AB6B37" w:rsidP="00AB6B37">
      <w:pPr>
        <w:pStyle w:val="Heading3"/>
      </w:pPr>
      <w:r w:rsidRPr="002C10CC">
        <w:t xml:space="preserve">Independent reviews of the Agency’s performance </w:t>
      </w:r>
    </w:p>
    <w:p w14:paraId="77AF144A" w14:textId="77777777" w:rsidR="00575182" w:rsidRDefault="00575182" w:rsidP="00575182">
      <w:pPr>
        <w:pStyle w:val="BodyCopy"/>
      </w:pPr>
      <w:r>
        <w:t>The Agency is reflective and constantly evaluates its performance using every task and interaction as an opportunity to learn and continually improve its performance.</w:t>
      </w:r>
    </w:p>
    <w:p w14:paraId="2F204A55" w14:textId="6A842BB6" w:rsidR="00575182" w:rsidRDefault="00575182" w:rsidP="00575182">
      <w:pPr>
        <w:pStyle w:val="BodyCopy"/>
      </w:pPr>
      <w:r>
        <w:t xml:space="preserve">A review conducted by Graeme Innes AM and Amanda Lawrie Jones, Attract Support Retain: Policy for the employment of people with disabilities, </w:t>
      </w:r>
      <w:proofErr w:type="spellStart"/>
      <w:r>
        <w:t>analysed</w:t>
      </w:r>
      <w:proofErr w:type="spellEnd"/>
      <w:r>
        <w:t xml:space="preserve"> the Agency’s record for employment of people with disability. </w:t>
      </w:r>
    </w:p>
    <w:p w14:paraId="04D05E32" w14:textId="77777777" w:rsidR="00575182" w:rsidRDefault="00575182" w:rsidP="00575182">
      <w:pPr>
        <w:pStyle w:val="BodyCopy"/>
      </w:pPr>
      <w:r>
        <w:t xml:space="preserve">It provided recommendations on how to </w:t>
      </w:r>
      <w:proofErr w:type="spellStart"/>
      <w:r>
        <w:t>maximise</w:t>
      </w:r>
      <w:proofErr w:type="spellEnd"/>
      <w:r>
        <w:t xml:space="preserve"> the effectiveness of the Agency’s Attract Support Retain policy so that the successful record of employment of people with disability could be maintained and increased.</w:t>
      </w:r>
    </w:p>
    <w:p w14:paraId="5F129639" w14:textId="30D07312" w:rsidR="00AB6B37" w:rsidRDefault="00575182" w:rsidP="003070FE">
      <w:pPr>
        <w:pStyle w:val="BodyCopy"/>
      </w:pPr>
      <w:r>
        <w:t xml:space="preserve">As the Agency continues to learn and develop, it remains open to all feedback and welcomes any future reviews that will inform the Agency’s delivery of the Scheme. </w:t>
      </w:r>
    </w:p>
    <w:p w14:paraId="5B8BFF78" w14:textId="1D9C5677" w:rsidR="002C10CC" w:rsidRDefault="002C10CC" w:rsidP="00BE25DA">
      <w:pPr>
        <w:pStyle w:val="Heading2"/>
      </w:pPr>
      <w:bookmarkStart w:id="3" w:name="_Toc464482071"/>
      <w:r>
        <w:lastRenderedPageBreak/>
        <w:t>Year three trial highlights</w:t>
      </w:r>
      <w:bookmarkEnd w:id="3"/>
    </w:p>
    <w:p w14:paraId="24D49223" w14:textId="47DB3E8C" w:rsidR="002C10CC" w:rsidRDefault="002C10CC" w:rsidP="003070FE">
      <w:pPr>
        <w:pStyle w:val="IntroPara"/>
      </w:pPr>
      <w:r>
        <w:t>The following information is a summary of activities and highlights across the Scheme for the final year of trial (1 July 2015 – 30 June 2016).</w:t>
      </w:r>
    </w:p>
    <w:p w14:paraId="09F6FFA4" w14:textId="77777777" w:rsidR="002C10CC" w:rsidRDefault="002C10CC" w:rsidP="00C14882">
      <w:r>
        <w:t>Over the year, the Agency has followed the ‘</w:t>
      </w:r>
      <w:r>
        <w:rPr>
          <w:rStyle w:val="Bold"/>
        </w:rPr>
        <w:t>Listen Learn Build Deliver</w:t>
      </w:r>
      <w:r>
        <w:t>’ approach to the trial and this report provides insight into activities that fall under each of those areas.</w:t>
      </w:r>
    </w:p>
    <w:p w14:paraId="63B9EF86" w14:textId="1593E155" w:rsidR="002C10CC" w:rsidRDefault="002C10CC" w:rsidP="00471B40">
      <w:pPr>
        <w:pStyle w:val="Heading3"/>
      </w:pPr>
      <w:r>
        <w:t>Listening</w:t>
      </w:r>
    </w:p>
    <w:p w14:paraId="6F26C350" w14:textId="77777777" w:rsidR="002C10CC" w:rsidRDefault="002C10CC" w:rsidP="002C10CC">
      <w:pPr>
        <w:pStyle w:val="BodyBullets"/>
      </w:pPr>
      <w:r>
        <w:t xml:space="preserve">to participants, </w:t>
      </w:r>
      <w:proofErr w:type="spellStart"/>
      <w:r>
        <w:t>carers</w:t>
      </w:r>
      <w:proofErr w:type="spellEnd"/>
      <w:r>
        <w:t xml:space="preserve"> and families, in the continuous co-design of the Scheme</w:t>
      </w:r>
    </w:p>
    <w:p w14:paraId="3D1FD9E3" w14:textId="77777777" w:rsidR="002C10CC" w:rsidRDefault="002C10CC" w:rsidP="002C10CC">
      <w:pPr>
        <w:pStyle w:val="BodyBullets"/>
      </w:pPr>
      <w:r>
        <w:t>to strong input from the Independent Advisory Council (IAC or the Council), particularly in areas of capacity building, safeguards and vulnerable groups</w:t>
      </w:r>
    </w:p>
    <w:p w14:paraId="40A8C65A" w14:textId="77777777" w:rsidR="00471B40" w:rsidRDefault="002C10CC" w:rsidP="0083526C">
      <w:pPr>
        <w:pStyle w:val="BodyBullets"/>
      </w:pPr>
      <w:r>
        <w:t>to evidence-based input from expert panels, such as the National Mental Health Sector Reference Group (MHSRG) and the Intellectual Disability Reference Group (IDRG)</w:t>
      </w:r>
      <w:r w:rsidR="00471B40">
        <w:t xml:space="preserve"> </w:t>
      </w:r>
    </w:p>
    <w:p w14:paraId="54EB2FCE" w14:textId="25CE4942" w:rsidR="002C10CC" w:rsidRDefault="002C10CC" w:rsidP="0083526C">
      <w:pPr>
        <w:pStyle w:val="BodyBullets"/>
      </w:pPr>
      <w:r>
        <w:t>to Agency staff with disability or direct caring responsibility on the ground, through the Staff Participant Network (SPN).</w:t>
      </w:r>
    </w:p>
    <w:p w14:paraId="5D95D3EA" w14:textId="7B97BDE5" w:rsidR="002C10CC" w:rsidRDefault="002C10CC" w:rsidP="00820012">
      <w:pPr>
        <w:pStyle w:val="Heading3"/>
      </w:pPr>
      <w:r>
        <w:t>Learning</w:t>
      </w:r>
    </w:p>
    <w:p w14:paraId="57EFAF4B" w14:textId="77777777" w:rsidR="002C10CC" w:rsidRDefault="002C10CC" w:rsidP="00820012">
      <w:pPr>
        <w:pStyle w:val="BodyBullets"/>
      </w:pPr>
      <w:r>
        <w:t>from seven trial sites who provided vital lessons to the Scheme</w:t>
      </w:r>
    </w:p>
    <w:p w14:paraId="2124B0AE" w14:textId="77777777" w:rsidR="002C10CC" w:rsidRDefault="002C10CC" w:rsidP="00820012">
      <w:pPr>
        <w:pStyle w:val="BodyBullets"/>
      </w:pPr>
      <w:r>
        <w:t>from two regions that signed agreements for an early transition to full Scheme based on trial successes</w:t>
      </w:r>
    </w:p>
    <w:p w14:paraId="179AD449" w14:textId="77777777" w:rsidR="002C10CC" w:rsidRDefault="002C10CC" w:rsidP="00820012">
      <w:pPr>
        <w:pStyle w:val="BodyBullets"/>
      </w:pPr>
      <w:r>
        <w:t>from data collection carried out by the Agency’s actuarial team who have started building a significant knowledge base, with three years’ worth of information</w:t>
      </w:r>
    </w:p>
    <w:p w14:paraId="29CEBC87" w14:textId="40FB65DD" w:rsidR="002C10CC" w:rsidRDefault="002C10CC" w:rsidP="00820012">
      <w:pPr>
        <w:pStyle w:val="BodyBullets"/>
      </w:pPr>
      <w:r>
        <w:t xml:space="preserve">from people with additional support needs, enabling development of strategies for people </w:t>
      </w:r>
    </w:p>
    <w:p w14:paraId="7B234FDF" w14:textId="77777777" w:rsidR="002C10CC" w:rsidRDefault="002C10CC" w:rsidP="00820012">
      <w:pPr>
        <w:pStyle w:val="BodyBullets"/>
      </w:pPr>
      <w:r>
        <w:t>from rural and remote areas</w:t>
      </w:r>
    </w:p>
    <w:p w14:paraId="14BC0D22" w14:textId="77777777" w:rsidR="002C10CC" w:rsidRDefault="002C10CC" w:rsidP="00820012">
      <w:pPr>
        <w:pStyle w:val="BodyBullets"/>
      </w:pPr>
      <w:r>
        <w:t>from Culturally and Linguistically Diverse (CALD) backgrounds</w:t>
      </w:r>
    </w:p>
    <w:p w14:paraId="0D509338" w14:textId="77777777" w:rsidR="002C10CC" w:rsidRDefault="002C10CC" w:rsidP="00820012">
      <w:pPr>
        <w:pStyle w:val="BodyBullets"/>
      </w:pPr>
      <w:r>
        <w:t>from Aboriginal and/or Torres Strait Islander communities</w:t>
      </w:r>
    </w:p>
    <w:p w14:paraId="672C71DB" w14:textId="77777777" w:rsidR="002C10CC" w:rsidRDefault="002C10CC" w:rsidP="00820012">
      <w:pPr>
        <w:pStyle w:val="BodyBullets"/>
      </w:pPr>
      <w:r>
        <w:t>from people identified with mental health needs.</w:t>
      </w:r>
    </w:p>
    <w:p w14:paraId="2F18C656" w14:textId="332E595B" w:rsidR="002C10CC" w:rsidRDefault="002C10CC" w:rsidP="00820012">
      <w:pPr>
        <w:pStyle w:val="Heading3"/>
      </w:pPr>
      <w:r>
        <w:t>Building</w:t>
      </w:r>
    </w:p>
    <w:p w14:paraId="647D9AAC" w14:textId="77777777" w:rsidR="002C10CC" w:rsidRDefault="002C10CC" w:rsidP="002C10CC">
      <w:pPr>
        <w:pStyle w:val="BodyBullets"/>
      </w:pPr>
      <w:r>
        <w:t>a more refined catalogue of supports renamed the NDIS Price Guide</w:t>
      </w:r>
    </w:p>
    <w:p w14:paraId="41A392A0" w14:textId="77777777" w:rsidR="002C10CC" w:rsidRDefault="002C10CC" w:rsidP="002C10CC">
      <w:pPr>
        <w:pStyle w:val="BodyBullets"/>
      </w:pPr>
      <w:r>
        <w:t>the basis of reference packages to benchmark equity in support to match equity of need</w:t>
      </w:r>
    </w:p>
    <w:p w14:paraId="3B3CCB4F" w14:textId="77777777" w:rsidR="002C10CC" w:rsidRDefault="002C10CC" w:rsidP="002C10CC">
      <w:pPr>
        <w:pStyle w:val="BodyBullets"/>
      </w:pPr>
      <w:r>
        <w:t xml:space="preserve">an Outcomes Framework, developed to measure the Scheme’s success based on feedback and data from participants, families and </w:t>
      </w:r>
      <w:proofErr w:type="spellStart"/>
      <w:r>
        <w:t>carers</w:t>
      </w:r>
      <w:proofErr w:type="spellEnd"/>
    </w:p>
    <w:p w14:paraId="26505E9B" w14:textId="77777777" w:rsidR="002C10CC" w:rsidRDefault="002C10CC" w:rsidP="002C10CC">
      <w:pPr>
        <w:pStyle w:val="BodyBullets"/>
      </w:pPr>
      <w:r>
        <w:lastRenderedPageBreak/>
        <w:t>market growth, accelerating services to become increasingly more confident in the Scheme through the trial phase, including international interest in some areas</w:t>
      </w:r>
    </w:p>
    <w:p w14:paraId="744A3008" w14:textId="77777777" w:rsidR="002C10CC" w:rsidRDefault="002C10CC" w:rsidP="002C10CC">
      <w:pPr>
        <w:pStyle w:val="BodyBullets"/>
      </w:pPr>
      <w:r>
        <w:t>market confidence with the development of market position statements in many states and territories</w:t>
      </w:r>
    </w:p>
    <w:p w14:paraId="5D2186EF" w14:textId="77777777" w:rsidR="002C10CC" w:rsidRDefault="002C10CC" w:rsidP="002C10CC">
      <w:pPr>
        <w:pStyle w:val="BodyBullets"/>
      </w:pPr>
      <w:r>
        <w:t xml:space="preserve">on new technology with the development of participant and provider portals for release from 1 July 2016 </w:t>
      </w:r>
    </w:p>
    <w:p w14:paraId="6A426B8B" w14:textId="77777777" w:rsidR="002C10CC" w:rsidRDefault="002C10CC" w:rsidP="002C10CC">
      <w:pPr>
        <w:pStyle w:val="BodyBullets"/>
      </w:pPr>
      <w:r>
        <w:t>a strong actuarial culture, stimulating a deeper understanding across the sector of ‘evidence-based need’</w:t>
      </w:r>
    </w:p>
    <w:p w14:paraId="1124A2D8" w14:textId="77777777" w:rsidR="002C10CC" w:rsidRDefault="002C10CC" w:rsidP="002C10CC">
      <w:pPr>
        <w:pStyle w:val="BodyBullets"/>
      </w:pPr>
      <w:r>
        <w:t>the Service Delivery Operating Model (SDOM) which was refined in 2015 and will continue to guide how the ‘full Scheme’ rolls out from July 2016</w:t>
      </w:r>
    </w:p>
    <w:p w14:paraId="4587E8CC" w14:textId="77777777" w:rsidR="002C10CC" w:rsidRDefault="002C10CC" w:rsidP="00820012">
      <w:pPr>
        <w:pStyle w:val="BodyBullets"/>
      </w:pPr>
      <w:r>
        <w:t xml:space="preserve">an Information, Linkages and Capacity building (ILC) program for release in August 2016 </w:t>
      </w:r>
    </w:p>
    <w:p w14:paraId="09FABA05" w14:textId="77777777" w:rsidR="002C10CC" w:rsidRDefault="002C10CC" w:rsidP="00820012">
      <w:pPr>
        <w:pStyle w:val="BodyBullets-last"/>
      </w:pPr>
      <w:r>
        <w:t xml:space="preserve">capacity in a number of areas, including </w:t>
      </w:r>
      <w:r w:rsidRPr="00820012">
        <w:t>in individuals</w:t>
      </w:r>
      <w:r>
        <w:t>, families, peer support networks, communities and service providers.</w:t>
      </w:r>
    </w:p>
    <w:p w14:paraId="72BF1879" w14:textId="62C38DB9" w:rsidR="002C10CC" w:rsidRDefault="002C10CC" w:rsidP="00820012">
      <w:pPr>
        <w:pStyle w:val="Heading3"/>
      </w:pPr>
      <w:r>
        <w:t>Delivering</w:t>
      </w:r>
    </w:p>
    <w:p w14:paraId="281ABED0" w14:textId="77777777" w:rsidR="002C10CC" w:rsidRDefault="002C10CC" w:rsidP="002C10CC">
      <w:pPr>
        <w:pStyle w:val="BodyBullets"/>
      </w:pPr>
      <w:r>
        <w:t>ongoing public outreach and education via cutting edge social media, in particular the NDIS Ready campaign</w:t>
      </w:r>
    </w:p>
    <w:p w14:paraId="2516F7EC" w14:textId="77777777" w:rsidR="002C10CC" w:rsidRDefault="002C10CC" w:rsidP="002C10CC">
      <w:pPr>
        <w:pStyle w:val="BodyBullets"/>
      </w:pPr>
      <w:r>
        <w:t xml:space="preserve">the trial phase of the Scheme on time and on budget </w:t>
      </w:r>
    </w:p>
    <w:p w14:paraId="7D31E1B6" w14:textId="77777777" w:rsidR="002C10CC" w:rsidRDefault="002C10CC" w:rsidP="002C10CC">
      <w:pPr>
        <w:pStyle w:val="BodyBullets"/>
      </w:pPr>
      <w:r>
        <w:t>participant satisfaction which remains high, with 95 per cent of participants rating their planning process as ‘good’ or ‘very good’ as at 30 June 2016</w:t>
      </w:r>
    </w:p>
    <w:p w14:paraId="7DAD002B" w14:textId="77777777" w:rsidR="002C10CC" w:rsidRDefault="002C10CC" w:rsidP="002C10CC">
      <w:pPr>
        <w:pStyle w:val="BodyBullets"/>
      </w:pPr>
      <w:r>
        <w:t>an easier way to self-manage plans, reflecting growing confidence in the Scheme for trial</w:t>
      </w:r>
    </w:p>
    <w:p w14:paraId="70EC77F7" w14:textId="77777777" w:rsidR="002C10CC" w:rsidRDefault="002C10CC" w:rsidP="002C10CC">
      <w:pPr>
        <w:pStyle w:val="BodyBullets"/>
      </w:pPr>
      <w:r>
        <w:t>innovation and refinement of Information and Communication Technology (ICT) platforms</w:t>
      </w:r>
    </w:p>
    <w:p w14:paraId="573AD51D" w14:textId="77777777" w:rsidR="00820012" w:rsidRDefault="002C10CC" w:rsidP="0083526C">
      <w:pPr>
        <w:pStyle w:val="BodyBullets"/>
      </w:pPr>
      <w:r>
        <w:t xml:space="preserve">innovative supports, including funding </w:t>
      </w:r>
      <w:r>
        <w:br/>
        <w:t>for new Assistive Technologies (AT)</w:t>
      </w:r>
    </w:p>
    <w:p w14:paraId="6D807D85" w14:textId="070EAC67" w:rsidR="002C10CC" w:rsidRDefault="002C10CC" w:rsidP="00820012">
      <w:pPr>
        <w:pStyle w:val="BodyBullets-last"/>
      </w:pPr>
      <w:r>
        <w:t>a new culture of ability, with more participants using transport, undertaking education and getting employment.</w:t>
      </w:r>
    </w:p>
    <w:p w14:paraId="7020D74F" w14:textId="77777777" w:rsidR="002C10CC" w:rsidRDefault="002C10CC" w:rsidP="00820012">
      <w:pPr>
        <w:spacing w:before="360"/>
      </w:pPr>
      <w:r>
        <w:t>Many of these activities are described in more detail in Section 1, the performance measures are detailed in Section 2 and the full financial and sustainability report can be found in Section 4.</w:t>
      </w:r>
    </w:p>
    <w:p w14:paraId="06A900CE" w14:textId="55D29F75" w:rsidR="00AF05B2" w:rsidRDefault="00AF05B2" w:rsidP="00AF05B2">
      <w:pPr>
        <w:pStyle w:val="Heading2"/>
      </w:pPr>
      <w:bookmarkStart w:id="4" w:name="_Toc464482072"/>
      <w:r>
        <w:lastRenderedPageBreak/>
        <w:t>Letter of transmittal</w:t>
      </w:r>
      <w:bookmarkEnd w:id="4"/>
    </w:p>
    <w:p w14:paraId="1C909430" w14:textId="77777777" w:rsidR="00AF05B2" w:rsidRDefault="00AF05B2" w:rsidP="00AF05B2">
      <w:r>
        <w:t>Bruce Bonyhady AM</w:t>
      </w:r>
      <w:r>
        <w:br/>
        <w:t>Chair</w:t>
      </w:r>
    </w:p>
    <w:p w14:paraId="7191B580" w14:textId="77777777" w:rsidR="00AF05B2" w:rsidRDefault="00AF05B2" w:rsidP="00AF05B2">
      <w:r>
        <w:t>3 October 2016</w:t>
      </w:r>
    </w:p>
    <w:p w14:paraId="7DECD4F3" w14:textId="77777777" w:rsidR="00AF05B2" w:rsidRDefault="00AF05B2" w:rsidP="00AF05B2">
      <w:r>
        <w:t>The Hon Christian Porter MP</w:t>
      </w:r>
      <w:r>
        <w:br/>
        <w:t>Minister for Social Services</w:t>
      </w:r>
      <w:r>
        <w:br/>
        <w:t>Parliament House</w:t>
      </w:r>
      <w:r>
        <w:br/>
        <w:t>CANBERRA</w:t>
      </w:r>
      <w:r>
        <w:t> </w:t>
      </w:r>
      <w:r>
        <w:t>ACT</w:t>
      </w:r>
      <w:r>
        <w:t> </w:t>
      </w:r>
      <w:r>
        <w:t>2600</w:t>
      </w:r>
    </w:p>
    <w:p w14:paraId="01B26C63" w14:textId="77777777" w:rsidR="00AF05B2" w:rsidRDefault="00AF05B2" w:rsidP="00AF05B2">
      <w:r>
        <w:rPr>
          <w:rStyle w:val="Bold"/>
        </w:rPr>
        <w:t>Dear Minister</w:t>
      </w:r>
    </w:p>
    <w:p w14:paraId="34F4BA0D" w14:textId="77777777" w:rsidR="00AF05B2" w:rsidRDefault="00AF05B2" w:rsidP="00AF05B2">
      <w:r>
        <w:t>On behalf of the National Disability Insurance Agency, I present to you the Annual Report for the reporting year 1 July 2015 to 30 June 2016.</w:t>
      </w:r>
    </w:p>
    <w:p w14:paraId="2B926562" w14:textId="77777777" w:rsidR="00AF05B2" w:rsidRDefault="00AF05B2" w:rsidP="00AF05B2">
      <w:r>
        <w:t>The report provides a detailed description of the Agency’s operations during the year as well as financial statements and the Auditor-General’s report on those financial statements.</w:t>
      </w:r>
    </w:p>
    <w:p w14:paraId="2A483738" w14:textId="77777777" w:rsidR="00AF05B2" w:rsidRDefault="00AF05B2" w:rsidP="00AF05B2">
      <w:r>
        <w:t xml:space="preserve">The report has been prepared in accordance with the </w:t>
      </w:r>
      <w:r>
        <w:rPr>
          <w:rStyle w:val="Lightitalic"/>
        </w:rPr>
        <w:t>Public Governance, Performance and Accountability Act 2013</w:t>
      </w:r>
      <w:r>
        <w:t xml:space="preserve"> (PGPA Act) and the </w:t>
      </w:r>
      <w:r>
        <w:rPr>
          <w:rStyle w:val="Lightitalic"/>
        </w:rPr>
        <w:t>National Disability Insurance Scheme Act 2013</w:t>
      </w:r>
      <w:r>
        <w:t xml:space="preserve"> (the NDIS Act).</w:t>
      </w:r>
    </w:p>
    <w:p w14:paraId="2F7B3849" w14:textId="77777777" w:rsidR="00AF05B2" w:rsidRDefault="00AF05B2" w:rsidP="00AF05B2">
      <w:r>
        <w:t>In accordance with section 39 of the PGPA Act the report includes annual performance statements that provide information about the Agency’s performance in achieving its purposes.</w:t>
      </w:r>
    </w:p>
    <w:p w14:paraId="252B134D" w14:textId="77777777" w:rsidR="00AF05B2" w:rsidRDefault="00AF05B2" w:rsidP="00AF05B2">
      <w:r>
        <w:t>The report includes a copy of the Agency’s annual financial statements and the Auditor-General’s report as prescribed by subsection 43(4) of the PGPA Act.</w:t>
      </w:r>
    </w:p>
    <w:p w14:paraId="00902F18" w14:textId="77777777" w:rsidR="00AF05B2" w:rsidRDefault="00AF05B2" w:rsidP="00AF05B2">
      <w:r>
        <w:t>The report is made in accordance with a resolution on 3 October 2016 of the directors, who are responsible for its preparation and content and is being provided to you as the responsible Minister under section 46 of the PGPA Act.</w:t>
      </w:r>
    </w:p>
    <w:p w14:paraId="366B4F16" w14:textId="77777777" w:rsidR="00AF05B2" w:rsidRDefault="00AF05B2" w:rsidP="00AF05B2">
      <w:r>
        <w:t>I am satisfied that the incorporated summary of the Annual Financial Sustainability Report 2015 16 and the inclusion of the reviewing actuary’s report fulfils the Agency’s obligations under subsection 172(4) of the NDIS Act.</w:t>
      </w:r>
    </w:p>
    <w:p w14:paraId="4DC5CEA4" w14:textId="77777777" w:rsidR="00AF05B2" w:rsidRDefault="00AF05B2" w:rsidP="00AF05B2">
      <w:r>
        <w:t>Yours sincerely</w:t>
      </w:r>
    </w:p>
    <w:p w14:paraId="537B9832" w14:textId="77777777" w:rsidR="00AF05B2" w:rsidRDefault="00AF05B2" w:rsidP="00AF05B2">
      <w:pPr>
        <w:rPr>
          <w:rStyle w:val="Bold"/>
        </w:rPr>
      </w:pPr>
      <w:r>
        <w:rPr>
          <w:rStyle w:val="Bold"/>
        </w:rPr>
        <w:t>Bruce Bonyhady AM</w:t>
      </w:r>
    </w:p>
    <w:bookmarkStart w:id="5" w:name="_Toc464482073" w:displacedByCustomXml="next"/>
    <w:sdt>
      <w:sdtPr>
        <w:rPr>
          <w:b w:val="0"/>
          <w:color w:val="auto"/>
          <w:sz w:val="20"/>
        </w:rPr>
        <w:id w:val="1273439765"/>
        <w:docPartObj>
          <w:docPartGallery w:val="Table of Contents"/>
          <w:docPartUnique/>
        </w:docPartObj>
      </w:sdtPr>
      <w:sdtEndPr>
        <w:rPr>
          <w:bCs/>
          <w:noProof/>
        </w:rPr>
      </w:sdtEndPr>
      <w:sdtContent>
        <w:p w14:paraId="4978187C" w14:textId="7297196C" w:rsidR="00B208E1" w:rsidRDefault="00B208E1" w:rsidP="001C7345">
          <w:pPr>
            <w:pStyle w:val="Heading2"/>
          </w:pPr>
          <w:r>
            <w:t>Table of Contents</w:t>
          </w:r>
          <w:bookmarkEnd w:id="5"/>
        </w:p>
        <w:p w14:paraId="45694E93" w14:textId="77777777" w:rsidR="0025647C" w:rsidRDefault="0025647C">
          <w:pPr>
            <w:pStyle w:val="TOC1"/>
            <w:tabs>
              <w:tab w:val="right" w:leader="dot" w:pos="10790"/>
            </w:tabs>
            <w:rPr>
              <w:rFonts w:eastAsiaTheme="minorEastAsia" w:cstheme="minorBidi"/>
              <w:b w:val="0"/>
              <w:bCs w:val="0"/>
              <w:noProof/>
            </w:rPr>
          </w:pPr>
          <w:r>
            <w:rPr>
              <w:sz w:val="22"/>
              <w:szCs w:val="22"/>
            </w:rPr>
            <w:fldChar w:fldCharType="begin"/>
          </w:r>
          <w:r>
            <w:rPr>
              <w:sz w:val="22"/>
              <w:szCs w:val="22"/>
            </w:rPr>
            <w:instrText xml:space="preserve"> TOC \t "Heading 1,1,Heading 2,2,Section Heading,1" </w:instrText>
          </w:r>
          <w:r>
            <w:rPr>
              <w:sz w:val="22"/>
              <w:szCs w:val="22"/>
            </w:rPr>
            <w:fldChar w:fldCharType="separate"/>
          </w:r>
          <w:r>
            <w:rPr>
              <w:noProof/>
            </w:rPr>
            <w:t>Introduction</w:t>
          </w:r>
          <w:r>
            <w:rPr>
              <w:noProof/>
            </w:rPr>
            <w:tab/>
          </w:r>
          <w:r>
            <w:rPr>
              <w:noProof/>
            </w:rPr>
            <w:fldChar w:fldCharType="begin"/>
          </w:r>
          <w:r>
            <w:rPr>
              <w:noProof/>
            </w:rPr>
            <w:instrText xml:space="preserve"> PAGEREF _Toc464482068 \h </w:instrText>
          </w:r>
          <w:r>
            <w:rPr>
              <w:noProof/>
            </w:rPr>
          </w:r>
          <w:r>
            <w:rPr>
              <w:noProof/>
            </w:rPr>
            <w:fldChar w:fldCharType="separate"/>
          </w:r>
          <w:r w:rsidR="00126ADE">
            <w:rPr>
              <w:noProof/>
            </w:rPr>
            <w:t>3</w:t>
          </w:r>
          <w:r>
            <w:rPr>
              <w:noProof/>
            </w:rPr>
            <w:fldChar w:fldCharType="end"/>
          </w:r>
        </w:p>
        <w:p w14:paraId="73F83DC2" w14:textId="77777777" w:rsidR="0025647C" w:rsidRDefault="0025647C">
          <w:pPr>
            <w:pStyle w:val="TOC2"/>
            <w:tabs>
              <w:tab w:val="right" w:leader="dot" w:pos="10790"/>
            </w:tabs>
            <w:rPr>
              <w:rFonts w:eastAsiaTheme="minorEastAsia" w:cstheme="minorBidi"/>
              <w:b w:val="0"/>
              <w:bCs w:val="0"/>
              <w:noProof/>
              <w:sz w:val="24"/>
              <w:szCs w:val="24"/>
            </w:rPr>
          </w:pPr>
          <w:r>
            <w:rPr>
              <w:noProof/>
            </w:rPr>
            <w:t>The National Disability Insurance Scheme (NDIS)</w:t>
          </w:r>
          <w:r>
            <w:rPr>
              <w:noProof/>
            </w:rPr>
            <w:tab/>
          </w:r>
          <w:r>
            <w:rPr>
              <w:noProof/>
            </w:rPr>
            <w:fldChar w:fldCharType="begin"/>
          </w:r>
          <w:r>
            <w:rPr>
              <w:noProof/>
            </w:rPr>
            <w:instrText xml:space="preserve"> PAGEREF _Toc464482069 \h </w:instrText>
          </w:r>
          <w:r>
            <w:rPr>
              <w:noProof/>
            </w:rPr>
          </w:r>
          <w:r>
            <w:rPr>
              <w:noProof/>
            </w:rPr>
            <w:fldChar w:fldCharType="separate"/>
          </w:r>
          <w:r w:rsidR="00126ADE">
            <w:rPr>
              <w:noProof/>
            </w:rPr>
            <w:t>4</w:t>
          </w:r>
          <w:r>
            <w:rPr>
              <w:noProof/>
            </w:rPr>
            <w:fldChar w:fldCharType="end"/>
          </w:r>
        </w:p>
        <w:p w14:paraId="15662BF2" w14:textId="77777777" w:rsidR="0025647C" w:rsidRDefault="0025647C">
          <w:pPr>
            <w:pStyle w:val="TOC2"/>
            <w:tabs>
              <w:tab w:val="right" w:leader="dot" w:pos="10790"/>
            </w:tabs>
            <w:rPr>
              <w:rFonts w:eastAsiaTheme="minorEastAsia" w:cstheme="minorBidi"/>
              <w:b w:val="0"/>
              <w:bCs w:val="0"/>
              <w:noProof/>
              <w:sz w:val="24"/>
              <w:szCs w:val="24"/>
            </w:rPr>
          </w:pPr>
          <w:r>
            <w:rPr>
              <w:noProof/>
            </w:rPr>
            <w:t>A year of achievement</w:t>
          </w:r>
          <w:r>
            <w:rPr>
              <w:noProof/>
            </w:rPr>
            <w:tab/>
          </w:r>
          <w:r>
            <w:rPr>
              <w:noProof/>
            </w:rPr>
            <w:fldChar w:fldCharType="begin"/>
          </w:r>
          <w:r>
            <w:rPr>
              <w:noProof/>
            </w:rPr>
            <w:instrText xml:space="preserve"> PAGEREF _Toc464482070 \h </w:instrText>
          </w:r>
          <w:r>
            <w:rPr>
              <w:noProof/>
            </w:rPr>
          </w:r>
          <w:r>
            <w:rPr>
              <w:noProof/>
            </w:rPr>
            <w:fldChar w:fldCharType="separate"/>
          </w:r>
          <w:r w:rsidR="00126ADE">
            <w:rPr>
              <w:noProof/>
            </w:rPr>
            <w:t>6</w:t>
          </w:r>
          <w:r>
            <w:rPr>
              <w:noProof/>
            </w:rPr>
            <w:fldChar w:fldCharType="end"/>
          </w:r>
        </w:p>
        <w:p w14:paraId="0BB0AF1F" w14:textId="77777777" w:rsidR="0025647C" w:rsidRDefault="0025647C">
          <w:pPr>
            <w:pStyle w:val="TOC2"/>
            <w:tabs>
              <w:tab w:val="right" w:leader="dot" w:pos="10790"/>
            </w:tabs>
            <w:rPr>
              <w:rFonts w:eastAsiaTheme="minorEastAsia" w:cstheme="minorBidi"/>
              <w:b w:val="0"/>
              <w:bCs w:val="0"/>
              <w:noProof/>
              <w:sz w:val="24"/>
              <w:szCs w:val="24"/>
            </w:rPr>
          </w:pPr>
          <w:r>
            <w:rPr>
              <w:noProof/>
            </w:rPr>
            <w:t>Year three trial highlights</w:t>
          </w:r>
          <w:r>
            <w:rPr>
              <w:noProof/>
            </w:rPr>
            <w:tab/>
          </w:r>
          <w:r>
            <w:rPr>
              <w:noProof/>
            </w:rPr>
            <w:fldChar w:fldCharType="begin"/>
          </w:r>
          <w:r>
            <w:rPr>
              <w:noProof/>
            </w:rPr>
            <w:instrText xml:space="preserve"> PAGEREF _Toc464482071 \h </w:instrText>
          </w:r>
          <w:r>
            <w:rPr>
              <w:noProof/>
            </w:rPr>
          </w:r>
          <w:r>
            <w:rPr>
              <w:noProof/>
            </w:rPr>
            <w:fldChar w:fldCharType="separate"/>
          </w:r>
          <w:r w:rsidR="00126ADE">
            <w:rPr>
              <w:noProof/>
            </w:rPr>
            <w:t>7</w:t>
          </w:r>
          <w:r>
            <w:rPr>
              <w:noProof/>
            </w:rPr>
            <w:fldChar w:fldCharType="end"/>
          </w:r>
        </w:p>
        <w:p w14:paraId="143AE153" w14:textId="77777777" w:rsidR="0025647C" w:rsidRDefault="0025647C">
          <w:pPr>
            <w:pStyle w:val="TOC2"/>
            <w:tabs>
              <w:tab w:val="right" w:leader="dot" w:pos="10790"/>
            </w:tabs>
            <w:rPr>
              <w:rFonts w:eastAsiaTheme="minorEastAsia" w:cstheme="minorBidi"/>
              <w:b w:val="0"/>
              <w:bCs w:val="0"/>
              <w:noProof/>
              <w:sz w:val="24"/>
              <w:szCs w:val="24"/>
            </w:rPr>
          </w:pPr>
          <w:r>
            <w:rPr>
              <w:noProof/>
            </w:rPr>
            <w:t>Letter of transmittal</w:t>
          </w:r>
          <w:r>
            <w:rPr>
              <w:noProof/>
            </w:rPr>
            <w:tab/>
          </w:r>
          <w:r>
            <w:rPr>
              <w:noProof/>
            </w:rPr>
            <w:fldChar w:fldCharType="begin"/>
          </w:r>
          <w:r>
            <w:rPr>
              <w:noProof/>
            </w:rPr>
            <w:instrText xml:space="preserve"> PAGEREF _Toc464482072 \h </w:instrText>
          </w:r>
          <w:r>
            <w:rPr>
              <w:noProof/>
            </w:rPr>
          </w:r>
          <w:r>
            <w:rPr>
              <w:noProof/>
            </w:rPr>
            <w:fldChar w:fldCharType="separate"/>
          </w:r>
          <w:r w:rsidR="00126ADE">
            <w:rPr>
              <w:noProof/>
            </w:rPr>
            <w:t>9</w:t>
          </w:r>
          <w:r>
            <w:rPr>
              <w:noProof/>
            </w:rPr>
            <w:fldChar w:fldCharType="end"/>
          </w:r>
        </w:p>
        <w:p w14:paraId="31E2F54F" w14:textId="77777777" w:rsidR="0025647C" w:rsidRDefault="0025647C">
          <w:pPr>
            <w:pStyle w:val="TOC2"/>
            <w:tabs>
              <w:tab w:val="right" w:leader="dot" w:pos="10790"/>
            </w:tabs>
            <w:rPr>
              <w:rFonts w:eastAsiaTheme="minorEastAsia" w:cstheme="minorBidi"/>
              <w:b w:val="0"/>
              <w:bCs w:val="0"/>
              <w:noProof/>
              <w:sz w:val="24"/>
              <w:szCs w:val="24"/>
            </w:rPr>
          </w:pPr>
          <w:r>
            <w:rPr>
              <w:noProof/>
            </w:rPr>
            <w:t>Table of Contents</w:t>
          </w:r>
          <w:r>
            <w:rPr>
              <w:noProof/>
            </w:rPr>
            <w:tab/>
          </w:r>
          <w:r>
            <w:rPr>
              <w:noProof/>
            </w:rPr>
            <w:fldChar w:fldCharType="begin"/>
          </w:r>
          <w:r>
            <w:rPr>
              <w:noProof/>
            </w:rPr>
            <w:instrText xml:space="preserve"> PAGEREF _Toc464482073 \h </w:instrText>
          </w:r>
          <w:r>
            <w:rPr>
              <w:noProof/>
            </w:rPr>
          </w:r>
          <w:r>
            <w:rPr>
              <w:noProof/>
            </w:rPr>
            <w:fldChar w:fldCharType="separate"/>
          </w:r>
          <w:r w:rsidR="00126ADE">
            <w:rPr>
              <w:noProof/>
            </w:rPr>
            <w:t>10</w:t>
          </w:r>
          <w:r>
            <w:rPr>
              <w:noProof/>
            </w:rPr>
            <w:fldChar w:fldCharType="end"/>
          </w:r>
        </w:p>
        <w:p w14:paraId="6AE9AE77" w14:textId="77777777" w:rsidR="0025647C" w:rsidRDefault="0025647C">
          <w:pPr>
            <w:pStyle w:val="TOC2"/>
            <w:tabs>
              <w:tab w:val="right" w:leader="dot" w:pos="10790"/>
            </w:tabs>
            <w:rPr>
              <w:rFonts w:eastAsiaTheme="minorEastAsia" w:cstheme="minorBidi"/>
              <w:b w:val="0"/>
              <w:bCs w:val="0"/>
              <w:noProof/>
              <w:sz w:val="24"/>
              <w:szCs w:val="24"/>
            </w:rPr>
          </w:pPr>
          <w:r>
            <w:rPr>
              <w:noProof/>
            </w:rPr>
            <w:t>List of tables</w:t>
          </w:r>
          <w:r>
            <w:rPr>
              <w:noProof/>
            </w:rPr>
            <w:tab/>
          </w:r>
          <w:r>
            <w:rPr>
              <w:noProof/>
            </w:rPr>
            <w:fldChar w:fldCharType="begin"/>
          </w:r>
          <w:r>
            <w:rPr>
              <w:noProof/>
            </w:rPr>
            <w:instrText xml:space="preserve"> PAGEREF _Toc464482074 \h </w:instrText>
          </w:r>
          <w:r>
            <w:rPr>
              <w:noProof/>
            </w:rPr>
          </w:r>
          <w:r>
            <w:rPr>
              <w:noProof/>
            </w:rPr>
            <w:fldChar w:fldCharType="separate"/>
          </w:r>
          <w:r w:rsidR="00126ADE">
            <w:rPr>
              <w:noProof/>
            </w:rPr>
            <w:t>12</w:t>
          </w:r>
          <w:r>
            <w:rPr>
              <w:noProof/>
            </w:rPr>
            <w:fldChar w:fldCharType="end"/>
          </w:r>
        </w:p>
        <w:p w14:paraId="21D6F21C" w14:textId="77777777" w:rsidR="0025647C" w:rsidRDefault="0025647C">
          <w:pPr>
            <w:pStyle w:val="TOC2"/>
            <w:tabs>
              <w:tab w:val="right" w:leader="dot" w:pos="10790"/>
            </w:tabs>
            <w:rPr>
              <w:rFonts w:eastAsiaTheme="minorEastAsia" w:cstheme="minorBidi"/>
              <w:b w:val="0"/>
              <w:bCs w:val="0"/>
              <w:noProof/>
              <w:sz w:val="24"/>
              <w:szCs w:val="24"/>
            </w:rPr>
          </w:pPr>
          <w:r w:rsidRPr="00EB7EDC">
            <w:rPr>
              <w:noProof/>
              <w:lang w:val="en-GB"/>
            </w:rPr>
            <w:t>Message from the Chair  and Chief Executive Officer</w:t>
          </w:r>
          <w:r>
            <w:rPr>
              <w:noProof/>
            </w:rPr>
            <w:tab/>
          </w:r>
          <w:r>
            <w:rPr>
              <w:noProof/>
            </w:rPr>
            <w:fldChar w:fldCharType="begin"/>
          </w:r>
          <w:r>
            <w:rPr>
              <w:noProof/>
            </w:rPr>
            <w:instrText xml:space="preserve"> PAGEREF _Toc464482075 \h </w:instrText>
          </w:r>
          <w:r>
            <w:rPr>
              <w:noProof/>
            </w:rPr>
          </w:r>
          <w:r>
            <w:rPr>
              <w:noProof/>
            </w:rPr>
            <w:fldChar w:fldCharType="separate"/>
          </w:r>
          <w:r w:rsidR="00126ADE">
            <w:rPr>
              <w:noProof/>
            </w:rPr>
            <w:t>13</w:t>
          </w:r>
          <w:r>
            <w:rPr>
              <w:noProof/>
            </w:rPr>
            <w:fldChar w:fldCharType="end"/>
          </w:r>
        </w:p>
        <w:p w14:paraId="4E12DEC8" w14:textId="77777777" w:rsidR="0025647C" w:rsidRDefault="0025647C">
          <w:pPr>
            <w:pStyle w:val="TOC1"/>
            <w:tabs>
              <w:tab w:val="right" w:leader="dot" w:pos="10790"/>
            </w:tabs>
            <w:rPr>
              <w:rFonts w:eastAsiaTheme="minorEastAsia" w:cstheme="minorBidi"/>
              <w:b w:val="0"/>
              <w:bCs w:val="0"/>
              <w:noProof/>
            </w:rPr>
          </w:pPr>
          <w:r>
            <w:rPr>
              <w:noProof/>
            </w:rPr>
            <w:t>Section 1 Getting NDIS Ready</w:t>
          </w:r>
          <w:r>
            <w:rPr>
              <w:noProof/>
            </w:rPr>
            <w:tab/>
          </w:r>
          <w:r>
            <w:rPr>
              <w:noProof/>
            </w:rPr>
            <w:fldChar w:fldCharType="begin"/>
          </w:r>
          <w:r>
            <w:rPr>
              <w:noProof/>
            </w:rPr>
            <w:instrText xml:space="preserve"> PAGEREF _Toc464482076 \h </w:instrText>
          </w:r>
          <w:r>
            <w:rPr>
              <w:noProof/>
            </w:rPr>
          </w:r>
          <w:r>
            <w:rPr>
              <w:noProof/>
            </w:rPr>
            <w:fldChar w:fldCharType="separate"/>
          </w:r>
          <w:r w:rsidR="00126ADE">
            <w:rPr>
              <w:noProof/>
            </w:rPr>
            <w:t>15</w:t>
          </w:r>
          <w:r>
            <w:rPr>
              <w:noProof/>
            </w:rPr>
            <w:fldChar w:fldCharType="end"/>
          </w:r>
        </w:p>
        <w:p w14:paraId="44F98ADA" w14:textId="77777777" w:rsidR="0025647C" w:rsidRDefault="0025647C">
          <w:pPr>
            <w:pStyle w:val="TOC2"/>
            <w:tabs>
              <w:tab w:val="right" w:leader="dot" w:pos="10790"/>
            </w:tabs>
            <w:rPr>
              <w:rFonts w:eastAsiaTheme="minorEastAsia" w:cstheme="minorBidi"/>
              <w:b w:val="0"/>
              <w:bCs w:val="0"/>
              <w:noProof/>
              <w:sz w:val="24"/>
              <w:szCs w:val="24"/>
            </w:rPr>
          </w:pPr>
          <w:r>
            <w:rPr>
              <w:noProof/>
            </w:rPr>
            <w:t>An ordinary life</w:t>
          </w:r>
          <w:r>
            <w:rPr>
              <w:noProof/>
            </w:rPr>
            <w:tab/>
          </w:r>
          <w:r>
            <w:rPr>
              <w:noProof/>
            </w:rPr>
            <w:fldChar w:fldCharType="begin"/>
          </w:r>
          <w:r>
            <w:rPr>
              <w:noProof/>
            </w:rPr>
            <w:instrText xml:space="preserve"> PAGEREF _Toc464482077 \h </w:instrText>
          </w:r>
          <w:r>
            <w:rPr>
              <w:noProof/>
            </w:rPr>
          </w:r>
          <w:r>
            <w:rPr>
              <w:noProof/>
            </w:rPr>
            <w:fldChar w:fldCharType="separate"/>
          </w:r>
          <w:r w:rsidR="00126ADE">
            <w:rPr>
              <w:noProof/>
            </w:rPr>
            <w:t>16</w:t>
          </w:r>
          <w:r>
            <w:rPr>
              <w:noProof/>
            </w:rPr>
            <w:fldChar w:fldCharType="end"/>
          </w:r>
        </w:p>
        <w:p w14:paraId="3450B220" w14:textId="77777777" w:rsidR="0025647C" w:rsidRDefault="0025647C">
          <w:pPr>
            <w:pStyle w:val="TOC2"/>
            <w:tabs>
              <w:tab w:val="right" w:leader="dot" w:pos="10790"/>
            </w:tabs>
            <w:rPr>
              <w:rFonts w:eastAsiaTheme="minorEastAsia" w:cstheme="minorBidi"/>
              <w:b w:val="0"/>
              <w:bCs w:val="0"/>
              <w:noProof/>
              <w:sz w:val="24"/>
              <w:szCs w:val="24"/>
            </w:rPr>
          </w:pPr>
          <w:r>
            <w:rPr>
              <w:noProof/>
            </w:rPr>
            <w:t>The new way to an ordinary life</w:t>
          </w:r>
          <w:r>
            <w:rPr>
              <w:noProof/>
            </w:rPr>
            <w:tab/>
          </w:r>
          <w:r>
            <w:rPr>
              <w:noProof/>
            </w:rPr>
            <w:fldChar w:fldCharType="begin"/>
          </w:r>
          <w:r>
            <w:rPr>
              <w:noProof/>
            </w:rPr>
            <w:instrText xml:space="preserve"> PAGEREF _Toc464482078 \h </w:instrText>
          </w:r>
          <w:r>
            <w:rPr>
              <w:noProof/>
            </w:rPr>
          </w:r>
          <w:r>
            <w:rPr>
              <w:noProof/>
            </w:rPr>
            <w:fldChar w:fldCharType="separate"/>
          </w:r>
          <w:r w:rsidR="00126ADE">
            <w:rPr>
              <w:noProof/>
            </w:rPr>
            <w:t>17</w:t>
          </w:r>
          <w:r>
            <w:rPr>
              <w:noProof/>
            </w:rPr>
            <w:fldChar w:fldCharType="end"/>
          </w:r>
        </w:p>
        <w:p w14:paraId="16CE42CE" w14:textId="77777777" w:rsidR="0025647C" w:rsidRDefault="0025647C">
          <w:pPr>
            <w:pStyle w:val="TOC1"/>
            <w:tabs>
              <w:tab w:val="right" w:leader="dot" w:pos="10790"/>
            </w:tabs>
            <w:rPr>
              <w:rFonts w:eastAsiaTheme="minorEastAsia" w:cstheme="minorBidi"/>
              <w:b w:val="0"/>
              <w:bCs w:val="0"/>
              <w:noProof/>
            </w:rPr>
          </w:pPr>
          <w:r>
            <w:rPr>
              <w:noProof/>
            </w:rPr>
            <w:t>Listening A culture of empowerment</w:t>
          </w:r>
          <w:r>
            <w:rPr>
              <w:noProof/>
            </w:rPr>
            <w:tab/>
          </w:r>
          <w:r>
            <w:rPr>
              <w:noProof/>
            </w:rPr>
            <w:fldChar w:fldCharType="begin"/>
          </w:r>
          <w:r>
            <w:rPr>
              <w:noProof/>
            </w:rPr>
            <w:instrText xml:space="preserve"> PAGEREF _Toc464482079 \h </w:instrText>
          </w:r>
          <w:r>
            <w:rPr>
              <w:noProof/>
            </w:rPr>
          </w:r>
          <w:r>
            <w:rPr>
              <w:noProof/>
            </w:rPr>
            <w:fldChar w:fldCharType="separate"/>
          </w:r>
          <w:r w:rsidR="00126ADE">
            <w:rPr>
              <w:noProof/>
            </w:rPr>
            <w:t>19</w:t>
          </w:r>
          <w:r>
            <w:rPr>
              <w:noProof/>
            </w:rPr>
            <w:fldChar w:fldCharType="end"/>
          </w:r>
        </w:p>
        <w:p w14:paraId="01E58FC3" w14:textId="77777777" w:rsidR="0025647C" w:rsidRDefault="0025647C">
          <w:pPr>
            <w:pStyle w:val="TOC2"/>
            <w:tabs>
              <w:tab w:val="right" w:leader="dot" w:pos="10790"/>
            </w:tabs>
            <w:rPr>
              <w:rFonts w:eastAsiaTheme="minorEastAsia" w:cstheme="minorBidi"/>
              <w:b w:val="0"/>
              <w:bCs w:val="0"/>
              <w:noProof/>
              <w:sz w:val="24"/>
              <w:szCs w:val="24"/>
            </w:rPr>
          </w:pPr>
          <w:r>
            <w:rPr>
              <w:noProof/>
            </w:rPr>
            <w:t>The Agency’s vision, mission and goals</w:t>
          </w:r>
          <w:r>
            <w:rPr>
              <w:noProof/>
            </w:rPr>
            <w:tab/>
          </w:r>
          <w:r>
            <w:rPr>
              <w:noProof/>
            </w:rPr>
            <w:fldChar w:fldCharType="begin"/>
          </w:r>
          <w:r>
            <w:rPr>
              <w:noProof/>
            </w:rPr>
            <w:instrText xml:space="preserve"> PAGEREF _Toc464482080 \h </w:instrText>
          </w:r>
          <w:r>
            <w:rPr>
              <w:noProof/>
            </w:rPr>
          </w:r>
          <w:r>
            <w:rPr>
              <w:noProof/>
            </w:rPr>
            <w:fldChar w:fldCharType="separate"/>
          </w:r>
          <w:r w:rsidR="00126ADE">
            <w:rPr>
              <w:noProof/>
            </w:rPr>
            <w:t>20</w:t>
          </w:r>
          <w:r>
            <w:rPr>
              <w:noProof/>
            </w:rPr>
            <w:fldChar w:fldCharType="end"/>
          </w:r>
        </w:p>
        <w:p w14:paraId="5EC8E4C9" w14:textId="77777777" w:rsidR="0025647C" w:rsidRDefault="0025647C">
          <w:pPr>
            <w:pStyle w:val="TOC1"/>
            <w:tabs>
              <w:tab w:val="right" w:leader="dot" w:pos="10790"/>
            </w:tabs>
            <w:rPr>
              <w:rFonts w:eastAsiaTheme="minorEastAsia" w:cstheme="minorBidi"/>
              <w:b w:val="0"/>
              <w:bCs w:val="0"/>
              <w:noProof/>
            </w:rPr>
          </w:pPr>
          <w:r>
            <w:rPr>
              <w:noProof/>
            </w:rPr>
            <w:t>How is the Agency implementing the Scheme?</w:t>
          </w:r>
          <w:r>
            <w:rPr>
              <w:noProof/>
            </w:rPr>
            <w:tab/>
          </w:r>
          <w:r>
            <w:rPr>
              <w:noProof/>
            </w:rPr>
            <w:fldChar w:fldCharType="begin"/>
          </w:r>
          <w:r>
            <w:rPr>
              <w:noProof/>
            </w:rPr>
            <w:instrText xml:space="preserve"> PAGEREF _Toc464482081 \h </w:instrText>
          </w:r>
          <w:r>
            <w:rPr>
              <w:noProof/>
            </w:rPr>
          </w:r>
          <w:r>
            <w:rPr>
              <w:noProof/>
            </w:rPr>
            <w:fldChar w:fldCharType="separate"/>
          </w:r>
          <w:r w:rsidR="00126ADE">
            <w:rPr>
              <w:noProof/>
            </w:rPr>
            <w:t>21</w:t>
          </w:r>
          <w:r>
            <w:rPr>
              <w:noProof/>
            </w:rPr>
            <w:fldChar w:fldCharType="end"/>
          </w:r>
        </w:p>
        <w:p w14:paraId="5BFDCEA8" w14:textId="77777777" w:rsidR="0025647C" w:rsidRDefault="0025647C">
          <w:pPr>
            <w:pStyle w:val="TOC2"/>
            <w:tabs>
              <w:tab w:val="right" w:leader="dot" w:pos="10790"/>
            </w:tabs>
            <w:rPr>
              <w:rFonts w:eastAsiaTheme="minorEastAsia" w:cstheme="minorBidi"/>
              <w:b w:val="0"/>
              <w:bCs w:val="0"/>
              <w:noProof/>
              <w:sz w:val="24"/>
              <w:szCs w:val="24"/>
            </w:rPr>
          </w:pPr>
          <w:r>
            <w:rPr>
              <w:noProof/>
            </w:rPr>
            <w:t>Service Delivery Operating Model</w:t>
          </w:r>
          <w:r>
            <w:rPr>
              <w:noProof/>
            </w:rPr>
            <w:tab/>
          </w:r>
          <w:r>
            <w:rPr>
              <w:noProof/>
            </w:rPr>
            <w:fldChar w:fldCharType="begin"/>
          </w:r>
          <w:r>
            <w:rPr>
              <w:noProof/>
            </w:rPr>
            <w:instrText xml:space="preserve"> PAGEREF _Toc464482082 \h </w:instrText>
          </w:r>
          <w:r>
            <w:rPr>
              <w:noProof/>
            </w:rPr>
          </w:r>
          <w:r>
            <w:rPr>
              <w:noProof/>
            </w:rPr>
            <w:fldChar w:fldCharType="separate"/>
          </w:r>
          <w:r w:rsidR="00126ADE">
            <w:rPr>
              <w:noProof/>
            </w:rPr>
            <w:t>21</w:t>
          </w:r>
          <w:r>
            <w:rPr>
              <w:noProof/>
            </w:rPr>
            <w:fldChar w:fldCharType="end"/>
          </w:r>
        </w:p>
        <w:p w14:paraId="32EDF97E" w14:textId="77777777" w:rsidR="0025647C" w:rsidRDefault="0025647C">
          <w:pPr>
            <w:pStyle w:val="TOC2"/>
            <w:tabs>
              <w:tab w:val="right" w:leader="dot" w:pos="10790"/>
            </w:tabs>
            <w:rPr>
              <w:rFonts w:eastAsiaTheme="minorEastAsia" w:cstheme="minorBidi"/>
              <w:b w:val="0"/>
              <w:bCs w:val="0"/>
              <w:noProof/>
              <w:sz w:val="24"/>
              <w:szCs w:val="24"/>
            </w:rPr>
          </w:pPr>
          <w:r>
            <w:rPr>
              <w:noProof/>
            </w:rPr>
            <w:t>A co-design approach</w:t>
          </w:r>
          <w:r>
            <w:rPr>
              <w:noProof/>
            </w:rPr>
            <w:tab/>
          </w:r>
          <w:r>
            <w:rPr>
              <w:noProof/>
            </w:rPr>
            <w:fldChar w:fldCharType="begin"/>
          </w:r>
          <w:r>
            <w:rPr>
              <w:noProof/>
            </w:rPr>
            <w:instrText xml:space="preserve"> PAGEREF _Toc464482083 \h </w:instrText>
          </w:r>
          <w:r>
            <w:rPr>
              <w:noProof/>
            </w:rPr>
          </w:r>
          <w:r>
            <w:rPr>
              <w:noProof/>
            </w:rPr>
            <w:fldChar w:fldCharType="separate"/>
          </w:r>
          <w:r w:rsidR="00126ADE">
            <w:rPr>
              <w:noProof/>
            </w:rPr>
            <w:t>21</w:t>
          </w:r>
          <w:r>
            <w:rPr>
              <w:noProof/>
            </w:rPr>
            <w:fldChar w:fldCharType="end"/>
          </w:r>
        </w:p>
        <w:p w14:paraId="6E893747" w14:textId="77777777" w:rsidR="0025647C" w:rsidRDefault="0025647C">
          <w:pPr>
            <w:pStyle w:val="TOC2"/>
            <w:tabs>
              <w:tab w:val="right" w:leader="dot" w:pos="10790"/>
            </w:tabs>
            <w:rPr>
              <w:rFonts w:eastAsiaTheme="minorEastAsia" w:cstheme="minorBidi"/>
              <w:b w:val="0"/>
              <w:bCs w:val="0"/>
              <w:noProof/>
              <w:sz w:val="24"/>
              <w:szCs w:val="24"/>
            </w:rPr>
          </w:pPr>
          <w:r>
            <w:rPr>
              <w:noProof/>
            </w:rPr>
            <w:t>Working with participants</w:t>
          </w:r>
          <w:r>
            <w:rPr>
              <w:noProof/>
            </w:rPr>
            <w:tab/>
          </w:r>
          <w:r>
            <w:rPr>
              <w:noProof/>
            </w:rPr>
            <w:fldChar w:fldCharType="begin"/>
          </w:r>
          <w:r>
            <w:rPr>
              <w:noProof/>
            </w:rPr>
            <w:instrText xml:space="preserve"> PAGEREF _Toc464482084 \h </w:instrText>
          </w:r>
          <w:r>
            <w:rPr>
              <w:noProof/>
            </w:rPr>
          </w:r>
          <w:r>
            <w:rPr>
              <w:noProof/>
            </w:rPr>
            <w:fldChar w:fldCharType="separate"/>
          </w:r>
          <w:r w:rsidR="00126ADE">
            <w:rPr>
              <w:noProof/>
            </w:rPr>
            <w:t>23</w:t>
          </w:r>
          <w:r>
            <w:rPr>
              <w:noProof/>
            </w:rPr>
            <w:fldChar w:fldCharType="end"/>
          </w:r>
        </w:p>
        <w:p w14:paraId="211A9D33" w14:textId="77777777" w:rsidR="0025647C" w:rsidRDefault="0025647C">
          <w:pPr>
            <w:pStyle w:val="TOC2"/>
            <w:tabs>
              <w:tab w:val="right" w:leader="dot" w:pos="10790"/>
            </w:tabs>
            <w:rPr>
              <w:rFonts w:eastAsiaTheme="minorEastAsia" w:cstheme="minorBidi"/>
              <w:b w:val="0"/>
              <w:bCs w:val="0"/>
              <w:noProof/>
              <w:sz w:val="24"/>
              <w:szCs w:val="24"/>
            </w:rPr>
          </w:pPr>
          <w:r>
            <w:rPr>
              <w:noProof/>
            </w:rPr>
            <w:t>Working with the community</w:t>
          </w:r>
          <w:r>
            <w:rPr>
              <w:noProof/>
            </w:rPr>
            <w:tab/>
          </w:r>
          <w:r>
            <w:rPr>
              <w:noProof/>
            </w:rPr>
            <w:fldChar w:fldCharType="begin"/>
          </w:r>
          <w:r>
            <w:rPr>
              <w:noProof/>
            </w:rPr>
            <w:instrText xml:space="preserve"> PAGEREF _Toc464482085 \h </w:instrText>
          </w:r>
          <w:r>
            <w:rPr>
              <w:noProof/>
            </w:rPr>
          </w:r>
          <w:r>
            <w:rPr>
              <w:noProof/>
            </w:rPr>
            <w:fldChar w:fldCharType="separate"/>
          </w:r>
          <w:r w:rsidR="00126ADE">
            <w:rPr>
              <w:noProof/>
            </w:rPr>
            <w:t>26</w:t>
          </w:r>
          <w:r>
            <w:rPr>
              <w:noProof/>
            </w:rPr>
            <w:fldChar w:fldCharType="end"/>
          </w:r>
        </w:p>
        <w:p w14:paraId="150D717E" w14:textId="77777777" w:rsidR="0025647C" w:rsidRDefault="0025647C">
          <w:pPr>
            <w:pStyle w:val="TOC2"/>
            <w:tabs>
              <w:tab w:val="right" w:leader="dot" w:pos="10790"/>
            </w:tabs>
            <w:rPr>
              <w:rFonts w:eastAsiaTheme="minorEastAsia" w:cstheme="minorBidi"/>
              <w:b w:val="0"/>
              <w:bCs w:val="0"/>
              <w:noProof/>
              <w:sz w:val="24"/>
              <w:szCs w:val="24"/>
            </w:rPr>
          </w:pPr>
          <w:r>
            <w:rPr>
              <w:noProof/>
            </w:rPr>
            <w:t>Working with partners</w:t>
          </w:r>
          <w:r>
            <w:rPr>
              <w:noProof/>
            </w:rPr>
            <w:tab/>
          </w:r>
          <w:r>
            <w:rPr>
              <w:noProof/>
            </w:rPr>
            <w:fldChar w:fldCharType="begin"/>
          </w:r>
          <w:r>
            <w:rPr>
              <w:noProof/>
            </w:rPr>
            <w:instrText xml:space="preserve"> PAGEREF _Toc464482086 \h </w:instrText>
          </w:r>
          <w:r>
            <w:rPr>
              <w:noProof/>
            </w:rPr>
          </w:r>
          <w:r>
            <w:rPr>
              <w:noProof/>
            </w:rPr>
            <w:fldChar w:fldCharType="separate"/>
          </w:r>
          <w:r w:rsidR="00126ADE">
            <w:rPr>
              <w:noProof/>
            </w:rPr>
            <w:t>28</w:t>
          </w:r>
          <w:r>
            <w:rPr>
              <w:noProof/>
            </w:rPr>
            <w:fldChar w:fldCharType="end"/>
          </w:r>
        </w:p>
        <w:p w14:paraId="3FC79895" w14:textId="77777777" w:rsidR="0025647C" w:rsidRDefault="0025647C">
          <w:pPr>
            <w:pStyle w:val="TOC2"/>
            <w:tabs>
              <w:tab w:val="right" w:leader="dot" w:pos="10790"/>
            </w:tabs>
            <w:rPr>
              <w:rFonts w:eastAsiaTheme="minorEastAsia" w:cstheme="minorBidi"/>
              <w:b w:val="0"/>
              <w:bCs w:val="0"/>
              <w:noProof/>
              <w:sz w:val="24"/>
              <w:szCs w:val="24"/>
            </w:rPr>
          </w:pPr>
          <w:r>
            <w:rPr>
              <w:noProof/>
            </w:rPr>
            <w:t>Working with service providers</w:t>
          </w:r>
          <w:r>
            <w:rPr>
              <w:noProof/>
            </w:rPr>
            <w:tab/>
          </w:r>
          <w:r>
            <w:rPr>
              <w:noProof/>
            </w:rPr>
            <w:fldChar w:fldCharType="begin"/>
          </w:r>
          <w:r>
            <w:rPr>
              <w:noProof/>
            </w:rPr>
            <w:instrText xml:space="preserve"> PAGEREF _Toc464482087 \h </w:instrText>
          </w:r>
          <w:r>
            <w:rPr>
              <w:noProof/>
            </w:rPr>
          </w:r>
          <w:r>
            <w:rPr>
              <w:noProof/>
            </w:rPr>
            <w:fldChar w:fldCharType="separate"/>
          </w:r>
          <w:r w:rsidR="00126ADE">
            <w:rPr>
              <w:noProof/>
            </w:rPr>
            <w:t>31</w:t>
          </w:r>
          <w:r>
            <w:rPr>
              <w:noProof/>
            </w:rPr>
            <w:fldChar w:fldCharType="end"/>
          </w:r>
        </w:p>
        <w:p w14:paraId="6735739A" w14:textId="77777777" w:rsidR="0025647C" w:rsidRDefault="0025647C">
          <w:pPr>
            <w:pStyle w:val="TOC2"/>
            <w:tabs>
              <w:tab w:val="right" w:leader="dot" w:pos="10790"/>
            </w:tabs>
            <w:rPr>
              <w:rFonts w:eastAsiaTheme="minorEastAsia" w:cstheme="minorBidi"/>
              <w:b w:val="0"/>
              <w:bCs w:val="0"/>
              <w:noProof/>
              <w:sz w:val="24"/>
              <w:szCs w:val="24"/>
            </w:rPr>
          </w:pPr>
          <w:r>
            <w:rPr>
              <w:noProof/>
            </w:rPr>
            <w:t>Supporting diverse communities</w:t>
          </w:r>
          <w:r>
            <w:rPr>
              <w:noProof/>
            </w:rPr>
            <w:tab/>
          </w:r>
          <w:r>
            <w:rPr>
              <w:noProof/>
            </w:rPr>
            <w:fldChar w:fldCharType="begin"/>
          </w:r>
          <w:r>
            <w:rPr>
              <w:noProof/>
            </w:rPr>
            <w:instrText xml:space="preserve"> PAGEREF _Toc464482088 \h </w:instrText>
          </w:r>
          <w:r>
            <w:rPr>
              <w:noProof/>
            </w:rPr>
          </w:r>
          <w:r>
            <w:rPr>
              <w:noProof/>
            </w:rPr>
            <w:fldChar w:fldCharType="separate"/>
          </w:r>
          <w:r w:rsidR="00126ADE">
            <w:rPr>
              <w:noProof/>
            </w:rPr>
            <w:t>33</w:t>
          </w:r>
          <w:r>
            <w:rPr>
              <w:noProof/>
            </w:rPr>
            <w:fldChar w:fldCharType="end"/>
          </w:r>
        </w:p>
        <w:p w14:paraId="08A0D53B" w14:textId="77777777" w:rsidR="0025647C" w:rsidRDefault="0025647C">
          <w:pPr>
            <w:pStyle w:val="TOC1"/>
            <w:tabs>
              <w:tab w:val="right" w:leader="dot" w:pos="10790"/>
            </w:tabs>
            <w:rPr>
              <w:rFonts w:eastAsiaTheme="minorEastAsia" w:cstheme="minorBidi"/>
              <w:b w:val="0"/>
              <w:bCs w:val="0"/>
              <w:noProof/>
            </w:rPr>
          </w:pPr>
          <w:r>
            <w:rPr>
              <w:noProof/>
            </w:rPr>
            <w:t>Learning A process of discovery through trial phase</w:t>
          </w:r>
          <w:r>
            <w:rPr>
              <w:noProof/>
            </w:rPr>
            <w:tab/>
          </w:r>
          <w:r>
            <w:rPr>
              <w:noProof/>
            </w:rPr>
            <w:fldChar w:fldCharType="begin"/>
          </w:r>
          <w:r>
            <w:rPr>
              <w:noProof/>
            </w:rPr>
            <w:instrText xml:space="preserve"> PAGEREF _Toc464482089 \h </w:instrText>
          </w:r>
          <w:r>
            <w:rPr>
              <w:noProof/>
            </w:rPr>
          </w:r>
          <w:r>
            <w:rPr>
              <w:noProof/>
            </w:rPr>
            <w:fldChar w:fldCharType="separate"/>
          </w:r>
          <w:r w:rsidR="00126ADE">
            <w:rPr>
              <w:noProof/>
            </w:rPr>
            <w:t>39</w:t>
          </w:r>
          <w:r>
            <w:rPr>
              <w:noProof/>
            </w:rPr>
            <w:fldChar w:fldCharType="end"/>
          </w:r>
        </w:p>
        <w:p w14:paraId="1D20FCB2" w14:textId="77777777" w:rsidR="0025647C" w:rsidRDefault="0025647C">
          <w:pPr>
            <w:pStyle w:val="TOC2"/>
            <w:tabs>
              <w:tab w:val="right" w:leader="dot" w:pos="10790"/>
            </w:tabs>
            <w:rPr>
              <w:rFonts w:eastAsiaTheme="minorEastAsia" w:cstheme="minorBidi"/>
              <w:b w:val="0"/>
              <w:bCs w:val="0"/>
              <w:noProof/>
              <w:sz w:val="24"/>
              <w:szCs w:val="24"/>
            </w:rPr>
          </w:pPr>
          <w:r>
            <w:rPr>
              <w:noProof/>
            </w:rPr>
            <w:t>Market readiness</w:t>
          </w:r>
          <w:r>
            <w:rPr>
              <w:noProof/>
            </w:rPr>
            <w:tab/>
          </w:r>
          <w:r>
            <w:rPr>
              <w:noProof/>
            </w:rPr>
            <w:fldChar w:fldCharType="begin"/>
          </w:r>
          <w:r>
            <w:rPr>
              <w:noProof/>
            </w:rPr>
            <w:instrText xml:space="preserve"> PAGEREF _Toc464482090 \h </w:instrText>
          </w:r>
          <w:r>
            <w:rPr>
              <w:noProof/>
            </w:rPr>
          </w:r>
          <w:r>
            <w:rPr>
              <w:noProof/>
            </w:rPr>
            <w:fldChar w:fldCharType="separate"/>
          </w:r>
          <w:r w:rsidR="00126ADE">
            <w:rPr>
              <w:noProof/>
            </w:rPr>
            <w:t>40</w:t>
          </w:r>
          <w:r>
            <w:rPr>
              <w:noProof/>
            </w:rPr>
            <w:fldChar w:fldCharType="end"/>
          </w:r>
        </w:p>
        <w:p w14:paraId="158AFE5A" w14:textId="77777777" w:rsidR="0025647C" w:rsidRDefault="0025647C">
          <w:pPr>
            <w:pStyle w:val="TOC2"/>
            <w:tabs>
              <w:tab w:val="right" w:leader="dot" w:pos="10790"/>
            </w:tabs>
            <w:rPr>
              <w:rFonts w:eastAsiaTheme="minorEastAsia" w:cstheme="minorBidi"/>
              <w:b w:val="0"/>
              <w:bCs w:val="0"/>
              <w:noProof/>
              <w:sz w:val="24"/>
              <w:szCs w:val="24"/>
            </w:rPr>
          </w:pPr>
          <w:r>
            <w:rPr>
              <w:noProof/>
            </w:rPr>
            <w:t>Assistive Technology</w:t>
          </w:r>
          <w:r>
            <w:rPr>
              <w:noProof/>
            </w:rPr>
            <w:tab/>
          </w:r>
          <w:r>
            <w:rPr>
              <w:noProof/>
            </w:rPr>
            <w:fldChar w:fldCharType="begin"/>
          </w:r>
          <w:r>
            <w:rPr>
              <w:noProof/>
            </w:rPr>
            <w:instrText xml:space="preserve"> PAGEREF _Toc464482091 \h </w:instrText>
          </w:r>
          <w:r>
            <w:rPr>
              <w:noProof/>
            </w:rPr>
          </w:r>
          <w:r>
            <w:rPr>
              <w:noProof/>
            </w:rPr>
            <w:fldChar w:fldCharType="separate"/>
          </w:r>
          <w:r w:rsidR="00126ADE">
            <w:rPr>
              <w:noProof/>
            </w:rPr>
            <w:t>43</w:t>
          </w:r>
          <w:r>
            <w:rPr>
              <w:noProof/>
            </w:rPr>
            <w:fldChar w:fldCharType="end"/>
          </w:r>
        </w:p>
        <w:p w14:paraId="104C7354" w14:textId="77777777" w:rsidR="0025647C" w:rsidRDefault="0025647C">
          <w:pPr>
            <w:pStyle w:val="TOC1"/>
            <w:tabs>
              <w:tab w:val="right" w:leader="dot" w:pos="10790"/>
            </w:tabs>
            <w:rPr>
              <w:rFonts w:eastAsiaTheme="minorEastAsia" w:cstheme="minorBidi"/>
              <w:b w:val="0"/>
              <w:bCs w:val="0"/>
              <w:noProof/>
            </w:rPr>
          </w:pPr>
          <w:r>
            <w:rPr>
              <w:noProof/>
            </w:rPr>
            <w:t>Building Setting the scene through trial phase</w:t>
          </w:r>
          <w:r>
            <w:rPr>
              <w:noProof/>
            </w:rPr>
            <w:tab/>
          </w:r>
          <w:r>
            <w:rPr>
              <w:noProof/>
            </w:rPr>
            <w:fldChar w:fldCharType="begin"/>
          </w:r>
          <w:r>
            <w:rPr>
              <w:noProof/>
            </w:rPr>
            <w:instrText xml:space="preserve"> PAGEREF _Toc464482092 \h </w:instrText>
          </w:r>
          <w:r>
            <w:rPr>
              <w:noProof/>
            </w:rPr>
          </w:r>
          <w:r>
            <w:rPr>
              <w:noProof/>
            </w:rPr>
            <w:fldChar w:fldCharType="separate"/>
          </w:r>
          <w:r w:rsidR="00126ADE">
            <w:rPr>
              <w:noProof/>
            </w:rPr>
            <w:t>46</w:t>
          </w:r>
          <w:r>
            <w:rPr>
              <w:noProof/>
            </w:rPr>
            <w:fldChar w:fldCharType="end"/>
          </w:r>
        </w:p>
        <w:p w14:paraId="5FF10C92" w14:textId="77777777" w:rsidR="0025647C" w:rsidRDefault="0025647C">
          <w:pPr>
            <w:pStyle w:val="TOC2"/>
            <w:tabs>
              <w:tab w:val="right" w:leader="dot" w:pos="10790"/>
            </w:tabs>
            <w:rPr>
              <w:rFonts w:eastAsiaTheme="minorEastAsia" w:cstheme="minorBidi"/>
              <w:b w:val="0"/>
              <w:bCs w:val="0"/>
              <w:noProof/>
              <w:sz w:val="24"/>
              <w:szCs w:val="24"/>
            </w:rPr>
          </w:pPr>
          <w:r>
            <w:rPr>
              <w:noProof/>
            </w:rPr>
            <w:t>From trial to transition</w:t>
          </w:r>
          <w:r>
            <w:rPr>
              <w:noProof/>
            </w:rPr>
            <w:tab/>
          </w:r>
          <w:r>
            <w:rPr>
              <w:noProof/>
            </w:rPr>
            <w:fldChar w:fldCharType="begin"/>
          </w:r>
          <w:r>
            <w:rPr>
              <w:noProof/>
            </w:rPr>
            <w:instrText xml:space="preserve"> PAGEREF _Toc464482093 \h </w:instrText>
          </w:r>
          <w:r>
            <w:rPr>
              <w:noProof/>
            </w:rPr>
          </w:r>
          <w:r>
            <w:rPr>
              <w:noProof/>
            </w:rPr>
            <w:fldChar w:fldCharType="separate"/>
          </w:r>
          <w:r w:rsidR="00126ADE">
            <w:rPr>
              <w:noProof/>
            </w:rPr>
            <w:t>47</w:t>
          </w:r>
          <w:r>
            <w:rPr>
              <w:noProof/>
            </w:rPr>
            <w:fldChar w:fldCharType="end"/>
          </w:r>
        </w:p>
        <w:p w14:paraId="3D7C1993" w14:textId="77777777" w:rsidR="0025647C" w:rsidRDefault="0025647C">
          <w:pPr>
            <w:pStyle w:val="TOC2"/>
            <w:tabs>
              <w:tab w:val="right" w:leader="dot" w:pos="10790"/>
            </w:tabs>
            <w:rPr>
              <w:rFonts w:eastAsiaTheme="minorEastAsia" w:cstheme="minorBidi"/>
              <w:b w:val="0"/>
              <w:bCs w:val="0"/>
              <w:noProof/>
              <w:sz w:val="24"/>
              <w:szCs w:val="24"/>
            </w:rPr>
          </w:pPr>
          <w:r>
            <w:rPr>
              <w:noProof/>
            </w:rPr>
            <w:t>Trial and early transition sites key dates</w:t>
          </w:r>
          <w:r>
            <w:rPr>
              <w:noProof/>
            </w:rPr>
            <w:tab/>
          </w:r>
          <w:r>
            <w:rPr>
              <w:noProof/>
            </w:rPr>
            <w:fldChar w:fldCharType="begin"/>
          </w:r>
          <w:r>
            <w:rPr>
              <w:noProof/>
            </w:rPr>
            <w:instrText xml:space="preserve"> PAGEREF _Toc464482094 \h </w:instrText>
          </w:r>
          <w:r>
            <w:rPr>
              <w:noProof/>
            </w:rPr>
          </w:r>
          <w:r>
            <w:rPr>
              <w:noProof/>
            </w:rPr>
            <w:fldChar w:fldCharType="separate"/>
          </w:r>
          <w:r w:rsidR="00126ADE">
            <w:rPr>
              <w:noProof/>
            </w:rPr>
            <w:t>48</w:t>
          </w:r>
          <w:r>
            <w:rPr>
              <w:noProof/>
            </w:rPr>
            <w:fldChar w:fldCharType="end"/>
          </w:r>
        </w:p>
        <w:p w14:paraId="5CEE02C1" w14:textId="77777777" w:rsidR="0025647C" w:rsidRDefault="0025647C">
          <w:pPr>
            <w:pStyle w:val="TOC2"/>
            <w:tabs>
              <w:tab w:val="right" w:leader="dot" w:pos="10790"/>
            </w:tabs>
            <w:rPr>
              <w:rFonts w:eastAsiaTheme="minorEastAsia" w:cstheme="minorBidi"/>
              <w:b w:val="0"/>
              <w:bCs w:val="0"/>
              <w:noProof/>
              <w:sz w:val="24"/>
              <w:szCs w:val="24"/>
            </w:rPr>
          </w:pPr>
          <w:r>
            <w:rPr>
              <w:noProof/>
            </w:rPr>
            <w:t>Bilateral agreements</w:t>
          </w:r>
          <w:r>
            <w:rPr>
              <w:noProof/>
            </w:rPr>
            <w:tab/>
          </w:r>
          <w:r>
            <w:rPr>
              <w:noProof/>
            </w:rPr>
            <w:fldChar w:fldCharType="begin"/>
          </w:r>
          <w:r>
            <w:rPr>
              <w:noProof/>
            </w:rPr>
            <w:instrText xml:space="preserve"> PAGEREF _Toc464482095 \h </w:instrText>
          </w:r>
          <w:r>
            <w:rPr>
              <w:noProof/>
            </w:rPr>
          </w:r>
          <w:r>
            <w:rPr>
              <w:noProof/>
            </w:rPr>
            <w:fldChar w:fldCharType="separate"/>
          </w:r>
          <w:r w:rsidR="00126ADE">
            <w:rPr>
              <w:noProof/>
            </w:rPr>
            <w:t>49</w:t>
          </w:r>
          <w:r>
            <w:rPr>
              <w:noProof/>
            </w:rPr>
            <w:fldChar w:fldCharType="end"/>
          </w:r>
        </w:p>
        <w:p w14:paraId="31EC8499" w14:textId="77777777" w:rsidR="0025647C" w:rsidRDefault="0025647C">
          <w:pPr>
            <w:pStyle w:val="TOC2"/>
            <w:tabs>
              <w:tab w:val="right" w:leader="dot" w:pos="10790"/>
            </w:tabs>
            <w:rPr>
              <w:rFonts w:eastAsiaTheme="minorEastAsia" w:cstheme="minorBidi"/>
              <w:b w:val="0"/>
              <w:bCs w:val="0"/>
              <w:noProof/>
              <w:sz w:val="24"/>
              <w:szCs w:val="24"/>
            </w:rPr>
          </w:pPr>
          <w:r>
            <w:rPr>
              <w:noProof/>
            </w:rPr>
            <w:t>Headline figures from trial and early transition sites</w:t>
          </w:r>
          <w:r>
            <w:rPr>
              <w:noProof/>
            </w:rPr>
            <w:tab/>
          </w:r>
          <w:r>
            <w:rPr>
              <w:noProof/>
            </w:rPr>
            <w:fldChar w:fldCharType="begin"/>
          </w:r>
          <w:r>
            <w:rPr>
              <w:noProof/>
            </w:rPr>
            <w:instrText xml:space="preserve"> PAGEREF _Toc464482096 \h </w:instrText>
          </w:r>
          <w:r>
            <w:rPr>
              <w:noProof/>
            </w:rPr>
          </w:r>
          <w:r>
            <w:rPr>
              <w:noProof/>
            </w:rPr>
            <w:fldChar w:fldCharType="separate"/>
          </w:r>
          <w:r w:rsidR="00126ADE">
            <w:rPr>
              <w:noProof/>
            </w:rPr>
            <w:t>51</w:t>
          </w:r>
          <w:r>
            <w:rPr>
              <w:noProof/>
            </w:rPr>
            <w:fldChar w:fldCharType="end"/>
          </w:r>
        </w:p>
        <w:p w14:paraId="59A7BD4B" w14:textId="77777777" w:rsidR="0025647C" w:rsidRDefault="0025647C">
          <w:pPr>
            <w:pStyle w:val="TOC2"/>
            <w:tabs>
              <w:tab w:val="right" w:leader="dot" w:pos="10790"/>
            </w:tabs>
            <w:rPr>
              <w:rFonts w:eastAsiaTheme="minorEastAsia" w:cstheme="minorBidi"/>
              <w:b w:val="0"/>
              <w:bCs w:val="0"/>
              <w:noProof/>
              <w:sz w:val="24"/>
              <w:szCs w:val="24"/>
            </w:rPr>
          </w:pPr>
          <w:r>
            <w:rPr>
              <w:noProof/>
            </w:rPr>
            <w:t>Highlights across trial and early transition sites in 2015-16</w:t>
          </w:r>
          <w:r>
            <w:rPr>
              <w:noProof/>
            </w:rPr>
            <w:tab/>
          </w:r>
          <w:r>
            <w:rPr>
              <w:noProof/>
            </w:rPr>
            <w:fldChar w:fldCharType="begin"/>
          </w:r>
          <w:r>
            <w:rPr>
              <w:noProof/>
            </w:rPr>
            <w:instrText xml:space="preserve"> PAGEREF _Toc464482097 \h </w:instrText>
          </w:r>
          <w:r>
            <w:rPr>
              <w:noProof/>
            </w:rPr>
          </w:r>
          <w:r>
            <w:rPr>
              <w:noProof/>
            </w:rPr>
            <w:fldChar w:fldCharType="separate"/>
          </w:r>
          <w:r w:rsidR="00126ADE">
            <w:rPr>
              <w:noProof/>
            </w:rPr>
            <w:t>54</w:t>
          </w:r>
          <w:r>
            <w:rPr>
              <w:noProof/>
            </w:rPr>
            <w:fldChar w:fldCharType="end"/>
          </w:r>
        </w:p>
        <w:p w14:paraId="1315CCAD" w14:textId="77777777" w:rsidR="0025647C" w:rsidRDefault="0025647C">
          <w:pPr>
            <w:pStyle w:val="TOC1"/>
            <w:tabs>
              <w:tab w:val="right" w:leader="dot" w:pos="10790"/>
            </w:tabs>
            <w:rPr>
              <w:rFonts w:eastAsiaTheme="minorEastAsia" w:cstheme="minorBidi"/>
              <w:b w:val="0"/>
              <w:bCs w:val="0"/>
              <w:noProof/>
            </w:rPr>
          </w:pPr>
          <w:r>
            <w:rPr>
              <w:noProof/>
            </w:rPr>
            <w:t>Delivering Growth and rollout</w:t>
          </w:r>
          <w:r>
            <w:rPr>
              <w:noProof/>
            </w:rPr>
            <w:tab/>
          </w:r>
          <w:r>
            <w:rPr>
              <w:noProof/>
            </w:rPr>
            <w:fldChar w:fldCharType="begin"/>
          </w:r>
          <w:r>
            <w:rPr>
              <w:noProof/>
            </w:rPr>
            <w:instrText xml:space="preserve"> PAGEREF _Toc464482098 \h </w:instrText>
          </w:r>
          <w:r>
            <w:rPr>
              <w:noProof/>
            </w:rPr>
          </w:r>
          <w:r>
            <w:rPr>
              <w:noProof/>
            </w:rPr>
            <w:fldChar w:fldCharType="separate"/>
          </w:r>
          <w:r w:rsidR="00126ADE">
            <w:rPr>
              <w:noProof/>
            </w:rPr>
            <w:t>60</w:t>
          </w:r>
          <w:r>
            <w:rPr>
              <w:noProof/>
            </w:rPr>
            <w:fldChar w:fldCharType="end"/>
          </w:r>
        </w:p>
        <w:p w14:paraId="4659C7F0" w14:textId="77777777" w:rsidR="0025647C" w:rsidRDefault="0025647C">
          <w:pPr>
            <w:pStyle w:val="TOC2"/>
            <w:tabs>
              <w:tab w:val="right" w:leader="dot" w:pos="10790"/>
            </w:tabs>
            <w:rPr>
              <w:rFonts w:eastAsiaTheme="minorEastAsia" w:cstheme="minorBidi"/>
              <w:b w:val="0"/>
              <w:bCs w:val="0"/>
              <w:noProof/>
              <w:sz w:val="24"/>
              <w:szCs w:val="24"/>
            </w:rPr>
          </w:pPr>
          <w:r>
            <w:rPr>
              <w:noProof/>
            </w:rPr>
            <w:t>A year of transition</w:t>
          </w:r>
          <w:r>
            <w:rPr>
              <w:noProof/>
            </w:rPr>
            <w:tab/>
          </w:r>
          <w:r>
            <w:rPr>
              <w:noProof/>
            </w:rPr>
            <w:fldChar w:fldCharType="begin"/>
          </w:r>
          <w:r>
            <w:rPr>
              <w:noProof/>
            </w:rPr>
            <w:instrText xml:space="preserve"> PAGEREF _Toc464482099 \h </w:instrText>
          </w:r>
          <w:r>
            <w:rPr>
              <w:noProof/>
            </w:rPr>
          </w:r>
          <w:r>
            <w:rPr>
              <w:noProof/>
            </w:rPr>
            <w:fldChar w:fldCharType="separate"/>
          </w:r>
          <w:r w:rsidR="00126ADE">
            <w:rPr>
              <w:noProof/>
            </w:rPr>
            <w:t>61</w:t>
          </w:r>
          <w:r>
            <w:rPr>
              <w:noProof/>
            </w:rPr>
            <w:fldChar w:fldCharType="end"/>
          </w:r>
        </w:p>
        <w:p w14:paraId="7D5819C6" w14:textId="77777777" w:rsidR="0025647C" w:rsidRDefault="0025647C">
          <w:pPr>
            <w:pStyle w:val="TOC2"/>
            <w:tabs>
              <w:tab w:val="right" w:leader="dot" w:pos="10790"/>
            </w:tabs>
            <w:rPr>
              <w:rFonts w:eastAsiaTheme="minorEastAsia" w:cstheme="minorBidi"/>
              <w:b w:val="0"/>
              <w:bCs w:val="0"/>
              <w:noProof/>
              <w:sz w:val="24"/>
              <w:szCs w:val="24"/>
            </w:rPr>
          </w:pPr>
          <w:r>
            <w:rPr>
              <w:noProof/>
            </w:rPr>
            <w:t>A process of continuous improvement</w:t>
          </w:r>
          <w:r>
            <w:rPr>
              <w:noProof/>
            </w:rPr>
            <w:tab/>
          </w:r>
          <w:r>
            <w:rPr>
              <w:noProof/>
            </w:rPr>
            <w:fldChar w:fldCharType="begin"/>
          </w:r>
          <w:r>
            <w:rPr>
              <w:noProof/>
            </w:rPr>
            <w:instrText xml:space="preserve"> PAGEREF _Toc464482100 \h </w:instrText>
          </w:r>
          <w:r>
            <w:rPr>
              <w:noProof/>
            </w:rPr>
          </w:r>
          <w:r>
            <w:rPr>
              <w:noProof/>
            </w:rPr>
            <w:fldChar w:fldCharType="separate"/>
          </w:r>
          <w:r w:rsidR="00126ADE">
            <w:rPr>
              <w:noProof/>
            </w:rPr>
            <w:t>63</w:t>
          </w:r>
          <w:r>
            <w:rPr>
              <w:noProof/>
            </w:rPr>
            <w:fldChar w:fldCharType="end"/>
          </w:r>
        </w:p>
        <w:p w14:paraId="37E1CE18" w14:textId="77777777" w:rsidR="0025647C" w:rsidRDefault="0025647C">
          <w:pPr>
            <w:pStyle w:val="TOC1"/>
            <w:tabs>
              <w:tab w:val="right" w:leader="dot" w:pos="10790"/>
            </w:tabs>
            <w:rPr>
              <w:rFonts w:eastAsiaTheme="minorEastAsia" w:cstheme="minorBidi"/>
              <w:b w:val="0"/>
              <w:bCs w:val="0"/>
              <w:noProof/>
            </w:rPr>
          </w:pPr>
          <w:r>
            <w:rPr>
              <w:noProof/>
            </w:rPr>
            <w:t>The Agency’s people and culture</w:t>
          </w:r>
          <w:r>
            <w:rPr>
              <w:noProof/>
            </w:rPr>
            <w:tab/>
          </w:r>
          <w:r>
            <w:rPr>
              <w:noProof/>
            </w:rPr>
            <w:fldChar w:fldCharType="begin"/>
          </w:r>
          <w:r>
            <w:rPr>
              <w:noProof/>
            </w:rPr>
            <w:instrText xml:space="preserve"> PAGEREF _Toc464482101 \h </w:instrText>
          </w:r>
          <w:r>
            <w:rPr>
              <w:noProof/>
            </w:rPr>
          </w:r>
          <w:r>
            <w:rPr>
              <w:noProof/>
            </w:rPr>
            <w:fldChar w:fldCharType="separate"/>
          </w:r>
          <w:r w:rsidR="00126ADE">
            <w:rPr>
              <w:noProof/>
            </w:rPr>
            <w:t>67</w:t>
          </w:r>
          <w:r>
            <w:rPr>
              <w:noProof/>
            </w:rPr>
            <w:fldChar w:fldCharType="end"/>
          </w:r>
        </w:p>
        <w:p w14:paraId="6CAC50A6" w14:textId="77777777" w:rsidR="0025647C" w:rsidRDefault="0025647C">
          <w:pPr>
            <w:pStyle w:val="TOC2"/>
            <w:tabs>
              <w:tab w:val="right" w:leader="dot" w:pos="10790"/>
            </w:tabs>
            <w:rPr>
              <w:rFonts w:eastAsiaTheme="minorEastAsia" w:cstheme="minorBidi"/>
              <w:b w:val="0"/>
              <w:bCs w:val="0"/>
              <w:noProof/>
              <w:sz w:val="24"/>
              <w:szCs w:val="24"/>
            </w:rPr>
          </w:pPr>
          <w:r>
            <w:rPr>
              <w:noProof/>
            </w:rPr>
            <w:t>A strong network</w:t>
          </w:r>
          <w:r>
            <w:rPr>
              <w:noProof/>
            </w:rPr>
            <w:tab/>
          </w:r>
          <w:r>
            <w:rPr>
              <w:noProof/>
            </w:rPr>
            <w:fldChar w:fldCharType="begin"/>
          </w:r>
          <w:r>
            <w:rPr>
              <w:noProof/>
            </w:rPr>
            <w:instrText xml:space="preserve"> PAGEREF _Toc464482102 \h </w:instrText>
          </w:r>
          <w:r>
            <w:rPr>
              <w:noProof/>
            </w:rPr>
          </w:r>
          <w:r>
            <w:rPr>
              <w:noProof/>
            </w:rPr>
            <w:fldChar w:fldCharType="separate"/>
          </w:r>
          <w:r w:rsidR="00126ADE">
            <w:rPr>
              <w:noProof/>
            </w:rPr>
            <w:t>68</w:t>
          </w:r>
          <w:r>
            <w:rPr>
              <w:noProof/>
            </w:rPr>
            <w:fldChar w:fldCharType="end"/>
          </w:r>
        </w:p>
        <w:p w14:paraId="299ED9A8" w14:textId="05C656D4" w:rsidR="0025647C" w:rsidRDefault="0025647C">
          <w:pPr>
            <w:pStyle w:val="TOC2"/>
            <w:tabs>
              <w:tab w:val="right" w:leader="dot" w:pos="10790"/>
            </w:tabs>
            <w:rPr>
              <w:rFonts w:eastAsiaTheme="minorEastAsia" w:cstheme="minorBidi"/>
              <w:b w:val="0"/>
              <w:bCs w:val="0"/>
              <w:noProof/>
              <w:sz w:val="24"/>
              <w:szCs w:val="24"/>
            </w:rPr>
          </w:pPr>
          <w:r>
            <w:rPr>
              <w:noProof/>
            </w:rPr>
            <w:t>Values</w:t>
          </w:r>
          <w:r w:rsidR="00126ADE">
            <w:rPr>
              <w:noProof/>
            </w:rPr>
            <w:tab/>
          </w:r>
          <w:r>
            <w:rPr>
              <w:noProof/>
            </w:rPr>
            <w:tab/>
          </w:r>
          <w:r>
            <w:rPr>
              <w:noProof/>
            </w:rPr>
            <w:fldChar w:fldCharType="begin"/>
          </w:r>
          <w:r>
            <w:rPr>
              <w:noProof/>
            </w:rPr>
            <w:instrText xml:space="preserve"> PAGEREF _Toc464482103 \h </w:instrText>
          </w:r>
          <w:r>
            <w:rPr>
              <w:noProof/>
            </w:rPr>
          </w:r>
          <w:r>
            <w:rPr>
              <w:noProof/>
            </w:rPr>
            <w:fldChar w:fldCharType="separate"/>
          </w:r>
          <w:r w:rsidR="00126ADE">
            <w:rPr>
              <w:noProof/>
            </w:rPr>
            <w:t>69</w:t>
          </w:r>
          <w:r>
            <w:rPr>
              <w:noProof/>
            </w:rPr>
            <w:fldChar w:fldCharType="end"/>
          </w:r>
        </w:p>
        <w:p w14:paraId="4E10C47E" w14:textId="77777777" w:rsidR="0025647C" w:rsidRDefault="0025647C">
          <w:pPr>
            <w:pStyle w:val="TOC2"/>
            <w:tabs>
              <w:tab w:val="right" w:leader="dot" w:pos="10790"/>
            </w:tabs>
            <w:rPr>
              <w:rFonts w:eastAsiaTheme="minorEastAsia" w:cstheme="minorBidi"/>
              <w:b w:val="0"/>
              <w:bCs w:val="0"/>
              <w:noProof/>
              <w:sz w:val="24"/>
              <w:szCs w:val="24"/>
            </w:rPr>
          </w:pPr>
          <w:r>
            <w:rPr>
              <w:noProof/>
            </w:rPr>
            <w:t>The Agency structure</w:t>
          </w:r>
          <w:r>
            <w:rPr>
              <w:noProof/>
            </w:rPr>
            <w:tab/>
          </w:r>
          <w:r>
            <w:rPr>
              <w:noProof/>
            </w:rPr>
            <w:fldChar w:fldCharType="begin"/>
          </w:r>
          <w:r>
            <w:rPr>
              <w:noProof/>
            </w:rPr>
            <w:instrText xml:space="preserve"> PAGEREF _Toc464482104 \h </w:instrText>
          </w:r>
          <w:r>
            <w:rPr>
              <w:noProof/>
            </w:rPr>
          </w:r>
          <w:r>
            <w:rPr>
              <w:noProof/>
            </w:rPr>
            <w:fldChar w:fldCharType="separate"/>
          </w:r>
          <w:r w:rsidR="00126ADE">
            <w:rPr>
              <w:noProof/>
            </w:rPr>
            <w:t>71</w:t>
          </w:r>
          <w:r>
            <w:rPr>
              <w:noProof/>
            </w:rPr>
            <w:fldChar w:fldCharType="end"/>
          </w:r>
        </w:p>
        <w:p w14:paraId="744EF408" w14:textId="77777777" w:rsidR="0025647C" w:rsidRDefault="0025647C">
          <w:pPr>
            <w:pStyle w:val="TOC2"/>
            <w:tabs>
              <w:tab w:val="right" w:leader="dot" w:pos="10790"/>
            </w:tabs>
            <w:rPr>
              <w:rFonts w:eastAsiaTheme="minorEastAsia" w:cstheme="minorBidi"/>
              <w:b w:val="0"/>
              <w:bCs w:val="0"/>
              <w:noProof/>
              <w:sz w:val="24"/>
              <w:szCs w:val="24"/>
            </w:rPr>
          </w:pPr>
          <w:r>
            <w:rPr>
              <w:noProof/>
            </w:rPr>
            <w:t>The Agency Board</w:t>
          </w:r>
          <w:r>
            <w:rPr>
              <w:noProof/>
            </w:rPr>
            <w:tab/>
          </w:r>
          <w:r>
            <w:rPr>
              <w:noProof/>
            </w:rPr>
            <w:fldChar w:fldCharType="begin"/>
          </w:r>
          <w:r>
            <w:rPr>
              <w:noProof/>
            </w:rPr>
            <w:instrText xml:space="preserve"> PAGEREF _Toc464482105 \h </w:instrText>
          </w:r>
          <w:r>
            <w:rPr>
              <w:noProof/>
            </w:rPr>
          </w:r>
          <w:r>
            <w:rPr>
              <w:noProof/>
            </w:rPr>
            <w:fldChar w:fldCharType="separate"/>
          </w:r>
          <w:r w:rsidR="00126ADE">
            <w:rPr>
              <w:noProof/>
            </w:rPr>
            <w:t>72</w:t>
          </w:r>
          <w:r>
            <w:rPr>
              <w:noProof/>
            </w:rPr>
            <w:fldChar w:fldCharType="end"/>
          </w:r>
        </w:p>
        <w:p w14:paraId="13F4C414" w14:textId="77777777" w:rsidR="0025647C" w:rsidRDefault="0025647C">
          <w:pPr>
            <w:pStyle w:val="TOC2"/>
            <w:tabs>
              <w:tab w:val="right" w:leader="dot" w:pos="10790"/>
            </w:tabs>
            <w:rPr>
              <w:rFonts w:eastAsiaTheme="minorEastAsia" w:cstheme="minorBidi"/>
              <w:b w:val="0"/>
              <w:bCs w:val="0"/>
              <w:noProof/>
              <w:sz w:val="24"/>
              <w:szCs w:val="24"/>
            </w:rPr>
          </w:pPr>
          <w:r>
            <w:rPr>
              <w:noProof/>
            </w:rPr>
            <w:t>Board members</w:t>
          </w:r>
          <w:r>
            <w:rPr>
              <w:noProof/>
            </w:rPr>
            <w:tab/>
          </w:r>
          <w:r>
            <w:rPr>
              <w:noProof/>
            </w:rPr>
            <w:fldChar w:fldCharType="begin"/>
          </w:r>
          <w:r>
            <w:rPr>
              <w:noProof/>
            </w:rPr>
            <w:instrText xml:space="preserve"> PAGEREF _Toc464482106 \h </w:instrText>
          </w:r>
          <w:r>
            <w:rPr>
              <w:noProof/>
            </w:rPr>
          </w:r>
          <w:r>
            <w:rPr>
              <w:noProof/>
            </w:rPr>
            <w:fldChar w:fldCharType="separate"/>
          </w:r>
          <w:r w:rsidR="00126ADE">
            <w:rPr>
              <w:noProof/>
            </w:rPr>
            <w:t>74</w:t>
          </w:r>
          <w:r>
            <w:rPr>
              <w:noProof/>
            </w:rPr>
            <w:fldChar w:fldCharType="end"/>
          </w:r>
        </w:p>
        <w:p w14:paraId="3012FFC5" w14:textId="77777777" w:rsidR="0025647C" w:rsidRDefault="0025647C">
          <w:pPr>
            <w:pStyle w:val="TOC2"/>
            <w:tabs>
              <w:tab w:val="right" w:leader="dot" w:pos="10790"/>
            </w:tabs>
            <w:rPr>
              <w:rFonts w:eastAsiaTheme="minorEastAsia" w:cstheme="minorBidi"/>
              <w:b w:val="0"/>
              <w:bCs w:val="0"/>
              <w:noProof/>
              <w:sz w:val="24"/>
              <w:szCs w:val="24"/>
            </w:rPr>
          </w:pPr>
          <w:r>
            <w:rPr>
              <w:noProof/>
            </w:rPr>
            <w:t>Independent Advisory Council</w:t>
          </w:r>
          <w:r>
            <w:rPr>
              <w:noProof/>
            </w:rPr>
            <w:tab/>
          </w:r>
          <w:r>
            <w:rPr>
              <w:noProof/>
            </w:rPr>
            <w:fldChar w:fldCharType="begin"/>
          </w:r>
          <w:r>
            <w:rPr>
              <w:noProof/>
            </w:rPr>
            <w:instrText xml:space="preserve"> PAGEREF _Toc464482107 \h </w:instrText>
          </w:r>
          <w:r>
            <w:rPr>
              <w:noProof/>
            </w:rPr>
          </w:r>
          <w:r>
            <w:rPr>
              <w:noProof/>
            </w:rPr>
            <w:fldChar w:fldCharType="separate"/>
          </w:r>
          <w:r w:rsidR="00126ADE">
            <w:rPr>
              <w:noProof/>
            </w:rPr>
            <w:t>81</w:t>
          </w:r>
          <w:r>
            <w:rPr>
              <w:noProof/>
            </w:rPr>
            <w:fldChar w:fldCharType="end"/>
          </w:r>
        </w:p>
        <w:p w14:paraId="63EAED80" w14:textId="77777777" w:rsidR="0025647C" w:rsidRDefault="0025647C">
          <w:pPr>
            <w:pStyle w:val="TOC2"/>
            <w:tabs>
              <w:tab w:val="right" w:leader="dot" w:pos="10790"/>
            </w:tabs>
            <w:rPr>
              <w:rFonts w:eastAsiaTheme="minorEastAsia" w:cstheme="minorBidi"/>
              <w:b w:val="0"/>
              <w:bCs w:val="0"/>
              <w:noProof/>
              <w:sz w:val="24"/>
              <w:szCs w:val="24"/>
            </w:rPr>
          </w:pPr>
          <w:r>
            <w:rPr>
              <w:noProof/>
            </w:rPr>
            <w:lastRenderedPageBreak/>
            <w:t>Management committees</w:t>
          </w:r>
          <w:r>
            <w:rPr>
              <w:noProof/>
            </w:rPr>
            <w:tab/>
          </w:r>
          <w:r>
            <w:rPr>
              <w:noProof/>
            </w:rPr>
            <w:fldChar w:fldCharType="begin"/>
          </w:r>
          <w:r>
            <w:rPr>
              <w:noProof/>
            </w:rPr>
            <w:instrText xml:space="preserve"> PAGEREF _Toc464482108 \h </w:instrText>
          </w:r>
          <w:r>
            <w:rPr>
              <w:noProof/>
            </w:rPr>
          </w:r>
          <w:r>
            <w:rPr>
              <w:noProof/>
            </w:rPr>
            <w:fldChar w:fldCharType="separate"/>
          </w:r>
          <w:r w:rsidR="00126ADE">
            <w:rPr>
              <w:noProof/>
            </w:rPr>
            <w:t>84</w:t>
          </w:r>
          <w:r>
            <w:rPr>
              <w:noProof/>
            </w:rPr>
            <w:fldChar w:fldCharType="end"/>
          </w:r>
        </w:p>
        <w:p w14:paraId="46A62589" w14:textId="77777777" w:rsidR="0025647C" w:rsidRDefault="0025647C">
          <w:pPr>
            <w:pStyle w:val="TOC2"/>
            <w:tabs>
              <w:tab w:val="right" w:leader="dot" w:pos="10790"/>
            </w:tabs>
            <w:rPr>
              <w:rFonts w:eastAsiaTheme="minorEastAsia" w:cstheme="minorBidi"/>
              <w:b w:val="0"/>
              <w:bCs w:val="0"/>
              <w:noProof/>
              <w:sz w:val="24"/>
              <w:szCs w:val="24"/>
            </w:rPr>
          </w:pPr>
          <w:r>
            <w:rPr>
              <w:noProof/>
            </w:rPr>
            <w:t>The NDIA organisation</w:t>
          </w:r>
          <w:r>
            <w:rPr>
              <w:noProof/>
            </w:rPr>
            <w:tab/>
          </w:r>
          <w:r>
            <w:rPr>
              <w:noProof/>
            </w:rPr>
            <w:fldChar w:fldCharType="begin"/>
          </w:r>
          <w:r>
            <w:rPr>
              <w:noProof/>
            </w:rPr>
            <w:instrText xml:space="preserve"> PAGEREF _Toc464482109 \h </w:instrText>
          </w:r>
          <w:r>
            <w:rPr>
              <w:noProof/>
            </w:rPr>
          </w:r>
          <w:r>
            <w:rPr>
              <w:noProof/>
            </w:rPr>
            <w:fldChar w:fldCharType="separate"/>
          </w:r>
          <w:r w:rsidR="00126ADE">
            <w:rPr>
              <w:noProof/>
            </w:rPr>
            <w:t>85</w:t>
          </w:r>
          <w:r>
            <w:rPr>
              <w:noProof/>
            </w:rPr>
            <w:fldChar w:fldCharType="end"/>
          </w:r>
        </w:p>
        <w:p w14:paraId="6EFAD108" w14:textId="77777777" w:rsidR="0025647C" w:rsidRDefault="0025647C">
          <w:pPr>
            <w:pStyle w:val="TOC2"/>
            <w:tabs>
              <w:tab w:val="right" w:leader="dot" w:pos="10790"/>
            </w:tabs>
            <w:rPr>
              <w:rFonts w:eastAsiaTheme="minorEastAsia" w:cstheme="minorBidi"/>
              <w:b w:val="0"/>
              <w:bCs w:val="0"/>
              <w:noProof/>
              <w:sz w:val="24"/>
              <w:szCs w:val="24"/>
            </w:rPr>
          </w:pPr>
          <w:r>
            <w:rPr>
              <w:noProof/>
            </w:rPr>
            <w:t>Workforce planning</w:t>
          </w:r>
          <w:r>
            <w:rPr>
              <w:noProof/>
            </w:rPr>
            <w:tab/>
          </w:r>
          <w:r>
            <w:rPr>
              <w:noProof/>
            </w:rPr>
            <w:fldChar w:fldCharType="begin"/>
          </w:r>
          <w:r>
            <w:rPr>
              <w:noProof/>
            </w:rPr>
            <w:instrText xml:space="preserve"> PAGEREF _Toc464482110 \h </w:instrText>
          </w:r>
          <w:r>
            <w:rPr>
              <w:noProof/>
            </w:rPr>
          </w:r>
          <w:r>
            <w:rPr>
              <w:noProof/>
            </w:rPr>
            <w:fldChar w:fldCharType="separate"/>
          </w:r>
          <w:r w:rsidR="00126ADE">
            <w:rPr>
              <w:noProof/>
            </w:rPr>
            <w:t>92</w:t>
          </w:r>
          <w:r>
            <w:rPr>
              <w:noProof/>
            </w:rPr>
            <w:fldChar w:fldCharType="end"/>
          </w:r>
        </w:p>
        <w:p w14:paraId="27321F10" w14:textId="77777777" w:rsidR="0025647C" w:rsidRDefault="0025647C">
          <w:pPr>
            <w:pStyle w:val="TOC1"/>
            <w:tabs>
              <w:tab w:val="right" w:leader="dot" w:pos="10790"/>
            </w:tabs>
            <w:rPr>
              <w:rFonts w:eastAsiaTheme="minorEastAsia" w:cstheme="minorBidi"/>
              <w:b w:val="0"/>
              <w:bCs w:val="0"/>
              <w:noProof/>
            </w:rPr>
          </w:pPr>
          <w:r>
            <w:rPr>
              <w:noProof/>
            </w:rPr>
            <w:t>Section 2 Performance report</w:t>
          </w:r>
          <w:r>
            <w:rPr>
              <w:noProof/>
            </w:rPr>
            <w:tab/>
          </w:r>
          <w:r>
            <w:rPr>
              <w:noProof/>
            </w:rPr>
            <w:fldChar w:fldCharType="begin"/>
          </w:r>
          <w:r>
            <w:rPr>
              <w:noProof/>
            </w:rPr>
            <w:instrText xml:space="preserve"> PAGEREF _Toc464482111 \h </w:instrText>
          </w:r>
          <w:r>
            <w:rPr>
              <w:noProof/>
            </w:rPr>
          </w:r>
          <w:r>
            <w:rPr>
              <w:noProof/>
            </w:rPr>
            <w:fldChar w:fldCharType="separate"/>
          </w:r>
          <w:r w:rsidR="00126ADE">
            <w:rPr>
              <w:noProof/>
            </w:rPr>
            <w:t>97</w:t>
          </w:r>
          <w:r>
            <w:rPr>
              <w:noProof/>
            </w:rPr>
            <w:fldChar w:fldCharType="end"/>
          </w:r>
        </w:p>
        <w:p w14:paraId="48DE65BB" w14:textId="77777777" w:rsidR="0025647C" w:rsidRDefault="0025647C">
          <w:pPr>
            <w:pStyle w:val="TOC2"/>
            <w:tabs>
              <w:tab w:val="right" w:leader="dot" w:pos="10790"/>
            </w:tabs>
            <w:rPr>
              <w:rFonts w:eastAsiaTheme="minorEastAsia" w:cstheme="minorBidi"/>
              <w:b w:val="0"/>
              <w:bCs w:val="0"/>
              <w:noProof/>
              <w:sz w:val="24"/>
              <w:szCs w:val="24"/>
            </w:rPr>
          </w:pPr>
          <w:r>
            <w:rPr>
              <w:noProof/>
            </w:rPr>
            <w:t>Performance statements authority</w:t>
          </w:r>
          <w:r>
            <w:rPr>
              <w:noProof/>
            </w:rPr>
            <w:tab/>
          </w:r>
          <w:r>
            <w:rPr>
              <w:noProof/>
            </w:rPr>
            <w:fldChar w:fldCharType="begin"/>
          </w:r>
          <w:r>
            <w:rPr>
              <w:noProof/>
            </w:rPr>
            <w:instrText xml:space="preserve"> PAGEREF _Toc464482112 \h </w:instrText>
          </w:r>
          <w:r>
            <w:rPr>
              <w:noProof/>
            </w:rPr>
          </w:r>
          <w:r>
            <w:rPr>
              <w:noProof/>
            </w:rPr>
            <w:fldChar w:fldCharType="separate"/>
          </w:r>
          <w:r w:rsidR="00126ADE">
            <w:rPr>
              <w:noProof/>
            </w:rPr>
            <w:t>98</w:t>
          </w:r>
          <w:r>
            <w:rPr>
              <w:noProof/>
            </w:rPr>
            <w:fldChar w:fldCharType="end"/>
          </w:r>
        </w:p>
        <w:p w14:paraId="16F18443" w14:textId="77777777" w:rsidR="0025647C" w:rsidRDefault="0025647C">
          <w:pPr>
            <w:pStyle w:val="TOC2"/>
            <w:tabs>
              <w:tab w:val="right" w:leader="dot" w:pos="10790"/>
            </w:tabs>
            <w:rPr>
              <w:rFonts w:eastAsiaTheme="minorEastAsia" w:cstheme="minorBidi"/>
              <w:b w:val="0"/>
              <w:bCs w:val="0"/>
              <w:noProof/>
              <w:sz w:val="24"/>
              <w:szCs w:val="24"/>
            </w:rPr>
          </w:pPr>
          <w:r>
            <w:rPr>
              <w:noProof/>
            </w:rPr>
            <w:t>Performance report</w:t>
          </w:r>
          <w:r>
            <w:rPr>
              <w:noProof/>
            </w:rPr>
            <w:tab/>
          </w:r>
          <w:r>
            <w:rPr>
              <w:noProof/>
            </w:rPr>
            <w:fldChar w:fldCharType="begin"/>
          </w:r>
          <w:r>
            <w:rPr>
              <w:noProof/>
            </w:rPr>
            <w:instrText xml:space="preserve"> PAGEREF _Toc464482113 \h </w:instrText>
          </w:r>
          <w:r>
            <w:rPr>
              <w:noProof/>
            </w:rPr>
          </w:r>
          <w:r>
            <w:rPr>
              <w:noProof/>
            </w:rPr>
            <w:fldChar w:fldCharType="separate"/>
          </w:r>
          <w:r w:rsidR="00126ADE">
            <w:rPr>
              <w:noProof/>
            </w:rPr>
            <w:t>99</w:t>
          </w:r>
          <w:r>
            <w:rPr>
              <w:noProof/>
            </w:rPr>
            <w:fldChar w:fldCharType="end"/>
          </w:r>
        </w:p>
        <w:p w14:paraId="4A6BC333" w14:textId="77777777" w:rsidR="0025647C" w:rsidRDefault="0025647C">
          <w:pPr>
            <w:pStyle w:val="TOC2"/>
            <w:tabs>
              <w:tab w:val="right" w:leader="dot" w:pos="10790"/>
            </w:tabs>
            <w:rPr>
              <w:rFonts w:eastAsiaTheme="minorEastAsia" w:cstheme="minorBidi"/>
              <w:b w:val="0"/>
              <w:bCs w:val="0"/>
              <w:noProof/>
              <w:sz w:val="24"/>
              <w:szCs w:val="24"/>
            </w:rPr>
          </w:pPr>
          <w:r>
            <w:rPr>
              <w:noProof/>
            </w:rPr>
            <w:t>Program 1.1: Reasonable and necessary care and support for participants</w:t>
          </w:r>
          <w:r>
            <w:rPr>
              <w:noProof/>
            </w:rPr>
            <w:tab/>
          </w:r>
          <w:r>
            <w:rPr>
              <w:noProof/>
            </w:rPr>
            <w:fldChar w:fldCharType="begin"/>
          </w:r>
          <w:r>
            <w:rPr>
              <w:noProof/>
            </w:rPr>
            <w:instrText xml:space="preserve"> PAGEREF _Toc464482114 \h </w:instrText>
          </w:r>
          <w:r>
            <w:rPr>
              <w:noProof/>
            </w:rPr>
          </w:r>
          <w:r>
            <w:rPr>
              <w:noProof/>
            </w:rPr>
            <w:fldChar w:fldCharType="separate"/>
          </w:r>
          <w:r w:rsidR="00126ADE">
            <w:rPr>
              <w:noProof/>
            </w:rPr>
            <w:t>101</w:t>
          </w:r>
          <w:r>
            <w:rPr>
              <w:noProof/>
            </w:rPr>
            <w:fldChar w:fldCharType="end"/>
          </w:r>
        </w:p>
        <w:p w14:paraId="232C5299" w14:textId="58435709" w:rsidR="0025647C" w:rsidRDefault="0025647C">
          <w:pPr>
            <w:pStyle w:val="TOC2"/>
            <w:tabs>
              <w:tab w:val="right" w:leader="dot" w:pos="10790"/>
            </w:tabs>
            <w:rPr>
              <w:rFonts w:eastAsiaTheme="minorEastAsia" w:cstheme="minorBidi"/>
              <w:b w:val="0"/>
              <w:bCs w:val="0"/>
              <w:noProof/>
              <w:sz w:val="24"/>
              <w:szCs w:val="24"/>
            </w:rPr>
          </w:pPr>
          <w:r>
            <w:rPr>
              <w:noProof/>
            </w:rPr>
            <w:t>Program 1.2: Community Inclusion and </w:t>
          </w:r>
          <w:r w:rsidR="00126ADE">
            <w:rPr>
              <w:noProof/>
            </w:rPr>
            <w:br/>
          </w:r>
          <w:r>
            <w:rPr>
              <w:noProof/>
            </w:rPr>
            <w:t>Capacity Development (CICD) Grants</w:t>
          </w:r>
          <w:r>
            <w:rPr>
              <w:noProof/>
            </w:rPr>
            <w:tab/>
          </w:r>
          <w:r>
            <w:rPr>
              <w:noProof/>
            </w:rPr>
            <w:fldChar w:fldCharType="begin"/>
          </w:r>
          <w:r>
            <w:rPr>
              <w:noProof/>
            </w:rPr>
            <w:instrText xml:space="preserve"> PAGEREF _Toc464482115 \h </w:instrText>
          </w:r>
          <w:r>
            <w:rPr>
              <w:noProof/>
            </w:rPr>
          </w:r>
          <w:r>
            <w:rPr>
              <w:noProof/>
            </w:rPr>
            <w:fldChar w:fldCharType="separate"/>
          </w:r>
          <w:r w:rsidR="00126ADE">
            <w:rPr>
              <w:noProof/>
            </w:rPr>
            <w:t>104</w:t>
          </w:r>
          <w:r>
            <w:rPr>
              <w:noProof/>
            </w:rPr>
            <w:fldChar w:fldCharType="end"/>
          </w:r>
        </w:p>
        <w:p w14:paraId="76696D9A" w14:textId="77777777" w:rsidR="0025647C" w:rsidRDefault="0025647C">
          <w:pPr>
            <w:pStyle w:val="TOC2"/>
            <w:tabs>
              <w:tab w:val="right" w:leader="dot" w:pos="10790"/>
            </w:tabs>
            <w:rPr>
              <w:rFonts w:eastAsiaTheme="minorEastAsia" w:cstheme="minorBidi"/>
              <w:b w:val="0"/>
              <w:bCs w:val="0"/>
              <w:noProof/>
              <w:sz w:val="24"/>
              <w:szCs w:val="24"/>
            </w:rPr>
          </w:pPr>
          <w:r>
            <w:rPr>
              <w:noProof/>
            </w:rPr>
            <w:t>Program 1.3 Agency costs</w:t>
          </w:r>
          <w:r>
            <w:rPr>
              <w:noProof/>
            </w:rPr>
            <w:tab/>
          </w:r>
          <w:r>
            <w:rPr>
              <w:noProof/>
            </w:rPr>
            <w:fldChar w:fldCharType="begin"/>
          </w:r>
          <w:r>
            <w:rPr>
              <w:noProof/>
            </w:rPr>
            <w:instrText xml:space="preserve"> PAGEREF _Toc464482116 \h </w:instrText>
          </w:r>
          <w:r>
            <w:rPr>
              <w:noProof/>
            </w:rPr>
          </w:r>
          <w:r>
            <w:rPr>
              <w:noProof/>
            </w:rPr>
            <w:fldChar w:fldCharType="separate"/>
          </w:r>
          <w:r w:rsidR="00126ADE">
            <w:rPr>
              <w:noProof/>
            </w:rPr>
            <w:t>109</w:t>
          </w:r>
          <w:r>
            <w:rPr>
              <w:noProof/>
            </w:rPr>
            <w:fldChar w:fldCharType="end"/>
          </w:r>
        </w:p>
        <w:p w14:paraId="459EABB9" w14:textId="2A6ED381" w:rsidR="0025647C" w:rsidRDefault="0025647C">
          <w:pPr>
            <w:pStyle w:val="TOC2"/>
            <w:tabs>
              <w:tab w:val="right" w:leader="dot" w:pos="10790"/>
            </w:tabs>
            <w:rPr>
              <w:rFonts w:eastAsiaTheme="minorEastAsia" w:cstheme="minorBidi"/>
              <w:b w:val="0"/>
              <w:bCs w:val="0"/>
              <w:noProof/>
              <w:sz w:val="24"/>
              <w:szCs w:val="24"/>
            </w:rPr>
          </w:pPr>
          <w:r>
            <w:rPr>
              <w:noProof/>
            </w:rPr>
            <w:t xml:space="preserve">Goal 1: The National Disability Insurance Scheme is </w:t>
          </w:r>
          <w:r w:rsidR="00126ADE">
            <w:rPr>
              <w:noProof/>
            </w:rPr>
            <w:br/>
          </w:r>
          <w:r>
            <w:rPr>
              <w:noProof/>
            </w:rPr>
            <w:t>financially sustainable and governed using insurance principles</w:t>
          </w:r>
          <w:r>
            <w:rPr>
              <w:noProof/>
            </w:rPr>
            <w:tab/>
          </w:r>
          <w:r>
            <w:rPr>
              <w:noProof/>
            </w:rPr>
            <w:fldChar w:fldCharType="begin"/>
          </w:r>
          <w:r>
            <w:rPr>
              <w:noProof/>
            </w:rPr>
            <w:instrText xml:space="preserve"> PAGEREF _Toc464482117 \h </w:instrText>
          </w:r>
          <w:r>
            <w:rPr>
              <w:noProof/>
            </w:rPr>
          </w:r>
          <w:r>
            <w:rPr>
              <w:noProof/>
            </w:rPr>
            <w:fldChar w:fldCharType="separate"/>
          </w:r>
          <w:r w:rsidR="00126ADE">
            <w:rPr>
              <w:noProof/>
            </w:rPr>
            <w:t>112</w:t>
          </w:r>
          <w:r>
            <w:rPr>
              <w:noProof/>
            </w:rPr>
            <w:fldChar w:fldCharType="end"/>
          </w:r>
        </w:p>
        <w:p w14:paraId="732EBEEE" w14:textId="78B4D087" w:rsidR="0025647C" w:rsidRDefault="0025647C">
          <w:pPr>
            <w:pStyle w:val="TOC2"/>
            <w:tabs>
              <w:tab w:val="right" w:leader="dot" w:pos="10790"/>
            </w:tabs>
            <w:rPr>
              <w:rFonts w:eastAsiaTheme="minorEastAsia" w:cstheme="minorBidi"/>
              <w:b w:val="0"/>
              <w:bCs w:val="0"/>
              <w:noProof/>
              <w:sz w:val="24"/>
              <w:szCs w:val="24"/>
            </w:rPr>
          </w:pPr>
          <w:r>
            <w:rPr>
              <w:noProof/>
            </w:rPr>
            <w:t xml:space="preserve">Goal 2: People with disability are in control and have choices, </w:t>
          </w:r>
          <w:r w:rsidR="00126ADE">
            <w:rPr>
              <w:noProof/>
            </w:rPr>
            <w:br/>
          </w:r>
          <w:r>
            <w:rPr>
              <w:noProof/>
            </w:rPr>
            <w:t>based on the UN Convention on the Rights of Persons with Disabilities</w:t>
          </w:r>
          <w:r>
            <w:rPr>
              <w:noProof/>
            </w:rPr>
            <w:tab/>
          </w:r>
          <w:r>
            <w:rPr>
              <w:noProof/>
            </w:rPr>
            <w:fldChar w:fldCharType="begin"/>
          </w:r>
          <w:r>
            <w:rPr>
              <w:noProof/>
            </w:rPr>
            <w:instrText xml:space="preserve"> PAGEREF _Toc464482118 \h </w:instrText>
          </w:r>
          <w:r>
            <w:rPr>
              <w:noProof/>
            </w:rPr>
          </w:r>
          <w:r>
            <w:rPr>
              <w:noProof/>
            </w:rPr>
            <w:fldChar w:fldCharType="separate"/>
          </w:r>
          <w:r w:rsidR="00126ADE">
            <w:rPr>
              <w:noProof/>
            </w:rPr>
            <w:t>116</w:t>
          </w:r>
          <w:r>
            <w:rPr>
              <w:noProof/>
            </w:rPr>
            <w:fldChar w:fldCharType="end"/>
          </w:r>
        </w:p>
        <w:p w14:paraId="635FB1C9" w14:textId="59E7B0D2" w:rsidR="0025647C" w:rsidRDefault="0025647C">
          <w:pPr>
            <w:pStyle w:val="TOC2"/>
            <w:tabs>
              <w:tab w:val="right" w:leader="dot" w:pos="10790"/>
            </w:tabs>
            <w:rPr>
              <w:rFonts w:eastAsiaTheme="minorEastAsia" w:cstheme="minorBidi"/>
              <w:b w:val="0"/>
              <w:bCs w:val="0"/>
              <w:noProof/>
              <w:sz w:val="24"/>
              <w:szCs w:val="24"/>
            </w:rPr>
          </w:pPr>
          <w:r>
            <w:rPr>
              <w:noProof/>
            </w:rPr>
            <w:t xml:space="preserve">Goal 3: Community satisfaction: The community has ownership, </w:t>
          </w:r>
          <w:r w:rsidR="00126ADE">
            <w:rPr>
              <w:noProof/>
            </w:rPr>
            <w:br/>
          </w:r>
          <w:r>
            <w:rPr>
              <w:noProof/>
            </w:rPr>
            <w:t xml:space="preserve">confidence and pride in the National Disability Insurance Scheme </w:t>
          </w:r>
          <w:r w:rsidR="00126ADE">
            <w:rPr>
              <w:noProof/>
            </w:rPr>
            <w:br/>
          </w:r>
          <w:r>
            <w:rPr>
              <w:noProof/>
            </w:rPr>
            <w:t>and the National Disability Insurance Agency</w:t>
          </w:r>
          <w:r>
            <w:rPr>
              <w:noProof/>
            </w:rPr>
            <w:tab/>
          </w:r>
          <w:r>
            <w:rPr>
              <w:noProof/>
            </w:rPr>
            <w:fldChar w:fldCharType="begin"/>
          </w:r>
          <w:r>
            <w:rPr>
              <w:noProof/>
            </w:rPr>
            <w:instrText xml:space="preserve"> PAGEREF _Toc464482119 \h </w:instrText>
          </w:r>
          <w:r>
            <w:rPr>
              <w:noProof/>
            </w:rPr>
          </w:r>
          <w:r>
            <w:rPr>
              <w:noProof/>
            </w:rPr>
            <w:fldChar w:fldCharType="separate"/>
          </w:r>
          <w:r w:rsidR="00126ADE">
            <w:rPr>
              <w:noProof/>
            </w:rPr>
            <w:t>120</w:t>
          </w:r>
          <w:r>
            <w:rPr>
              <w:noProof/>
            </w:rPr>
            <w:fldChar w:fldCharType="end"/>
          </w:r>
        </w:p>
        <w:p w14:paraId="693459A3" w14:textId="77777777" w:rsidR="0025647C" w:rsidRDefault="0025647C">
          <w:pPr>
            <w:pStyle w:val="TOC2"/>
            <w:tabs>
              <w:tab w:val="right" w:leader="dot" w:pos="10790"/>
            </w:tabs>
            <w:rPr>
              <w:rFonts w:eastAsiaTheme="minorEastAsia" w:cstheme="minorBidi"/>
              <w:b w:val="0"/>
              <w:bCs w:val="0"/>
              <w:noProof/>
              <w:sz w:val="24"/>
              <w:szCs w:val="24"/>
            </w:rPr>
          </w:pPr>
          <w:r>
            <w:rPr>
              <w:noProof/>
            </w:rPr>
            <w:t>Financial performance</w:t>
          </w:r>
          <w:r>
            <w:rPr>
              <w:noProof/>
            </w:rPr>
            <w:tab/>
          </w:r>
          <w:r>
            <w:rPr>
              <w:noProof/>
            </w:rPr>
            <w:fldChar w:fldCharType="begin"/>
          </w:r>
          <w:r>
            <w:rPr>
              <w:noProof/>
            </w:rPr>
            <w:instrText xml:space="preserve"> PAGEREF _Toc464482120 \h </w:instrText>
          </w:r>
          <w:r>
            <w:rPr>
              <w:noProof/>
            </w:rPr>
          </w:r>
          <w:r>
            <w:rPr>
              <w:noProof/>
            </w:rPr>
            <w:fldChar w:fldCharType="separate"/>
          </w:r>
          <w:r w:rsidR="00126ADE">
            <w:rPr>
              <w:noProof/>
            </w:rPr>
            <w:t>123</w:t>
          </w:r>
          <w:r>
            <w:rPr>
              <w:noProof/>
            </w:rPr>
            <w:fldChar w:fldCharType="end"/>
          </w:r>
        </w:p>
        <w:p w14:paraId="185FB874" w14:textId="77777777" w:rsidR="0025647C" w:rsidRDefault="0025647C">
          <w:pPr>
            <w:pStyle w:val="TOC1"/>
            <w:tabs>
              <w:tab w:val="right" w:leader="dot" w:pos="10790"/>
            </w:tabs>
            <w:rPr>
              <w:rFonts w:eastAsiaTheme="minorEastAsia" w:cstheme="minorBidi"/>
              <w:b w:val="0"/>
              <w:bCs w:val="0"/>
              <w:noProof/>
            </w:rPr>
          </w:pPr>
          <w:r>
            <w:rPr>
              <w:noProof/>
            </w:rPr>
            <w:t>Section 3: Governance</w:t>
          </w:r>
          <w:r>
            <w:rPr>
              <w:noProof/>
            </w:rPr>
            <w:tab/>
          </w:r>
          <w:r>
            <w:rPr>
              <w:noProof/>
            </w:rPr>
            <w:fldChar w:fldCharType="begin"/>
          </w:r>
          <w:r>
            <w:rPr>
              <w:noProof/>
            </w:rPr>
            <w:instrText xml:space="preserve"> PAGEREF _Toc464482121 \h </w:instrText>
          </w:r>
          <w:r>
            <w:rPr>
              <w:noProof/>
            </w:rPr>
          </w:r>
          <w:r>
            <w:rPr>
              <w:noProof/>
            </w:rPr>
            <w:fldChar w:fldCharType="separate"/>
          </w:r>
          <w:r w:rsidR="00126ADE">
            <w:rPr>
              <w:noProof/>
            </w:rPr>
            <w:t>125</w:t>
          </w:r>
          <w:r>
            <w:rPr>
              <w:noProof/>
            </w:rPr>
            <w:fldChar w:fldCharType="end"/>
          </w:r>
        </w:p>
        <w:p w14:paraId="2B3405BF" w14:textId="77777777" w:rsidR="0025647C" w:rsidRDefault="0025647C">
          <w:pPr>
            <w:pStyle w:val="TOC2"/>
            <w:tabs>
              <w:tab w:val="right" w:leader="dot" w:pos="10790"/>
            </w:tabs>
            <w:rPr>
              <w:rFonts w:eastAsiaTheme="minorEastAsia" w:cstheme="minorBidi"/>
              <w:b w:val="0"/>
              <w:bCs w:val="0"/>
              <w:noProof/>
              <w:sz w:val="24"/>
              <w:szCs w:val="24"/>
            </w:rPr>
          </w:pPr>
          <w:r>
            <w:rPr>
              <w:noProof/>
            </w:rPr>
            <w:t>What are the key governance arrangements?</w:t>
          </w:r>
          <w:r>
            <w:rPr>
              <w:noProof/>
            </w:rPr>
            <w:tab/>
          </w:r>
          <w:r>
            <w:rPr>
              <w:noProof/>
            </w:rPr>
            <w:fldChar w:fldCharType="begin"/>
          </w:r>
          <w:r>
            <w:rPr>
              <w:noProof/>
            </w:rPr>
            <w:instrText xml:space="preserve"> PAGEREF _Toc464482122 \h </w:instrText>
          </w:r>
          <w:r>
            <w:rPr>
              <w:noProof/>
            </w:rPr>
          </w:r>
          <w:r>
            <w:rPr>
              <w:noProof/>
            </w:rPr>
            <w:fldChar w:fldCharType="separate"/>
          </w:r>
          <w:r w:rsidR="00126ADE">
            <w:rPr>
              <w:noProof/>
            </w:rPr>
            <w:t>126</w:t>
          </w:r>
          <w:r>
            <w:rPr>
              <w:noProof/>
            </w:rPr>
            <w:fldChar w:fldCharType="end"/>
          </w:r>
        </w:p>
        <w:p w14:paraId="05CD2E6E" w14:textId="77777777" w:rsidR="0025647C" w:rsidRDefault="0025647C">
          <w:pPr>
            <w:pStyle w:val="TOC2"/>
            <w:tabs>
              <w:tab w:val="right" w:leader="dot" w:pos="10790"/>
            </w:tabs>
            <w:rPr>
              <w:rFonts w:eastAsiaTheme="minorEastAsia" w:cstheme="minorBidi"/>
              <w:b w:val="0"/>
              <w:bCs w:val="0"/>
              <w:noProof/>
              <w:sz w:val="24"/>
              <w:szCs w:val="24"/>
            </w:rPr>
          </w:pPr>
          <w:r>
            <w:rPr>
              <w:noProof/>
            </w:rPr>
            <w:t>How does the NDIS fit into the National Disability Strategy?</w:t>
          </w:r>
          <w:r>
            <w:rPr>
              <w:noProof/>
            </w:rPr>
            <w:tab/>
          </w:r>
          <w:r>
            <w:rPr>
              <w:noProof/>
            </w:rPr>
            <w:fldChar w:fldCharType="begin"/>
          </w:r>
          <w:r>
            <w:rPr>
              <w:noProof/>
            </w:rPr>
            <w:instrText xml:space="preserve"> PAGEREF _Toc464482123 \h </w:instrText>
          </w:r>
          <w:r>
            <w:rPr>
              <w:noProof/>
            </w:rPr>
          </w:r>
          <w:r>
            <w:rPr>
              <w:noProof/>
            </w:rPr>
            <w:fldChar w:fldCharType="separate"/>
          </w:r>
          <w:r w:rsidR="00126ADE">
            <w:rPr>
              <w:noProof/>
            </w:rPr>
            <w:t>127</w:t>
          </w:r>
          <w:r>
            <w:rPr>
              <w:noProof/>
            </w:rPr>
            <w:fldChar w:fldCharType="end"/>
          </w:r>
        </w:p>
        <w:p w14:paraId="2B7AF4B9" w14:textId="77777777" w:rsidR="0025647C" w:rsidRDefault="0025647C">
          <w:pPr>
            <w:pStyle w:val="TOC2"/>
            <w:tabs>
              <w:tab w:val="right" w:leader="dot" w:pos="10790"/>
            </w:tabs>
            <w:rPr>
              <w:rFonts w:eastAsiaTheme="minorEastAsia" w:cstheme="minorBidi"/>
              <w:b w:val="0"/>
              <w:bCs w:val="0"/>
              <w:noProof/>
              <w:sz w:val="24"/>
              <w:szCs w:val="24"/>
            </w:rPr>
          </w:pPr>
          <w:r>
            <w:rPr>
              <w:noProof/>
            </w:rPr>
            <w:t>How is the Agency meeting its legislated objectives?</w:t>
          </w:r>
          <w:r>
            <w:rPr>
              <w:noProof/>
            </w:rPr>
            <w:tab/>
          </w:r>
          <w:r>
            <w:rPr>
              <w:noProof/>
            </w:rPr>
            <w:fldChar w:fldCharType="begin"/>
          </w:r>
          <w:r>
            <w:rPr>
              <w:noProof/>
            </w:rPr>
            <w:instrText xml:space="preserve"> PAGEREF _Toc464482124 \h </w:instrText>
          </w:r>
          <w:r>
            <w:rPr>
              <w:noProof/>
            </w:rPr>
          </w:r>
          <w:r>
            <w:rPr>
              <w:noProof/>
            </w:rPr>
            <w:fldChar w:fldCharType="separate"/>
          </w:r>
          <w:r w:rsidR="00126ADE">
            <w:rPr>
              <w:noProof/>
            </w:rPr>
            <w:t>129</w:t>
          </w:r>
          <w:r>
            <w:rPr>
              <w:noProof/>
            </w:rPr>
            <w:fldChar w:fldCharType="end"/>
          </w:r>
        </w:p>
        <w:p w14:paraId="270B30FB" w14:textId="77777777" w:rsidR="0025647C" w:rsidRDefault="0025647C">
          <w:pPr>
            <w:pStyle w:val="TOC2"/>
            <w:tabs>
              <w:tab w:val="right" w:leader="dot" w:pos="10790"/>
            </w:tabs>
            <w:rPr>
              <w:rFonts w:eastAsiaTheme="minorEastAsia" w:cstheme="minorBidi"/>
              <w:b w:val="0"/>
              <w:bCs w:val="0"/>
              <w:noProof/>
              <w:sz w:val="24"/>
              <w:szCs w:val="24"/>
            </w:rPr>
          </w:pPr>
          <w:r>
            <w:rPr>
              <w:noProof/>
            </w:rPr>
            <w:t>External scrutiny</w:t>
          </w:r>
          <w:r>
            <w:rPr>
              <w:noProof/>
            </w:rPr>
            <w:tab/>
          </w:r>
          <w:r>
            <w:rPr>
              <w:noProof/>
            </w:rPr>
            <w:fldChar w:fldCharType="begin"/>
          </w:r>
          <w:r>
            <w:rPr>
              <w:noProof/>
            </w:rPr>
            <w:instrText xml:space="preserve"> PAGEREF _Toc464482125 \h </w:instrText>
          </w:r>
          <w:r>
            <w:rPr>
              <w:noProof/>
            </w:rPr>
          </w:r>
          <w:r>
            <w:rPr>
              <w:noProof/>
            </w:rPr>
            <w:fldChar w:fldCharType="separate"/>
          </w:r>
          <w:r w:rsidR="00126ADE">
            <w:rPr>
              <w:noProof/>
            </w:rPr>
            <w:t>131</w:t>
          </w:r>
          <w:r>
            <w:rPr>
              <w:noProof/>
            </w:rPr>
            <w:fldChar w:fldCharType="end"/>
          </w:r>
        </w:p>
        <w:p w14:paraId="7362C381" w14:textId="77777777" w:rsidR="0025647C" w:rsidRDefault="0025647C">
          <w:pPr>
            <w:pStyle w:val="TOC2"/>
            <w:tabs>
              <w:tab w:val="right" w:leader="dot" w:pos="10790"/>
            </w:tabs>
            <w:rPr>
              <w:rFonts w:eastAsiaTheme="minorEastAsia" w:cstheme="minorBidi"/>
              <w:b w:val="0"/>
              <w:bCs w:val="0"/>
              <w:noProof/>
              <w:sz w:val="24"/>
              <w:szCs w:val="24"/>
            </w:rPr>
          </w:pPr>
          <w:r>
            <w:rPr>
              <w:noProof/>
            </w:rPr>
            <w:t>Facilities and Workplace Health and Safety</w:t>
          </w:r>
          <w:r>
            <w:rPr>
              <w:noProof/>
            </w:rPr>
            <w:tab/>
          </w:r>
          <w:r>
            <w:rPr>
              <w:noProof/>
            </w:rPr>
            <w:fldChar w:fldCharType="begin"/>
          </w:r>
          <w:r>
            <w:rPr>
              <w:noProof/>
            </w:rPr>
            <w:instrText xml:space="preserve"> PAGEREF _Toc464482126 \h </w:instrText>
          </w:r>
          <w:r>
            <w:rPr>
              <w:noProof/>
            </w:rPr>
          </w:r>
          <w:r>
            <w:rPr>
              <w:noProof/>
            </w:rPr>
            <w:fldChar w:fldCharType="separate"/>
          </w:r>
          <w:r w:rsidR="00126ADE">
            <w:rPr>
              <w:noProof/>
            </w:rPr>
            <w:t>134</w:t>
          </w:r>
          <w:r>
            <w:rPr>
              <w:noProof/>
            </w:rPr>
            <w:fldChar w:fldCharType="end"/>
          </w:r>
        </w:p>
        <w:p w14:paraId="2EF32027" w14:textId="77777777" w:rsidR="0025647C" w:rsidRDefault="0025647C">
          <w:pPr>
            <w:pStyle w:val="TOC2"/>
            <w:tabs>
              <w:tab w:val="right" w:leader="dot" w:pos="10790"/>
            </w:tabs>
            <w:rPr>
              <w:rFonts w:eastAsiaTheme="minorEastAsia" w:cstheme="minorBidi"/>
              <w:b w:val="0"/>
              <w:bCs w:val="0"/>
              <w:noProof/>
              <w:sz w:val="24"/>
              <w:szCs w:val="24"/>
            </w:rPr>
          </w:pPr>
          <w:r>
            <w:rPr>
              <w:noProof/>
            </w:rPr>
            <w:t>Reportable items</w:t>
          </w:r>
          <w:r>
            <w:rPr>
              <w:noProof/>
            </w:rPr>
            <w:tab/>
          </w:r>
          <w:r>
            <w:rPr>
              <w:noProof/>
            </w:rPr>
            <w:fldChar w:fldCharType="begin"/>
          </w:r>
          <w:r>
            <w:rPr>
              <w:noProof/>
            </w:rPr>
            <w:instrText xml:space="preserve"> PAGEREF _Toc464482127 \h </w:instrText>
          </w:r>
          <w:r>
            <w:rPr>
              <w:noProof/>
            </w:rPr>
          </w:r>
          <w:r>
            <w:rPr>
              <w:noProof/>
            </w:rPr>
            <w:fldChar w:fldCharType="separate"/>
          </w:r>
          <w:r w:rsidR="00126ADE">
            <w:rPr>
              <w:noProof/>
            </w:rPr>
            <w:t>135</w:t>
          </w:r>
          <w:r>
            <w:rPr>
              <w:noProof/>
            </w:rPr>
            <w:fldChar w:fldCharType="end"/>
          </w:r>
        </w:p>
        <w:p w14:paraId="40254E69" w14:textId="77777777" w:rsidR="0025647C" w:rsidRDefault="0025647C">
          <w:pPr>
            <w:pStyle w:val="TOC1"/>
            <w:tabs>
              <w:tab w:val="right" w:leader="dot" w:pos="10790"/>
            </w:tabs>
            <w:rPr>
              <w:rFonts w:eastAsiaTheme="minorEastAsia" w:cstheme="minorBidi"/>
              <w:b w:val="0"/>
              <w:bCs w:val="0"/>
              <w:noProof/>
            </w:rPr>
          </w:pPr>
          <w:r w:rsidRPr="00EB7EDC">
            <w:rPr>
              <w:noProof/>
              <w:lang w:val="en-GB"/>
            </w:rPr>
            <w:t>Section 4: Scheme sustainability and financial performance</w:t>
          </w:r>
          <w:r>
            <w:rPr>
              <w:noProof/>
            </w:rPr>
            <w:tab/>
          </w:r>
          <w:r>
            <w:rPr>
              <w:noProof/>
            </w:rPr>
            <w:fldChar w:fldCharType="begin"/>
          </w:r>
          <w:r>
            <w:rPr>
              <w:noProof/>
            </w:rPr>
            <w:instrText xml:space="preserve"> PAGEREF _Toc464482128 \h </w:instrText>
          </w:r>
          <w:r>
            <w:rPr>
              <w:noProof/>
            </w:rPr>
          </w:r>
          <w:r>
            <w:rPr>
              <w:noProof/>
            </w:rPr>
            <w:fldChar w:fldCharType="separate"/>
          </w:r>
          <w:r w:rsidR="00126ADE">
            <w:rPr>
              <w:noProof/>
            </w:rPr>
            <w:t>140</w:t>
          </w:r>
          <w:r>
            <w:rPr>
              <w:noProof/>
            </w:rPr>
            <w:fldChar w:fldCharType="end"/>
          </w:r>
        </w:p>
        <w:p w14:paraId="723DEE9A" w14:textId="77777777" w:rsidR="0025647C" w:rsidRDefault="0025647C">
          <w:pPr>
            <w:pStyle w:val="TOC2"/>
            <w:tabs>
              <w:tab w:val="right" w:leader="dot" w:pos="10790"/>
            </w:tabs>
            <w:rPr>
              <w:rFonts w:eastAsiaTheme="minorEastAsia" w:cstheme="minorBidi"/>
              <w:b w:val="0"/>
              <w:bCs w:val="0"/>
              <w:noProof/>
              <w:sz w:val="24"/>
              <w:szCs w:val="24"/>
            </w:rPr>
          </w:pPr>
          <w:r>
            <w:rPr>
              <w:noProof/>
            </w:rPr>
            <w:t>Annual financial sustainability report 2015-16</w:t>
          </w:r>
          <w:r>
            <w:rPr>
              <w:noProof/>
            </w:rPr>
            <w:tab/>
          </w:r>
          <w:r>
            <w:rPr>
              <w:noProof/>
            </w:rPr>
            <w:fldChar w:fldCharType="begin"/>
          </w:r>
          <w:r>
            <w:rPr>
              <w:noProof/>
            </w:rPr>
            <w:instrText xml:space="preserve"> PAGEREF _Toc464482129 \h </w:instrText>
          </w:r>
          <w:r>
            <w:rPr>
              <w:noProof/>
            </w:rPr>
          </w:r>
          <w:r>
            <w:rPr>
              <w:noProof/>
            </w:rPr>
            <w:fldChar w:fldCharType="separate"/>
          </w:r>
          <w:r w:rsidR="00126ADE">
            <w:rPr>
              <w:noProof/>
            </w:rPr>
            <w:t>141</w:t>
          </w:r>
          <w:r>
            <w:rPr>
              <w:noProof/>
            </w:rPr>
            <w:fldChar w:fldCharType="end"/>
          </w:r>
        </w:p>
        <w:p w14:paraId="4CF78FB1" w14:textId="287749FF" w:rsidR="0025647C" w:rsidRDefault="0025647C">
          <w:pPr>
            <w:pStyle w:val="TOC2"/>
            <w:tabs>
              <w:tab w:val="right" w:leader="dot" w:pos="10790"/>
            </w:tabs>
            <w:rPr>
              <w:rFonts w:eastAsiaTheme="minorEastAsia" w:cstheme="minorBidi"/>
              <w:b w:val="0"/>
              <w:bCs w:val="0"/>
              <w:noProof/>
              <w:sz w:val="24"/>
              <w:szCs w:val="24"/>
            </w:rPr>
          </w:pPr>
          <w:r>
            <w:rPr>
              <w:noProof/>
            </w:rPr>
            <w:t xml:space="preserve">National Disability Insurance Scheme Launch Transition Agency </w:t>
          </w:r>
          <w:r w:rsidR="00126ADE">
            <w:rPr>
              <w:noProof/>
            </w:rPr>
            <w:br/>
          </w:r>
          <w:r>
            <w:rPr>
              <w:noProof/>
            </w:rPr>
            <w:t>financial statements  for the period ending 30 June 2016</w:t>
          </w:r>
          <w:r>
            <w:rPr>
              <w:noProof/>
            </w:rPr>
            <w:tab/>
          </w:r>
          <w:r>
            <w:rPr>
              <w:noProof/>
            </w:rPr>
            <w:fldChar w:fldCharType="begin"/>
          </w:r>
          <w:r>
            <w:rPr>
              <w:noProof/>
            </w:rPr>
            <w:instrText xml:space="preserve"> PAGEREF _Toc464482130 \h </w:instrText>
          </w:r>
          <w:r>
            <w:rPr>
              <w:noProof/>
            </w:rPr>
          </w:r>
          <w:r>
            <w:rPr>
              <w:noProof/>
            </w:rPr>
            <w:fldChar w:fldCharType="separate"/>
          </w:r>
          <w:r w:rsidR="00126ADE">
            <w:rPr>
              <w:noProof/>
            </w:rPr>
            <w:t>143</w:t>
          </w:r>
          <w:r>
            <w:rPr>
              <w:noProof/>
            </w:rPr>
            <w:fldChar w:fldCharType="end"/>
          </w:r>
        </w:p>
        <w:p w14:paraId="2968D049" w14:textId="77777777" w:rsidR="0025647C" w:rsidRDefault="0025647C">
          <w:pPr>
            <w:pStyle w:val="TOC2"/>
            <w:tabs>
              <w:tab w:val="right" w:leader="dot" w:pos="10790"/>
            </w:tabs>
            <w:rPr>
              <w:rFonts w:eastAsiaTheme="minorEastAsia" w:cstheme="minorBidi"/>
              <w:b w:val="0"/>
              <w:bCs w:val="0"/>
              <w:noProof/>
              <w:sz w:val="24"/>
              <w:szCs w:val="24"/>
            </w:rPr>
          </w:pPr>
          <w:r>
            <w:rPr>
              <w:noProof/>
            </w:rPr>
            <w:t>Shortened forms</w:t>
          </w:r>
          <w:r>
            <w:rPr>
              <w:noProof/>
            </w:rPr>
            <w:tab/>
          </w:r>
          <w:r>
            <w:rPr>
              <w:noProof/>
            </w:rPr>
            <w:fldChar w:fldCharType="begin"/>
          </w:r>
          <w:r>
            <w:rPr>
              <w:noProof/>
            </w:rPr>
            <w:instrText xml:space="preserve"> PAGEREF _Toc464482138 \h </w:instrText>
          </w:r>
          <w:r>
            <w:rPr>
              <w:noProof/>
            </w:rPr>
          </w:r>
          <w:r>
            <w:rPr>
              <w:noProof/>
            </w:rPr>
            <w:fldChar w:fldCharType="separate"/>
          </w:r>
          <w:r w:rsidR="00126ADE">
            <w:rPr>
              <w:noProof/>
            </w:rPr>
            <w:t>60</w:t>
          </w:r>
          <w:r>
            <w:rPr>
              <w:noProof/>
            </w:rPr>
            <w:fldChar w:fldCharType="end"/>
          </w:r>
        </w:p>
        <w:p w14:paraId="350B5A36" w14:textId="77777777" w:rsidR="0025647C" w:rsidRDefault="0025647C">
          <w:pPr>
            <w:pStyle w:val="TOC2"/>
            <w:tabs>
              <w:tab w:val="right" w:leader="dot" w:pos="10790"/>
            </w:tabs>
            <w:rPr>
              <w:rFonts w:eastAsiaTheme="minorEastAsia" w:cstheme="minorBidi"/>
              <w:b w:val="0"/>
              <w:bCs w:val="0"/>
              <w:noProof/>
              <w:sz w:val="24"/>
              <w:szCs w:val="24"/>
            </w:rPr>
          </w:pPr>
          <w:r>
            <w:rPr>
              <w:noProof/>
            </w:rPr>
            <w:t>Glossary</w:t>
          </w:r>
          <w:r>
            <w:rPr>
              <w:noProof/>
            </w:rPr>
            <w:tab/>
          </w:r>
          <w:r>
            <w:rPr>
              <w:noProof/>
            </w:rPr>
            <w:fldChar w:fldCharType="begin"/>
          </w:r>
          <w:r>
            <w:rPr>
              <w:noProof/>
            </w:rPr>
            <w:instrText xml:space="preserve"> PAGEREF _Toc464482139 \h </w:instrText>
          </w:r>
          <w:r>
            <w:rPr>
              <w:noProof/>
            </w:rPr>
          </w:r>
          <w:r>
            <w:rPr>
              <w:noProof/>
            </w:rPr>
            <w:fldChar w:fldCharType="separate"/>
          </w:r>
          <w:r w:rsidR="00126ADE">
            <w:rPr>
              <w:noProof/>
            </w:rPr>
            <w:t>62</w:t>
          </w:r>
          <w:r>
            <w:rPr>
              <w:noProof/>
            </w:rPr>
            <w:fldChar w:fldCharType="end"/>
          </w:r>
        </w:p>
        <w:p w14:paraId="0F908D5B" w14:textId="77777777" w:rsidR="0025647C" w:rsidRDefault="0025647C">
          <w:pPr>
            <w:pStyle w:val="TOC2"/>
            <w:tabs>
              <w:tab w:val="right" w:leader="dot" w:pos="10790"/>
            </w:tabs>
            <w:rPr>
              <w:rFonts w:eastAsiaTheme="minorEastAsia" w:cstheme="minorBidi"/>
              <w:b w:val="0"/>
              <w:bCs w:val="0"/>
              <w:noProof/>
              <w:sz w:val="24"/>
              <w:szCs w:val="24"/>
            </w:rPr>
          </w:pPr>
          <w:r>
            <w:rPr>
              <w:noProof/>
            </w:rPr>
            <w:t>Appendix 1 The Agency’s Senior Management</w:t>
          </w:r>
          <w:r>
            <w:rPr>
              <w:noProof/>
            </w:rPr>
            <w:tab/>
          </w:r>
          <w:r>
            <w:rPr>
              <w:noProof/>
            </w:rPr>
            <w:fldChar w:fldCharType="begin"/>
          </w:r>
          <w:r>
            <w:rPr>
              <w:noProof/>
            </w:rPr>
            <w:instrText xml:space="preserve"> PAGEREF _Toc464482140 \h </w:instrText>
          </w:r>
          <w:r>
            <w:rPr>
              <w:noProof/>
            </w:rPr>
          </w:r>
          <w:r>
            <w:rPr>
              <w:noProof/>
            </w:rPr>
            <w:fldChar w:fldCharType="separate"/>
          </w:r>
          <w:r w:rsidR="00126ADE">
            <w:rPr>
              <w:noProof/>
            </w:rPr>
            <w:t>65</w:t>
          </w:r>
          <w:r>
            <w:rPr>
              <w:noProof/>
            </w:rPr>
            <w:fldChar w:fldCharType="end"/>
          </w:r>
        </w:p>
        <w:p w14:paraId="378B9754" w14:textId="77777777" w:rsidR="0025647C" w:rsidRDefault="0025647C">
          <w:pPr>
            <w:pStyle w:val="TOC2"/>
            <w:tabs>
              <w:tab w:val="right" w:leader="dot" w:pos="10790"/>
            </w:tabs>
            <w:rPr>
              <w:rFonts w:eastAsiaTheme="minorEastAsia" w:cstheme="minorBidi"/>
              <w:b w:val="0"/>
              <w:bCs w:val="0"/>
              <w:noProof/>
              <w:sz w:val="24"/>
              <w:szCs w:val="24"/>
            </w:rPr>
          </w:pPr>
          <w:r>
            <w:rPr>
              <w:noProof/>
            </w:rPr>
            <w:t>Appendix 2 Enabling Legislation</w:t>
          </w:r>
          <w:r>
            <w:rPr>
              <w:noProof/>
            </w:rPr>
            <w:tab/>
          </w:r>
          <w:r>
            <w:rPr>
              <w:noProof/>
            </w:rPr>
            <w:fldChar w:fldCharType="begin"/>
          </w:r>
          <w:r>
            <w:rPr>
              <w:noProof/>
            </w:rPr>
            <w:instrText xml:space="preserve"> PAGEREF _Toc464482141 \h </w:instrText>
          </w:r>
          <w:r>
            <w:rPr>
              <w:noProof/>
            </w:rPr>
          </w:r>
          <w:r>
            <w:rPr>
              <w:noProof/>
            </w:rPr>
            <w:fldChar w:fldCharType="separate"/>
          </w:r>
          <w:r w:rsidR="00126ADE">
            <w:rPr>
              <w:noProof/>
            </w:rPr>
            <w:t>69</w:t>
          </w:r>
          <w:r>
            <w:rPr>
              <w:noProof/>
            </w:rPr>
            <w:fldChar w:fldCharType="end"/>
          </w:r>
        </w:p>
        <w:p w14:paraId="01393EFF" w14:textId="77777777" w:rsidR="0025647C" w:rsidRDefault="0025647C">
          <w:pPr>
            <w:pStyle w:val="TOC2"/>
            <w:tabs>
              <w:tab w:val="right" w:leader="dot" w:pos="10790"/>
            </w:tabs>
            <w:rPr>
              <w:rFonts w:eastAsiaTheme="minorEastAsia" w:cstheme="minorBidi"/>
              <w:b w:val="0"/>
              <w:bCs w:val="0"/>
              <w:noProof/>
              <w:sz w:val="24"/>
              <w:szCs w:val="24"/>
            </w:rPr>
          </w:pPr>
          <w:r>
            <w:rPr>
              <w:noProof/>
            </w:rPr>
            <w:t>Appendix 3</w:t>
          </w:r>
          <w:r>
            <w:rPr>
              <w:noProof/>
            </w:rPr>
            <w:tab/>
          </w:r>
          <w:r>
            <w:rPr>
              <w:noProof/>
            </w:rPr>
            <w:fldChar w:fldCharType="begin"/>
          </w:r>
          <w:r>
            <w:rPr>
              <w:noProof/>
            </w:rPr>
            <w:instrText xml:space="preserve"> PAGEREF _Toc464482142 \h </w:instrText>
          </w:r>
          <w:r>
            <w:rPr>
              <w:noProof/>
            </w:rPr>
          </w:r>
          <w:r>
            <w:rPr>
              <w:noProof/>
            </w:rPr>
            <w:fldChar w:fldCharType="separate"/>
          </w:r>
          <w:r w:rsidR="00126ADE">
            <w:rPr>
              <w:noProof/>
            </w:rPr>
            <w:t>70</w:t>
          </w:r>
          <w:r>
            <w:rPr>
              <w:noProof/>
            </w:rPr>
            <w:fldChar w:fldCharType="end"/>
          </w:r>
        </w:p>
        <w:p w14:paraId="0C326913" w14:textId="77777777" w:rsidR="0025647C" w:rsidRDefault="0025647C">
          <w:pPr>
            <w:pStyle w:val="TOC2"/>
            <w:tabs>
              <w:tab w:val="right" w:leader="dot" w:pos="10790"/>
            </w:tabs>
            <w:rPr>
              <w:rFonts w:eastAsiaTheme="minorEastAsia" w:cstheme="minorBidi"/>
              <w:b w:val="0"/>
              <w:bCs w:val="0"/>
              <w:noProof/>
              <w:sz w:val="24"/>
              <w:szCs w:val="24"/>
            </w:rPr>
          </w:pPr>
          <w:r>
            <w:rPr>
              <w:noProof/>
            </w:rPr>
            <w:t>Appendix 4 Compliance index</w:t>
          </w:r>
          <w:r>
            <w:rPr>
              <w:noProof/>
            </w:rPr>
            <w:tab/>
          </w:r>
          <w:r>
            <w:rPr>
              <w:noProof/>
            </w:rPr>
            <w:fldChar w:fldCharType="begin"/>
          </w:r>
          <w:r>
            <w:rPr>
              <w:noProof/>
            </w:rPr>
            <w:instrText xml:space="preserve"> PAGEREF _Toc464482143 \h </w:instrText>
          </w:r>
          <w:r>
            <w:rPr>
              <w:noProof/>
            </w:rPr>
          </w:r>
          <w:r>
            <w:rPr>
              <w:noProof/>
            </w:rPr>
            <w:fldChar w:fldCharType="separate"/>
          </w:r>
          <w:r w:rsidR="00126ADE">
            <w:rPr>
              <w:noProof/>
            </w:rPr>
            <w:t>71</w:t>
          </w:r>
          <w:r>
            <w:rPr>
              <w:noProof/>
            </w:rPr>
            <w:fldChar w:fldCharType="end"/>
          </w:r>
        </w:p>
        <w:p w14:paraId="1F502517" w14:textId="078875CE" w:rsidR="00B208E1" w:rsidRDefault="0025647C">
          <w:r>
            <w:rPr>
              <w:rFonts w:cstheme="minorHAnsi"/>
              <w:sz w:val="22"/>
              <w:szCs w:val="22"/>
            </w:rPr>
            <w:fldChar w:fldCharType="end"/>
          </w:r>
        </w:p>
      </w:sdtContent>
    </w:sdt>
    <w:p w14:paraId="22D60497" w14:textId="5C104D0F" w:rsidR="000C7E7B" w:rsidRDefault="000C7E7B" w:rsidP="00AF05B2"/>
    <w:p w14:paraId="760CC67D" w14:textId="2A7DAEBF" w:rsidR="00985025" w:rsidRDefault="00985025" w:rsidP="00985025">
      <w:pPr>
        <w:pStyle w:val="Heading2"/>
      </w:pPr>
      <w:bookmarkStart w:id="6" w:name="_Toc464482074"/>
      <w:r>
        <w:lastRenderedPageBreak/>
        <w:t>List of tables</w:t>
      </w:r>
      <w:bookmarkEnd w:id="6"/>
    </w:p>
    <w:p w14:paraId="699CE8F4" w14:textId="77777777" w:rsidR="00A74816" w:rsidRDefault="00950C92">
      <w:pPr>
        <w:pStyle w:val="TableofFigures"/>
        <w:tabs>
          <w:tab w:val="right" w:leader="dot" w:pos="10790"/>
        </w:tabs>
        <w:rPr>
          <w:rFonts w:eastAsiaTheme="minorEastAsia"/>
          <w:noProof/>
          <w:sz w:val="24"/>
        </w:rPr>
      </w:pPr>
      <w:r>
        <w:rPr>
          <w:b/>
        </w:rPr>
        <w:fldChar w:fldCharType="begin"/>
      </w:r>
      <w:r>
        <w:rPr>
          <w:b/>
        </w:rPr>
        <w:instrText xml:space="preserve"> TOC \t "Heading 3 – Tables" \c </w:instrText>
      </w:r>
      <w:r>
        <w:rPr>
          <w:b/>
        </w:rPr>
        <w:fldChar w:fldCharType="separate"/>
      </w:r>
      <w:r w:rsidR="00A74816">
        <w:rPr>
          <w:noProof/>
        </w:rPr>
        <w:t>Table 1: Full Scheme Status Report – June 2016</w:t>
      </w:r>
      <w:r w:rsidR="00A74816">
        <w:rPr>
          <w:noProof/>
        </w:rPr>
        <w:tab/>
      </w:r>
      <w:r w:rsidR="00A74816">
        <w:rPr>
          <w:noProof/>
        </w:rPr>
        <w:fldChar w:fldCharType="begin"/>
      </w:r>
      <w:r w:rsidR="00A74816">
        <w:rPr>
          <w:noProof/>
        </w:rPr>
        <w:instrText xml:space="preserve"> PAGEREF _Toc464481223 \h </w:instrText>
      </w:r>
      <w:r w:rsidR="00A74816">
        <w:rPr>
          <w:noProof/>
        </w:rPr>
      </w:r>
      <w:r w:rsidR="00A74816">
        <w:rPr>
          <w:noProof/>
        </w:rPr>
        <w:fldChar w:fldCharType="separate"/>
      </w:r>
      <w:r w:rsidR="00A74816">
        <w:rPr>
          <w:noProof/>
        </w:rPr>
        <w:t>50</w:t>
      </w:r>
      <w:r w:rsidR="00A74816">
        <w:rPr>
          <w:noProof/>
        </w:rPr>
        <w:fldChar w:fldCharType="end"/>
      </w:r>
    </w:p>
    <w:p w14:paraId="43A1D77F" w14:textId="77777777" w:rsidR="00A74816" w:rsidRDefault="00A74816">
      <w:pPr>
        <w:pStyle w:val="TableofFigures"/>
        <w:tabs>
          <w:tab w:val="right" w:leader="dot" w:pos="10790"/>
        </w:tabs>
        <w:rPr>
          <w:rFonts w:eastAsiaTheme="minorEastAsia"/>
          <w:noProof/>
          <w:sz w:val="24"/>
        </w:rPr>
      </w:pPr>
      <w:r>
        <w:rPr>
          <w:noProof/>
        </w:rPr>
        <w:t>Table 2: Board members’ positions, terms and meetings attended</w:t>
      </w:r>
      <w:r>
        <w:rPr>
          <w:noProof/>
        </w:rPr>
        <w:tab/>
      </w:r>
      <w:r>
        <w:rPr>
          <w:noProof/>
        </w:rPr>
        <w:fldChar w:fldCharType="begin"/>
      </w:r>
      <w:r>
        <w:rPr>
          <w:noProof/>
        </w:rPr>
        <w:instrText xml:space="preserve"> PAGEREF _Toc464481224 \h </w:instrText>
      </w:r>
      <w:r>
        <w:rPr>
          <w:noProof/>
        </w:rPr>
      </w:r>
      <w:r>
        <w:rPr>
          <w:noProof/>
        </w:rPr>
        <w:fldChar w:fldCharType="separate"/>
      </w:r>
      <w:r>
        <w:rPr>
          <w:noProof/>
        </w:rPr>
        <w:t>79</w:t>
      </w:r>
      <w:r>
        <w:rPr>
          <w:noProof/>
        </w:rPr>
        <w:fldChar w:fldCharType="end"/>
      </w:r>
    </w:p>
    <w:p w14:paraId="32D4EA78" w14:textId="77777777" w:rsidR="00A74816" w:rsidRDefault="00A74816">
      <w:pPr>
        <w:pStyle w:val="TableofFigures"/>
        <w:tabs>
          <w:tab w:val="right" w:leader="dot" w:pos="10790"/>
        </w:tabs>
        <w:rPr>
          <w:rFonts w:eastAsiaTheme="minorEastAsia"/>
          <w:noProof/>
          <w:sz w:val="24"/>
        </w:rPr>
      </w:pPr>
      <w:r>
        <w:rPr>
          <w:noProof/>
        </w:rPr>
        <w:t>Table 3: NDIA staff by employment type and level, 2014–15 and 2015–16</w:t>
      </w:r>
      <w:r>
        <w:rPr>
          <w:noProof/>
        </w:rPr>
        <w:tab/>
      </w:r>
      <w:r>
        <w:rPr>
          <w:noProof/>
        </w:rPr>
        <w:fldChar w:fldCharType="begin"/>
      </w:r>
      <w:r>
        <w:rPr>
          <w:noProof/>
        </w:rPr>
        <w:instrText xml:space="preserve"> PAGEREF _Toc464481225 \h </w:instrText>
      </w:r>
      <w:r>
        <w:rPr>
          <w:noProof/>
        </w:rPr>
      </w:r>
      <w:r>
        <w:rPr>
          <w:noProof/>
        </w:rPr>
        <w:fldChar w:fldCharType="separate"/>
      </w:r>
      <w:r>
        <w:rPr>
          <w:noProof/>
        </w:rPr>
        <w:t>88</w:t>
      </w:r>
      <w:r>
        <w:rPr>
          <w:noProof/>
        </w:rPr>
        <w:fldChar w:fldCharType="end"/>
      </w:r>
    </w:p>
    <w:p w14:paraId="2D33D470" w14:textId="77777777" w:rsidR="00A74816" w:rsidRDefault="00A74816">
      <w:pPr>
        <w:pStyle w:val="TableofFigures"/>
        <w:tabs>
          <w:tab w:val="right" w:leader="dot" w:pos="10790"/>
        </w:tabs>
        <w:rPr>
          <w:rFonts w:eastAsiaTheme="minorEastAsia"/>
          <w:noProof/>
          <w:sz w:val="24"/>
        </w:rPr>
      </w:pPr>
      <w:r>
        <w:rPr>
          <w:noProof/>
        </w:rPr>
        <w:t>Table 4: NDIA staff by substantive classification (headcount), 2014-15 and 2015-16</w:t>
      </w:r>
      <w:r>
        <w:rPr>
          <w:noProof/>
        </w:rPr>
        <w:tab/>
      </w:r>
      <w:r>
        <w:rPr>
          <w:noProof/>
        </w:rPr>
        <w:fldChar w:fldCharType="begin"/>
      </w:r>
      <w:r>
        <w:rPr>
          <w:noProof/>
        </w:rPr>
        <w:instrText xml:space="preserve"> PAGEREF _Toc464481226 \h </w:instrText>
      </w:r>
      <w:r>
        <w:rPr>
          <w:noProof/>
        </w:rPr>
      </w:r>
      <w:r>
        <w:rPr>
          <w:noProof/>
        </w:rPr>
        <w:fldChar w:fldCharType="separate"/>
      </w:r>
      <w:r>
        <w:rPr>
          <w:noProof/>
        </w:rPr>
        <w:t>89</w:t>
      </w:r>
      <w:r>
        <w:rPr>
          <w:noProof/>
        </w:rPr>
        <w:fldChar w:fldCharType="end"/>
      </w:r>
    </w:p>
    <w:p w14:paraId="3869942B" w14:textId="77777777" w:rsidR="00A74816" w:rsidRDefault="00A74816">
      <w:pPr>
        <w:pStyle w:val="TableofFigures"/>
        <w:tabs>
          <w:tab w:val="right" w:leader="dot" w:pos="10790"/>
        </w:tabs>
        <w:rPr>
          <w:rFonts w:eastAsiaTheme="minorEastAsia"/>
          <w:noProof/>
          <w:sz w:val="24"/>
        </w:rPr>
      </w:pPr>
      <w:r>
        <w:rPr>
          <w:noProof/>
        </w:rPr>
        <w:t>Table 5: NDIA staff attributes, 2014-15 and 2015-16</w:t>
      </w:r>
      <w:r>
        <w:rPr>
          <w:noProof/>
        </w:rPr>
        <w:tab/>
      </w:r>
      <w:r>
        <w:rPr>
          <w:noProof/>
        </w:rPr>
        <w:fldChar w:fldCharType="begin"/>
      </w:r>
      <w:r>
        <w:rPr>
          <w:noProof/>
        </w:rPr>
        <w:instrText xml:space="preserve"> PAGEREF _Toc464481227 \h </w:instrText>
      </w:r>
      <w:r>
        <w:rPr>
          <w:noProof/>
        </w:rPr>
      </w:r>
      <w:r>
        <w:rPr>
          <w:noProof/>
        </w:rPr>
        <w:fldChar w:fldCharType="separate"/>
      </w:r>
      <w:r>
        <w:rPr>
          <w:noProof/>
        </w:rPr>
        <w:t>90</w:t>
      </w:r>
      <w:r>
        <w:rPr>
          <w:noProof/>
        </w:rPr>
        <w:fldChar w:fldCharType="end"/>
      </w:r>
    </w:p>
    <w:p w14:paraId="45661A66" w14:textId="77777777" w:rsidR="00A74816" w:rsidRDefault="00A74816">
      <w:pPr>
        <w:pStyle w:val="TableofFigures"/>
        <w:tabs>
          <w:tab w:val="right" w:leader="dot" w:pos="10790"/>
        </w:tabs>
        <w:rPr>
          <w:rFonts w:eastAsiaTheme="minorEastAsia"/>
          <w:noProof/>
          <w:sz w:val="24"/>
        </w:rPr>
      </w:pPr>
      <w:r>
        <w:rPr>
          <w:noProof/>
        </w:rPr>
        <w:t>Table 6: NDIA employees who identify as Aboriginal and Torres Strait Islander (headcount), 2014-15 and 2015-16</w:t>
      </w:r>
      <w:r>
        <w:rPr>
          <w:noProof/>
        </w:rPr>
        <w:tab/>
      </w:r>
      <w:r>
        <w:rPr>
          <w:noProof/>
        </w:rPr>
        <w:fldChar w:fldCharType="begin"/>
      </w:r>
      <w:r>
        <w:rPr>
          <w:noProof/>
        </w:rPr>
        <w:instrText xml:space="preserve"> PAGEREF _Toc464481228 \h </w:instrText>
      </w:r>
      <w:r>
        <w:rPr>
          <w:noProof/>
        </w:rPr>
      </w:r>
      <w:r>
        <w:rPr>
          <w:noProof/>
        </w:rPr>
        <w:fldChar w:fldCharType="separate"/>
      </w:r>
      <w:r>
        <w:rPr>
          <w:noProof/>
        </w:rPr>
        <w:t>90</w:t>
      </w:r>
      <w:r>
        <w:rPr>
          <w:noProof/>
        </w:rPr>
        <w:fldChar w:fldCharType="end"/>
      </w:r>
    </w:p>
    <w:p w14:paraId="790FA0A7" w14:textId="77777777" w:rsidR="00A74816" w:rsidRDefault="00A74816">
      <w:pPr>
        <w:pStyle w:val="TableofFigures"/>
        <w:tabs>
          <w:tab w:val="right" w:leader="dot" w:pos="10790"/>
        </w:tabs>
        <w:rPr>
          <w:rFonts w:eastAsiaTheme="minorEastAsia"/>
          <w:noProof/>
          <w:sz w:val="24"/>
        </w:rPr>
      </w:pPr>
      <w:r>
        <w:rPr>
          <w:noProof/>
        </w:rPr>
        <w:t>Table 7: SES salary ranges</w:t>
      </w:r>
      <w:r>
        <w:rPr>
          <w:noProof/>
        </w:rPr>
        <w:tab/>
      </w:r>
      <w:r>
        <w:rPr>
          <w:noProof/>
        </w:rPr>
        <w:fldChar w:fldCharType="begin"/>
      </w:r>
      <w:r>
        <w:rPr>
          <w:noProof/>
        </w:rPr>
        <w:instrText xml:space="preserve"> PAGEREF _Toc464481229 \h </w:instrText>
      </w:r>
      <w:r>
        <w:rPr>
          <w:noProof/>
        </w:rPr>
      </w:r>
      <w:r>
        <w:rPr>
          <w:noProof/>
        </w:rPr>
        <w:fldChar w:fldCharType="separate"/>
      </w:r>
      <w:r>
        <w:rPr>
          <w:noProof/>
        </w:rPr>
        <w:t>94</w:t>
      </w:r>
      <w:r>
        <w:rPr>
          <w:noProof/>
        </w:rPr>
        <w:fldChar w:fldCharType="end"/>
      </w:r>
    </w:p>
    <w:p w14:paraId="6793328F" w14:textId="77777777" w:rsidR="00A74816" w:rsidRDefault="00A74816">
      <w:pPr>
        <w:pStyle w:val="TableofFigures"/>
        <w:tabs>
          <w:tab w:val="right" w:leader="dot" w:pos="10790"/>
        </w:tabs>
        <w:rPr>
          <w:rFonts w:eastAsiaTheme="minorEastAsia"/>
          <w:noProof/>
          <w:sz w:val="24"/>
        </w:rPr>
      </w:pPr>
      <w:r>
        <w:rPr>
          <w:noProof/>
        </w:rPr>
        <w:t>Table 8: Grants entered into in 2015-2016</w:t>
      </w:r>
      <w:r>
        <w:rPr>
          <w:noProof/>
        </w:rPr>
        <w:tab/>
      </w:r>
      <w:r>
        <w:rPr>
          <w:noProof/>
        </w:rPr>
        <w:fldChar w:fldCharType="begin"/>
      </w:r>
      <w:r>
        <w:rPr>
          <w:noProof/>
        </w:rPr>
        <w:instrText xml:space="preserve"> PAGEREF _Toc464481230 \h </w:instrText>
      </w:r>
      <w:r>
        <w:rPr>
          <w:noProof/>
        </w:rPr>
      </w:r>
      <w:r>
        <w:rPr>
          <w:noProof/>
        </w:rPr>
        <w:fldChar w:fldCharType="separate"/>
      </w:r>
      <w:r>
        <w:rPr>
          <w:noProof/>
        </w:rPr>
        <w:t>106</w:t>
      </w:r>
      <w:r>
        <w:rPr>
          <w:noProof/>
        </w:rPr>
        <w:fldChar w:fldCharType="end"/>
      </w:r>
    </w:p>
    <w:p w14:paraId="15077696" w14:textId="77777777" w:rsidR="00A74816" w:rsidRDefault="00A74816">
      <w:pPr>
        <w:pStyle w:val="TableofFigures"/>
        <w:tabs>
          <w:tab w:val="right" w:leader="dot" w:pos="10790"/>
        </w:tabs>
        <w:rPr>
          <w:rFonts w:eastAsiaTheme="minorEastAsia"/>
          <w:noProof/>
          <w:sz w:val="24"/>
        </w:rPr>
      </w:pPr>
      <w:r>
        <w:rPr>
          <w:noProof/>
        </w:rPr>
        <w:t>Table 9: Actual costs for 2015-16</w:t>
      </w:r>
      <w:r>
        <w:rPr>
          <w:noProof/>
        </w:rPr>
        <w:tab/>
      </w:r>
      <w:r>
        <w:rPr>
          <w:noProof/>
        </w:rPr>
        <w:fldChar w:fldCharType="begin"/>
      </w:r>
      <w:r>
        <w:rPr>
          <w:noProof/>
        </w:rPr>
        <w:instrText xml:space="preserve"> PAGEREF _Toc464481231 \h </w:instrText>
      </w:r>
      <w:r>
        <w:rPr>
          <w:noProof/>
        </w:rPr>
      </w:r>
      <w:r>
        <w:rPr>
          <w:noProof/>
        </w:rPr>
        <w:fldChar w:fldCharType="separate"/>
      </w:r>
      <w:r>
        <w:rPr>
          <w:noProof/>
        </w:rPr>
        <w:t>124</w:t>
      </w:r>
      <w:r>
        <w:rPr>
          <w:noProof/>
        </w:rPr>
        <w:fldChar w:fldCharType="end"/>
      </w:r>
    </w:p>
    <w:p w14:paraId="5A5D1BC7" w14:textId="77777777" w:rsidR="00A74816" w:rsidRDefault="00A74816">
      <w:pPr>
        <w:pStyle w:val="TableofFigures"/>
        <w:tabs>
          <w:tab w:val="right" w:leader="dot" w:pos="10790"/>
        </w:tabs>
        <w:rPr>
          <w:rFonts w:eastAsiaTheme="minorEastAsia"/>
          <w:noProof/>
          <w:sz w:val="24"/>
        </w:rPr>
      </w:pPr>
      <w:r>
        <w:rPr>
          <w:noProof/>
        </w:rPr>
        <w:t>Table 10: Expenses and grants</w:t>
      </w:r>
      <w:r>
        <w:rPr>
          <w:noProof/>
        </w:rPr>
        <w:tab/>
      </w:r>
      <w:r>
        <w:rPr>
          <w:noProof/>
        </w:rPr>
        <w:fldChar w:fldCharType="begin"/>
      </w:r>
      <w:r>
        <w:rPr>
          <w:noProof/>
        </w:rPr>
        <w:instrText xml:space="preserve"> PAGEREF _Toc464481232 \h </w:instrText>
      </w:r>
      <w:r>
        <w:rPr>
          <w:noProof/>
        </w:rPr>
      </w:r>
      <w:r>
        <w:rPr>
          <w:noProof/>
        </w:rPr>
        <w:fldChar w:fldCharType="separate"/>
      </w:r>
      <w:r>
        <w:rPr>
          <w:noProof/>
        </w:rPr>
        <w:t>125</w:t>
      </w:r>
      <w:r>
        <w:rPr>
          <w:noProof/>
        </w:rPr>
        <w:fldChar w:fldCharType="end"/>
      </w:r>
    </w:p>
    <w:p w14:paraId="40FF7F7A" w14:textId="77777777" w:rsidR="00A74816" w:rsidRDefault="00A74816">
      <w:pPr>
        <w:pStyle w:val="TableofFigures"/>
        <w:tabs>
          <w:tab w:val="right" w:leader="dot" w:pos="10790"/>
        </w:tabs>
        <w:rPr>
          <w:rFonts w:eastAsiaTheme="minorEastAsia"/>
          <w:noProof/>
          <w:sz w:val="24"/>
        </w:rPr>
      </w:pPr>
      <w:r>
        <w:rPr>
          <w:noProof/>
        </w:rPr>
        <w:t>Table 12: Summary of incidents pursuant to section 38 of the WHS Act</w:t>
      </w:r>
      <w:r>
        <w:rPr>
          <w:noProof/>
        </w:rPr>
        <w:tab/>
      </w:r>
      <w:r>
        <w:rPr>
          <w:noProof/>
        </w:rPr>
        <w:fldChar w:fldCharType="begin"/>
      </w:r>
      <w:r>
        <w:rPr>
          <w:noProof/>
        </w:rPr>
        <w:instrText xml:space="preserve"> PAGEREF _Toc464481233 \h </w:instrText>
      </w:r>
      <w:r>
        <w:rPr>
          <w:noProof/>
        </w:rPr>
      </w:r>
      <w:r>
        <w:rPr>
          <w:noProof/>
        </w:rPr>
        <w:fldChar w:fldCharType="separate"/>
      </w:r>
      <w:r>
        <w:rPr>
          <w:noProof/>
        </w:rPr>
        <w:t>136</w:t>
      </w:r>
      <w:r>
        <w:rPr>
          <w:noProof/>
        </w:rPr>
        <w:fldChar w:fldCharType="end"/>
      </w:r>
    </w:p>
    <w:p w14:paraId="24CA5186" w14:textId="77777777" w:rsidR="00A74816" w:rsidRDefault="00A74816">
      <w:pPr>
        <w:pStyle w:val="TableofFigures"/>
        <w:tabs>
          <w:tab w:val="right" w:leader="dot" w:pos="10790"/>
        </w:tabs>
        <w:rPr>
          <w:rFonts w:eastAsiaTheme="minorEastAsia"/>
          <w:noProof/>
          <w:sz w:val="24"/>
        </w:rPr>
      </w:pPr>
      <w:r>
        <w:rPr>
          <w:noProof/>
        </w:rPr>
        <w:t>Table 13: Consultancy contract costs 2014-15 and 2015-16</w:t>
      </w:r>
      <w:r>
        <w:rPr>
          <w:noProof/>
        </w:rPr>
        <w:tab/>
      </w:r>
      <w:r>
        <w:rPr>
          <w:noProof/>
        </w:rPr>
        <w:fldChar w:fldCharType="begin"/>
      </w:r>
      <w:r>
        <w:rPr>
          <w:noProof/>
        </w:rPr>
        <w:instrText xml:space="preserve"> PAGEREF _Toc464481234 \h </w:instrText>
      </w:r>
      <w:r>
        <w:rPr>
          <w:noProof/>
        </w:rPr>
      </w:r>
      <w:r>
        <w:rPr>
          <w:noProof/>
        </w:rPr>
        <w:fldChar w:fldCharType="separate"/>
      </w:r>
      <w:r>
        <w:rPr>
          <w:noProof/>
        </w:rPr>
        <w:t>137</w:t>
      </w:r>
      <w:r>
        <w:rPr>
          <w:noProof/>
        </w:rPr>
        <w:fldChar w:fldCharType="end"/>
      </w:r>
    </w:p>
    <w:p w14:paraId="00A6523B" w14:textId="77777777" w:rsidR="00A74816" w:rsidRDefault="00A74816">
      <w:pPr>
        <w:pStyle w:val="TableofFigures"/>
        <w:tabs>
          <w:tab w:val="right" w:leader="dot" w:pos="10790"/>
        </w:tabs>
        <w:rPr>
          <w:rFonts w:eastAsiaTheme="minorEastAsia"/>
          <w:noProof/>
          <w:sz w:val="24"/>
        </w:rPr>
      </w:pPr>
      <w:r>
        <w:rPr>
          <w:noProof/>
        </w:rPr>
        <w:t>Table 14: Compliance with the Carer Recognition Act 2010</w:t>
      </w:r>
      <w:r>
        <w:rPr>
          <w:noProof/>
        </w:rPr>
        <w:tab/>
      </w:r>
      <w:r>
        <w:rPr>
          <w:noProof/>
        </w:rPr>
        <w:fldChar w:fldCharType="begin"/>
      </w:r>
      <w:r>
        <w:rPr>
          <w:noProof/>
        </w:rPr>
        <w:instrText xml:space="preserve"> PAGEREF _Toc464481235 \h </w:instrText>
      </w:r>
      <w:r>
        <w:rPr>
          <w:noProof/>
        </w:rPr>
      </w:r>
      <w:r>
        <w:rPr>
          <w:noProof/>
        </w:rPr>
        <w:fldChar w:fldCharType="separate"/>
      </w:r>
      <w:r>
        <w:rPr>
          <w:noProof/>
        </w:rPr>
        <w:t>70</w:t>
      </w:r>
      <w:r>
        <w:rPr>
          <w:noProof/>
        </w:rPr>
        <w:fldChar w:fldCharType="end"/>
      </w:r>
    </w:p>
    <w:p w14:paraId="07AD5F07" w14:textId="77777777" w:rsidR="00A74816" w:rsidRDefault="00A74816">
      <w:pPr>
        <w:pStyle w:val="TableofFigures"/>
        <w:tabs>
          <w:tab w:val="right" w:leader="dot" w:pos="10790"/>
        </w:tabs>
        <w:rPr>
          <w:rFonts w:eastAsiaTheme="minorEastAsia"/>
          <w:noProof/>
          <w:sz w:val="24"/>
        </w:rPr>
      </w:pPr>
      <w:r>
        <w:rPr>
          <w:noProof/>
        </w:rPr>
        <w:t>Table 15: NDIS Act 2013</w:t>
      </w:r>
      <w:r>
        <w:rPr>
          <w:noProof/>
        </w:rPr>
        <w:tab/>
      </w:r>
      <w:r>
        <w:rPr>
          <w:noProof/>
        </w:rPr>
        <w:fldChar w:fldCharType="begin"/>
      </w:r>
      <w:r>
        <w:rPr>
          <w:noProof/>
        </w:rPr>
        <w:instrText xml:space="preserve"> PAGEREF _Toc464481236 \h </w:instrText>
      </w:r>
      <w:r>
        <w:rPr>
          <w:noProof/>
        </w:rPr>
      </w:r>
      <w:r>
        <w:rPr>
          <w:noProof/>
        </w:rPr>
        <w:fldChar w:fldCharType="separate"/>
      </w:r>
      <w:r>
        <w:rPr>
          <w:noProof/>
        </w:rPr>
        <w:t>71</w:t>
      </w:r>
      <w:r>
        <w:rPr>
          <w:noProof/>
        </w:rPr>
        <w:fldChar w:fldCharType="end"/>
      </w:r>
    </w:p>
    <w:p w14:paraId="21234EDC" w14:textId="77777777" w:rsidR="00A74816" w:rsidRDefault="00A74816">
      <w:pPr>
        <w:pStyle w:val="TableofFigures"/>
        <w:tabs>
          <w:tab w:val="right" w:leader="dot" w:pos="10790"/>
        </w:tabs>
        <w:rPr>
          <w:rFonts w:eastAsiaTheme="minorEastAsia"/>
          <w:noProof/>
          <w:sz w:val="24"/>
        </w:rPr>
      </w:pPr>
      <w:r>
        <w:rPr>
          <w:noProof/>
        </w:rPr>
        <w:t>Table 16: PGPA Corporate Commonwealth Entity Rule 2014</w:t>
      </w:r>
      <w:r>
        <w:rPr>
          <w:noProof/>
        </w:rPr>
        <w:tab/>
      </w:r>
      <w:r>
        <w:rPr>
          <w:noProof/>
        </w:rPr>
        <w:fldChar w:fldCharType="begin"/>
      </w:r>
      <w:r>
        <w:rPr>
          <w:noProof/>
        </w:rPr>
        <w:instrText xml:space="preserve"> PAGEREF _Toc464481237 \h </w:instrText>
      </w:r>
      <w:r>
        <w:rPr>
          <w:noProof/>
        </w:rPr>
      </w:r>
      <w:r>
        <w:rPr>
          <w:noProof/>
        </w:rPr>
        <w:fldChar w:fldCharType="separate"/>
      </w:r>
      <w:r>
        <w:rPr>
          <w:noProof/>
        </w:rPr>
        <w:t>71</w:t>
      </w:r>
      <w:r>
        <w:rPr>
          <w:noProof/>
        </w:rPr>
        <w:fldChar w:fldCharType="end"/>
      </w:r>
    </w:p>
    <w:p w14:paraId="62951F8E" w14:textId="77777777" w:rsidR="00A74816" w:rsidRDefault="00A74816">
      <w:pPr>
        <w:pStyle w:val="TableofFigures"/>
        <w:tabs>
          <w:tab w:val="right" w:leader="dot" w:pos="10790"/>
        </w:tabs>
        <w:rPr>
          <w:rFonts w:eastAsiaTheme="minorEastAsia"/>
          <w:noProof/>
          <w:sz w:val="24"/>
        </w:rPr>
      </w:pPr>
      <w:r>
        <w:rPr>
          <w:noProof/>
        </w:rPr>
        <w:t>Table 17: Work Health and Safety Act 2011</w:t>
      </w:r>
      <w:r>
        <w:rPr>
          <w:noProof/>
        </w:rPr>
        <w:tab/>
      </w:r>
      <w:r>
        <w:rPr>
          <w:noProof/>
        </w:rPr>
        <w:fldChar w:fldCharType="begin"/>
      </w:r>
      <w:r>
        <w:rPr>
          <w:noProof/>
        </w:rPr>
        <w:instrText xml:space="preserve"> PAGEREF _Toc464481238 \h </w:instrText>
      </w:r>
      <w:r>
        <w:rPr>
          <w:noProof/>
        </w:rPr>
      </w:r>
      <w:r>
        <w:rPr>
          <w:noProof/>
        </w:rPr>
        <w:fldChar w:fldCharType="separate"/>
      </w:r>
      <w:r>
        <w:rPr>
          <w:noProof/>
        </w:rPr>
        <w:t>73</w:t>
      </w:r>
      <w:r>
        <w:rPr>
          <w:noProof/>
        </w:rPr>
        <w:fldChar w:fldCharType="end"/>
      </w:r>
    </w:p>
    <w:p w14:paraId="0DE873AD" w14:textId="77777777" w:rsidR="00A74816" w:rsidRDefault="00A74816">
      <w:pPr>
        <w:pStyle w:val="TableofFigures"/>
        <w:tabs>
          <w:tab w:val="right" w:leader="dot" w:pos="10790"/>
        </w:tabs>
        <w:rPr>
          <w:rFonts w:eastAsiaTheme="minorEastAsia"/>
          <w:noProof/>
          <w:sz w:val="24"/>
        </w:rPr>
      </w:pPr>
      <w:r>
        <w:rPr>
          <w:noProof/>
        </w:rPr>
        <w:t>Table 18: Environment Protection and Biodiversity Conservation Act 1999</w:t>
      </w:r>
      <w:r>
        <w:rPr>
          <w:noProof/>
        </w:rPr>
        <w:tab/>
      </w:r>
      <w:r>
        <w:rPr>
          <w:noProof/>
        </w:rPr>
        <w:fldChar w:fldCharType="begin"/>
      </w:r>
      <w:r>
        <w:rPr>
          <w:noProof/>
        </w:rPr>
        <w:instrText xml:space="preserve"> PAGEREF _Toc464481239 \h </w:instrText>
      </w:r>
      <w:r>
        <w:rPr>
          <w:noProof/>
        </w:rPr>
      </w:r>
      <w:r>
        <w:rPr>
          <w:noProof/>
        </w:rPr>
        <w:fldChar w:fldCharType="separate"/>
      </w:r>
      <w:r>
        <w:rPr>
          <w:noProof/>
        </w:rPr>
        <w:t>73</w:t>
      </w:r>
      <w:r>
        <w:rPr>
          <w:noProof/>
        </w:rPr>
        <w:fldChar w:fldCharType="end"/>
      </w:r>
    </w:p>
    <w:p w14:paraId="29AA70FE" w14:textId="77777777" w:rsidR="00A74816" w:rsidRDefault="00A74816">
      <w:pPr>
        <w:pStyle w:val="TableofFigures"/>
        <w:tabs>
          <w:tab w:val="right" w:leader="dot" w:pos="10790"/>
        </w:tabs>
        <w:rPr>
          <w:rFonts w:eastAsiaTheme="minorEastAsia"/>
          <w:noProof/>
          <w:sz w:val="24"/>
        </w:rPr>
      </w:pPr>
      <w:r>
        <w:rPr>
          <w:noProof/>
        </w:rPr>
        <w:t>Table 19: Freedom of Information Act 1982</w:t>
      </w:r>
      <w:r>
        <w:rPr>
          <w:noProof/>
        </w:rPr>
        <w:tab/>
      </w:r>
      <w:r>
        <w:rPr>
          <w:noProof/>
        </w:rPr>
        <w:fldChar w:fldCharType="begin"/>
      </w:r>
      <w:r>
        <w:rPr>
          <w:noProof/>
        </w:rPr>
        <w:instrText xml:space="preserve"> PAGEREF _Toc464481240 \h </w:instrText>
      </w:r>
      <w:r>
        <w:rPr>
          <w:noProof/>
        </w:rPr>
      </w:r>
      <w:r>
        <w:rPr>
          <w:noProof/>
        </w:rPr>
        <w:fldChar w:fldCharType="separate"/>
      </w:r>
      <w:r>
        <w:rPr>
          <w:noProof/>
        </w:rPr>
        <w:t>73</w:t>
      </w:r>
      <w:r>
        <w:rPr>
          <w:noProof/>
        </w:rPr>
        <w:fldChar w:fldCharType="end"/>
      </w:r>
    </w:p>
    <w:p w14:paraId="1DA584D2" w14:textId="328ADB0E" w:rsidR="00415A86" w:rsidRPr="00415A86" w:rsidRDefault="00950C92" w:rsidP="00415A86">
      <w:pPr>
        <w:pStyle w:val="Heading2"/>
        <w:rPr>
          <w:lang w:val="en-GB"/>
        </w:rPr>
      </w:pPr>
      <w:r>
        <w:rPr>
          <w:b w:val="0"/>
          <w:color w:val="auto"/>
          <w:sz w:val="20"/>
        </w:rPr>
        <w:lastRenderedPageBreak/>
        <w:fldChar w:fldCharType="end"/>
      </w:r>
      <w:bookmarkStart w:id="7" w:name="_Toc464482075"/>
      <w:r w:rsidR="00415A86" w:rsidRPr="00415A86">
        <w:rPr>
          <w:lang w:val="en-GB"/>
        </w:rPr>
        <w:t xml:space="preserve">Message from the Chair </w:t>
      </w:r>
      <w:r w:rsidR="00415A86">
        <w:rPr>
          <w:lang w:val="en-GB"/>
        </w:rPr>
        <w:br/>
      </w:r>
      <w:r w:rsidR="00415A86" w:rsidRPr="00415A86">
        <w:rPr>
          <w:lang w:val="en-GB"/>
        </w:rPr>
        <w:t>and Chief Executive Officer</w:t>
      </w:r>
      <w:bookmarkEnd w:id="7"/>
    </w:p>
    <w:p w14:paraId="71E526BB" w14:textId="77777777" w:rsidR="00415A86" w:rsidRPr="00415A86" w:rsidRDefault="00415A86" w:rsidP="003070FE">
      <w:pPr>
        <w:pStyle w:val="IntroPara"/>
      </w:pPr>
      <w:r w:rsidRPr="00415A86">
        <w:t>It is our pleasure to present the third Annual Report of the National Disability Insurance Agency (the Agency).</w:t>
      </w:r>
    </w:p>
    <w:p w14:paraId="7F0BC7D8" w14:textId="77777777" w:rsidR="00415A86" w:rsidRPr="00415A86" w:rsidRDefault="00415A86" w:rsidP="00415A86">
      <w:pPr>
        <w:rPr>
          <w:lang w:val="en-GB"/>
        </w:rPr>
      </w:pPr>
      <w:r w:rsidRPr="00415A86">
        <w:rPr>
          <w:lang w:val="en-GB"/>
        </w:rPr>
        <w:t>The last 12 months have represented another period of significant progress and achievement. The trial phase has been completed—on time, on budget and with a very high rate of participant satisfaction. The Scheme has been refined and improved—as part of the Agency’s philosophy of learning while building. And an enormous effort has gone into preparing for the transition to full Scheme which commenced on 1 July 2016.</w:t>
      </w:r>
    </w:p>
    <w:p w14:paraId="01FEA9AD" w14:textId="77777777" w:rsidR="00415A86" w:rsidRPr="00415A86" w:rsidRDefault="00415A86" w:rsidP="00415A86">
      <w:pPr>
        <w:rPr>
          <w:lang w:val="en-GB"/>
        </w:rPr>
      </w:pPr>
      <w:r w:rsidRPr="00415A86">
        <w:rPr>
          <w:lang w:val="en-GB"/>
        </w:rPr>
        <w:t xml:space="preserve">Very importantly, the full trial results indicate that the Productivity Commission’s financial forecast of full Scheme costs of $22 billion in 2019-20 remains the most reliable estimate. By continuing to embed a strong insurance approach across the organisation, the Agency will remain well placed to manage the Scheme’s long-term performance and ongoing sustainability. </w:t>
      </w:r>
    </w:p>
    <w:p w14:paraId="21BFFD3C" w14:textId="77777777" w:rsidR="00415A86" w:rsidRPr="00415A86" w:rsidRDefault="00415A86" w:rsidP="00415A86">
      <w:pPr>
        <w:rPr>
          <w:lang w:val="en-GB"/>
        </w:rPr>
      </w:pPr>
      <w:r w:rsidRPr="00415A86">
        <w:rPr>
          <w:lang w:val="en-GB"/>
        </w:rPr>
        <w:t>Bilateral agreements have been signed by the Commonwealth Government with all jurisdictions for the full implementation of the Scheme, with the exception of Western Australia (WA). In WA the trial period will be extended for another 12 months, while the results from the comparison between the Scheme and WA NDIS are evaluated.</w:t>
      </w:r>
    </w:p>
    <w:p w14:paraId="5D62A0CB" w14:textId="77777777" w:rsidR="00415A86" w:rsidRPr="00415A86" w:rsidRDefault="00415A86" w:rsidP="00415A86">
      <w:pPr>
        <w:rPr>
          <w:lang w:val="en-GB"/>
        </w:rPr>
      </w:pPr>
      <w:r w:rsidRPr="00415A86">
        <w:rPr>
          <w:lang w:val="en-GB"/>
        </w:rPr>
        <w:t xml:space="preserve">As at 30 June 2016 more than 35 000 people had become participants in the Scheme with more than 30 000 participants having approved plans. </w:t>
      </w:r>
    </w:p>
    <w:p w14:paraId="2BBF6CDB" w14:textId="77777777" w:rsidR="00415A86" w:rsidRPr="00415A86" w:rsidRDefault="00415A86" w:rsidP="00415A86">
      <w:pPr>
        <w:rPr>
          <w:lang w:val="en-GB"/>
        </w:rPr>
      </w:pPr>
      <w:r w:rsidRPr="00415A86">
        <w:rPr>
          <w:lang w:val="en-GB"/>
        </w:rPr>
        <w:t xml:space="preserve">Over the next three years it is anticipated that a further 425 000 participants will enter the Scheme. This is a major transformation, with a large number of people joining the Scheme during a short period of time, and is being introduced in stages to ensure it is successful and sustainable. </w:t>
      </w:r>
    </w:p>
    <w:p w14:paraId="69BFD09E" w14:textId="77777777" w:rsidR="00415A86" w:rsidRPr="00415A86" w:rsidRDefault="00415A86" w:rsidP="00415A86">
      <w:pPr>
        <w:rPr>
          <w:lang w:val="en-GB"/>
        </w:rPr>
      </w:pPr>
      <w:r w:rsidRPr="00415A86">
        <w:rPr>
          <w:lang w:val="en-GB"/>
        </w:rPr>
        <w:t xml:space="preserve">Implementing the Scheme will require strong partnerships between the Agency and people with disability, families, carers, service providers, Local Area Coordinators, communities, as well as governments at all levels, because the NDIS is based on mutuality. </w:t>
      </w:r>
    </w:p>
    <w:p w14:paraId="7EB32D0A" w14:textId="77777777" w:rsidR="00415A86" w:rsidRPr="00415A86" w:rsidRDefault="00415A86" w:rsidP="00415A86">
      <w:pPr>
        <w:rPr>
          <w:lang w:val="en-GB"/>
        </w:rPr>
      </w:pPr>
      <w:r w:rsidRPr="00415A86">
        <w:rPr>
          <w:lang w:val="en-GB"/>
        </w:rPr>
        <w:t>The Scheme is expected to create around 60 000 to 70 000 new jobs on a full-time equivalent basis by 2020 and will be a vital source of new employment. The Agency has developed and continues to share our detailed Market Position Statements helping the sector and new organisations anticipate and respond to expected future participant needs.</w:t>
      </w:r>
    </w:p>
    <w:p w14:paraId="3AD3CB33" w14:textId="77777777" w:rsidR="00415A86" w:rsidRPr="00415A86" w:rsidRDefault="00415A86" w:rsidP="00415A86">
      <w:pPr>
        <w:rPr>
          <w:lang w:val="en-GB"/>
        </w:rPr>
      </w:pPr>
      <w:r w:rsidRPr="00415A86">
        <w:rPr>
          <w:lang w:val="en-GB"/>
        </w:rPr>
        <w:t>In the lead up to the start of transition to full Scheme, the Agency undertook an enormous amount of work, drawn from the experiences during the trial phase, to develop a new Service Delivery Operating Model, agree new partnerships for Local Area Coordination and develop a new IT system.</w:t>
      </w:r>
    </w:p>
    <w:p w14:paraId="6A273306" w14:textId="77777777" w:rsidR="00415A86" w:rsidRPr="00415A86" w:rsidRDefault="00415A86" w:rsidP="00415A86">
      <w:pPr>
        <w:rPr>
          <w:lang w:val="en-GB"/>
        </w:rPr>
      </w:pPr>
      <w:r w:rsidRPr="00415A86">
        <w:rPr>
          <w:lang w:val="en-GB"/>
        </w:rPr>
        <w:t xml:space="preserve">In the first two months of operation of the new payments portal, </w:t>
      </w:r>
      <w:proofErr w:type="spellStart"/>
      <w:r w:rsidRPr="00415A86">
        <w:rPr>
          <w:lang w:val="en-GB"/>
        </w:rPr>
        <w:t>Myplace</w:t>
      </w:r>
      <w:proofErr w:type="spellEnd"/>
      <w:r w:rsidRPr="00415A86">
        <w:rPr>
          <w:lang w:val="en-GB"/>
        </w:rPr>
        <w:t xml:space="preserve">, there were a number of issues which blocked payments and we apologise for the stress and hardship this has caused to disability service providers and participants. Payments are now being processed successfully. </w:t>
      </w:r>
    </w:p>
    <w:p w14:paraId="7CDD62AA" w14:textId="77777777" w:rsidR="00415A86" w:rsidRPr="00415A86" w:rsidRDefault="00415A86" w:rsidP="00415A86">
      <w:pPr>
        <w:rPr>
          <w:lang w:val="en-GB"/>
        </w:rPr>
      </w:pPr>
      <w:r w:rsidRPr="00415A86">
        <w:rPr>
          <w:lang w:val="en-GB"/>
        </w:rPr>
        <w:t>This experience has been a timely reminder of the need to work closely at all times and communicate effectively with the disability sector. This will be especially important in the context of ongoing enhancements to the IT platform, including the development of an e</w:t>
      </w:r>
      <w:r w:rsidRPr="00415A86">
        <w:rPr>
          <w:rFonts w:ascii="MS Mincho" w:eastAsia="MS Mincho" w:hAnsi="MS Mincho" w:cs="MS Mincho"/>
          <w:lang w:val="en-GB"/>
        </w:rPr>
        <w:t>‑</w:t>
      </w:r>
      <w:r w:rsidRPr="00415A86">
        <w:rPr>
          <w:lang w:val="en-GB"/>
        </w:rPr>
        <w:t>market.</w:t>
      </w:r>
    </w:p>
    <w:p w14:paraId="541F0CC4" w14:textId="77777777" w:rsidR="00415A86" w:rsidRPr="00415A86" w:rsidRDefault="00415A86" w:rsidP="00415A86">
      <w:pPr>
        <w:rPr>
          <w:lang w:val="en-GB"/>
        </w:rPr>
      </w:pPr>
      <w:r w:rsidRPr="00415A86">
        <w:rPr>
          <w:lang w:val="en-GB"/>
        </w:rPr>
        <w:t xml:space="preserve">During the transition phase there will undoubtedly be many new challenges, because the size and complexity of the NDIS mean that we will not get everything right, first time. </w:t>
      </w:r>
    </w:p>
    <w:p w14:paraId="4639A287" w14:textId="77777777" w:rsidR="00415A86" w:rsidRPr="00415A86" w:rsidRDefault="00415A86" w:rsidP="00415A86">
      <w:pPr>
        <w:rPr>
          <w:lang w:val="en-GB"/>
        </w:rPr>
      </w:pPr>
      <w:r w:rsidRPr="00415A86">
        <w:rPr>
          <w:lang w:val="en-GB"/>
        </w:rPr>
        <w:t>However, our track record of agile, measured and highly effective responses to the challenges thus far should give confidence that we are building the NDIS successfully.</w:t>
      </w:r>
    </w:p>
    <w:p w14:paraId="2C1D0164" w14:textId="77777777" w:rsidR="00415A86" w:rsidRPr="00415A86" w:rsidRDefault="00415A86" w:rsidP="00415A86">
      <w:pPr>
        <w:rPr>
          <w:lang w:val="en-GB"/>
        </w:rPr>
      </w:pPr>
      <w:r w:rsidRPr="00415A86">
        <w:rPr>
          <w:lang w:val="en-GB"/>
        </w:rPr>
        <w:lastRenderedPageBreak/>
        <w:t xml:space="preserve">Our loyal and dedicated staff and partners are our greatest asset and as an employer—we are proud that nearly 16 per cent of the Agency workforce identified as having a disability and over 50 per cent of our staff have a lived experience of disability. </w:t>
      </w:r>
    </w:p>
    <w:p w14:paraId="6FCB25D4" w14:textId="77777777" w:rsidR="00415A86" w:rsidRPr="00415A86" w:rsidRDefault="00415A86" w:rsidP="00415A86">
      <w:pPr>
        <w:rPr>
          <w:lang w:val="en-GB"/>
        </w:rPr>
      </w:pPr>
      <w:r w:rsidRPr="00415A86">
        <w:rPr>
          <w:lang w:val="en-GB"/>
        </w:rPr>
        <w:t>Compared to other public service agencies we are performing well when it comes to the recruitment and retention of people with disability. However, we are striving to do more to employ people with disability and to model inclusive workplace practices.</w:t>
      </w:r>
    </w:p>
    <w:p w14:paraId="5F772150" w14:textId="77777777" w:rsidR="00415A86" w:rsidRPr="00415A86" w:rsidRDefault="00415A86" w:rsidP="00415A86">
      <w:pPr>
        <w:rPr>
          <w:lang w:val="en-GB"/>
        </w:rPr>
      </w:pPr>
      <w:r w:rsidRPr="00415A86">
        <w:rPr>
          <w:lang w:val="en-GB"/>
        </w:rPr>
        <w:t xml:space="preserve">We know that high performing teams embrace and are strengthened by their diversity, whether it be differences of opinion, personality, gender, age, race or ability. </w:t>
      </w:r>
    </w:p>
    <w:p w14:paraId="7845D818" w14:textId="77777777" w:rsidR="00415A86" w:rsidRPr="00415A86" w:rsidRDefault="00415A86" w:rsidP="00415A86">
      <w:pPr>
        <w:rPr>
          <w:lang w:val="en-GB"/>
        </w:rPr>
      </w:pPr>
      <w:r w:rsidRPr="00415A86">
        <w:rPr>
          <w:lang w:val="en-GB"/>
        </w:rPr>
        <w:t>We thank participants, their families and carers, service providers, peak bodies and the Australian community for your ongoing support of the Scheme. Your confidence, trust and support is essential.</w:t>
      </w:r>
    </w:p>
    <w:p w14:paraId="2A800F59" w14:textId="77777777" w:rsidR="00415A86" w:rsidRPr="00415A86" w:rsidRDefault="00415A86" w:rsidP="00415A86">
      <w:pPr>
        <w:rPr>
          <w:lang w:val="en-GB"/>
        </w:rPr>
      </w:pPr>
      <w:r w:rsidRPr="00415A86">
        <w:rPr>
          <w:lang w:val="en-GB"/>
        </w:rPr>
        <w:t xml:space="preserve">Finally, we would like to thank our staff and partners for their dedication and commitment. </w:t>
      </w:r>
    </w:p>
    <w:p w14:paraId="0DD9A246" w14:textId="77777777" w:rsidR="00415A86" w:rsidRPr="00415A86" w:rsidRDefault="00415A86" w:rsidP="00415A86">
      <w:pPr>
        <w:rPr>
          <w:lang w:val="en-GB"/>
        </w:rPr>
      </w:pPr>
      <w:r w:rsidRPr="00415A86">
        <w:rPr>
          <w:lang w:val="en-GB"/>
        </w:rPr>
        <w:t>Together, through shared vision, purpose and actions, we are confident we will deliver the NDIS successfully in the years ahead.</w:t>
      </w:r>
    </w:p>
    <w:p w14:paraId="59D7E69F" w14:textId="77777777" w:rsidR="00D64A09" w:rsidRPr="00D64A09" w:rsidRDefault="00D64A09" w:rsidP="00D64A09">
      <w:pPr>
        <w:rPr>
          <w:lang w:val="en-GB"/>
        </w:rPr>
      </w:pPr>
      <w:r w:rsidRPr="00D64A09">
        <w:rPr>
          <w:lang w:val="en-GB"/>
        </w:rPr>
        <w:t>Bruce Bonyhady AM</w:t>
      </w:r>
      <w:r w:rsidRPr="00D64A09">
        <w:rPr>
          <w:lang w:val="en-GB"/>
        </w:rPr>
        <w:br/>
      </w:r>
      <w:r w:rsidRPr="00D64A09">
        <w:rPr>
          <w:rStyle w:val="Bold"/>
        </w:rPr>
        <w:t>Chairman</w:t>
      </w:r>
    </w:p>
    <w:p w14:paraId="6DF725ED" w14:textId="75F44C65" w:rsidR="00985025" w:rsidRDefault="00D64A09" w:rsidP="00D64A09">
      <w:pPr>
        <w:rPr>
          <w:rStyle w:val="Bold"/>
        </w:rPr>
      </w:pPr>
      <w:r w:rsidRPr="00D64A09">
        <w:rPr>
          <w:lang w:val="en-GB"/>
        </w:rPr>
        <w:t>David Bowen</w:t>
      </w:r>
      <w:r w:rsidRPr="00D64A09">
        <w:rPr>
          <w:lang w:val="en-GB"/>
        </w:rPr>
        <w:br/>
      </w:r>
      <w:r w:rsidRPr="00D64A09">
        <w:rPr>
          <w:rStyle w:val="Bold"/>
        </w:rPr>
        <w:t>Chief Executive Officer</w:t>
      </w:r>
    </w:p>
    <w:p w14:paraId="0D5C6A53" w14:textId="70798CC4" w:rsidR="008C29AA" w:rsidRDefault="00EB5E9D" w:rsidP="00EB5E9D">
      <w:pPr>
        <w:pStyle w:val="Heading1"/>
      </w:pPr>
      <w:bookmarkStart w:id="8" w:name="_Toc464482076"/>
      <w:r w:rsidRPr="00EB5E9D">
        <w:lastRenderedPageBreak/>
        <w:t>Section 1 Getting NDIS Ready</w:t>
      </w:r>
      <w:bookmarkEnd w:id="8"/>
    </w:p>
    <w:p w14:paraId="4C2F8231" w14:textId="29374BC8" w:rsidR="00070851" w:rsidRDefault="00070851" w:rsidP="00225AF2">
      <w:pPr>
        <w:pStyle w:val="Heading2"/>
      </w:pPr>
      <w:bookmarkStart w:id="9" w:name="_Toc464482077"/>
      <w:r>
        <w:lastRenderedPageBreak/>
        <w:t>An ordinary life</w:t>
      </w:r>
      <w:bookmarkEnd w:id="9"/>
    </w:p>
    <w:p w14:paraId="55A273CE" w14:textId="3728D987" w:rsidR="00070851" w:rsidRDefault="00070851" w:rsidP="003070FE">
      <w:pPr>
        <w:pStyle w:val="IntroPara"/>
      </w:pPr>
      <w:r>
        <w:t xml:space="preserve">It might sound straightforward, but the concept of ‘an ordinary life’ should not be taken for granted. </w:t>
      </w:r>
    </w:p>
    <w:p w14:paraId="54419627" w14:textId="63CA8D89" w:rsidR="00070851" w:rsidRDefault="00070851" w:rsidP="005056C1">
      <w:r>
        <w:t>There are many people who only dream of a life where they can do seemingly simple things like talk to a friend, go to work, or choose where to live. For these people, those ‘ordinary’ things can take a lot of effort, or are just not possible.</w:t>
      </w:r>
    </w:p>
    <w:p w14:paraId="732A3AB8" w14:textId="266DCE47" w:rsidR="00070851" w:rsidRDefault="00070851" w:rsidP="005056C1">
      <w:r>
        <w:t>The Independent Advisory Council (the Council) of the National Disability Insurance Scheme carried out significant research that highlights some everyday things that contribute to ‘</w:t>
      </w:r>
      <w:r w:rsidR="005056C1">
        <w:t>an ordinary life’ for everyone.</w:t>
      </w:r>
    </w:p>
    <w:p w14:paraId="5C38DEE2" w14:textId="77777777" w:rsidR="00070851" w:rsidRDefault="00070851" w:rsidP="005056C1">
      <w:r>
        <w:t xml:space="preserve">These everyday things include: </w:t>
      </w:r>
    </w:p>
    <w:p w14:paraId="225EF33F" w14:textId="77777777" w:rsidR="007A68D6" w:rsidRPr="007A68D6" w:rsidRDefault="007A68D6" w:rsidP="007A68D6">
      <w:pPr>
        <w:pStyle w:val="BodyBullets"/>
      </w:pPr>
      <w:r w:rsidRPr="007A68D6">
        <w:t>Positive relationships</w:t>
      </w:r>
    </w:p>
    <w:p w14:paraId="223A54E0" w14:textId="77777777" w:rsidR="007A68D6" w:rsidRPr="007A68D6" w:rsidRDefault="007A68D6" w:rsidP="007A68D6">
      <w:pPr>
        <w:pStyle w:val="BodyBullets"/>
      </w:pPr>
      <w:r w:rsidRPr="007A68D6">
        <w:t>A sense of belonging</w:t>
      </w:r>
    </w:p>
    <w:p w14:paraId="796A90BF" w14:textId="78EA43DA" w:rsidR="007A68D6" w:rsidRPr="007A68D6" w:rsidRDefault="007A68D6" w:rsidP="007A68D6">
      <w:pPr>
        <w:pStyle w:val="BodyBullets"/>
      </w:pPr>
      <w:r w:rsidRPr="007A68D6">
        <w:t>Autonomy (doing things independently)</w:t>
      </w:r>
    </w:p>
    <w:p w14:paraId="1619B993" w14:textId="4E3A052C" w:rsidR="007A68D6" w:rsidRPr="007A68D6" w:rsidRDefault="007A68D6" w:rsidP="007A68D6">
      <w:pPr>
        <w:pStyle w:val="BodyBullets"/>
      </w:pPr>
      <w:r w:rsidRPr="007A68D6">
        <w:t>Active involvement in decision-making</w:t>
      </w:r>
    </w:p>
    <w:p w14:paraId="146754CD" w14:textId="6EDD933F" w:rsidR="007A68D6" w:rsidRDefault="007A68D6" w:rsidP="005056C1">
      <w:pPr>
        <w:pStyle w:val="BodyBullets"/>
      </w:pPr>
      <w:r w:rsidRPr="007A68D6">
        <w:t>Opportunities to challenge and contribute</w:t>
      </w:r>
    </w:p>
    <w:p w14:paraId="0CCB6882" w14:textId="77777777" w:rsidR="00070851" w:rsidRDefault="00070851" w:rsidP="003070FE">
      <w:pPr>
        <w:pStyle w:val="IntroPara"/>
      </w:pPr>
      <w:r>
        <w:t xml:space="preserve">Based on this research, the NDIS Act defines ‘an ordinary life’ as that which ‘enable(s) people with a disability to exercise choice and control in the pursuit of their goals, and the planning and delivery of their supports’. </w:t>
      </w:r>
    </w:p>
    <w:p w14:paraId="727505FC" w14:textId="231BAF73" w:rsidR="00070851" w:rsidRDefault="00070851" w:rsidP="00090081">
      <w:pPr>
        <w:pStyle w:val="Heading3"/>
        <w:shd w:val="clear" w:color="auto" w:fill="EBE8E2" w:themeFill="background2"/>
      </w:pPr>
      <w:r>
        <w:t>An ordinary life for Mark Smith</w:t>
      </w:r>
    </w:p>
    <w:p w14:paraId="0E738EAF" w14:textId="77777777" w:rsidR="00070851" w:rsidRDefault="00070851" w:rsidP="00090081">
      <w:pPr>
        <w:pStyle w:val="IntroPara"/>
        <w:shd w:val="clear" w:color="auto" w:fill="EBE8E2" w:themeFill="background2"/>
      </w:pPr>
      <w:r>
        <w:t>Mark Smith feels his life is back on track after becoming a participant in the Scheme in 2014 and gaining a fresh outlook on life.</w:t>
      </w:r>
    </w:p>
    <w:p w14:paraId="0235860D" w14:textId="77777777" w:rsidR="00070851" w:rsidRDefault="00070851" w:rsidP="00090081">
      <w:pPr>
        <w:shd w:val="clear" w:color="auto" w:fill="EBE8E2" w:themeFill="background2"/>
      </w:pPr>
      <w:r>
        <w:t>‘The NDIS has just opened up doors for me’, says Mark.</w:t>
      </w:r>
    </w:p>
    <w:p w14:paraId="5A645638" w14:textId="77777777" w:rsidR="00070851" w:rsidRDefault="00070851" w:rsidP="00090081">
      <w:pPr>
        <w:shd w:val="clear" w:color="auto" w:fill="EBE8E2" w:themeFill="background2"/>
      </w:pPr>
      <w:r>
        <w:t>‘There were so many people wanting to help me, it is just amazing. Now I can get up and go outside and run around the park with the grandkids, which is just the best thing. Without the NDIS getting involved, I wouldn’t be able to pick up my new grandbabies, because I was too reliant on a walking frame. It’s just made such a big impact on day-to-day living.</w:t>
      </w:r>
    </w:p>
    <w:p w14:paraId="564C96B5" w14:textId="77777777" w:rsidR="00070851" w:rsidRDefault="00070851" w:rsidP="00090081">
      <w:pPr>
        <w:shd w:val="clear" w:color="auto" w:fill="EBE8E2" w:themeFill="background2"/>
      </w:pPr>
      <w:r>
        <w:t>My life before the NDIS revolved around having seizures nearly every day and having brain operations because of the fluid build-up in my head. I wasn’t able to go anywhere so I was pretty much a hermit. There wasn’t any light at the end of the tunnel. It wasn’t a life; it was just this constant waiting for something to happen­—the next downside of my life.</w:t>
      </w:r>
    </w:p>
    <w:p w14:paraId="533E91F8" w14:textId="77777777" w:rsidR="00070851" w:rsidRDefault="00070851" w:rsidP="00090081">
      <w:pPr>
        <w:shd w:val="clear" w:color="auto" w:fill="EBE8E2" w:themeFill="background2"/>
      </w:pPr>
      <w:r>
        <w:t>Now, I can get up and I don’t need bed ropes to get out of bed. Life is just back on track. My whole independence is back.</w:t>
      </w:r>
    </w:p>
    <w:p w14:paraId="2272A65F" w14:textId="77777777" w:rsidR="00070851" w:rsidRDefault="00070851" w:rsidP="00090081">
      <w:pPr>
        <w:shd w:val="clear" w:color="auto" w:fill="EBE8E2" w:themeFill="background2"/>
      </w:pPr>
      <w:r>
        <w:t xml:space="preserve">If my wife has an appointment and I need to have somebody come with me to my own appointment, I can quickly ring up the </w:t>
      </w:r>
      <w:proofErr w:type="spellStart"/>
      <w:r>
        <w:t>Carer</w:t>
      </w:r>
      <w:proofErr w:type="spellEnd"/>
      <w:r>
        <w:t xml:space="preserve"> Support Group that will come out and take me.</w:t>
      </w:r>
    </w:p>
    <w:p w14:paraId="236544BC" w14:textId="77777777" w:rsidR="00070851" w:rsidRDefault="00070851" w:rsidP="00090081">
      <w:pPr>
        <w:shd w:val="clear" w:color="auto" w:fill="EBE8E2" w:themeFill="background2"/>
      </w:pPr>
      <w:r>
        <w:t>My next goal is to work—it’s going to give me a purpose doing something else. After going through the difficulties that I’ve gone through, nothing really should be taken for granted any more. Returning to work would be the biggest thing, because I’m not one of those people that would just normally sit at home.’</w:t>
      </w:r>
    </w:p>
    <w:p w14:paraId="07AFCDBB" w14:textId="76A1E150" w:rsidR="008D76BA" w:rsidRDefault="00070851" w:rsidP="00090081">
      <w:pPr>
        <w:shd w:val="clear" w:color="auto" w:fill="EBE8E2" w:themeFill="background2"/>
        <w:rPr>
          <w:rStyle w:val="Lightitalic"/>
        </w:rPr>
      </w:pPr>
      <w:r w:rsidRPr="009E6494">
        <w:rPr>
          <w:rStyle w:val="Lightitalic"/>
        </w:rPr>
        <w:t>Story adapted from video Ordinary Life</w:t>
      </w:r>
    </w:p>
    <w:p w14:paraId="6E0B2D3D" w14:textId="756E0B7A" w:rsidR="000D4B94" w:rsidRDefault="000D4B94" w:rsidP="000D4B94">
      <w:pPr>
        <w:pStyle w:val="Heading2"/>
      </w:pPr>
      <w:bookmarkStart w:id="10" w:name="_Toc464482078"/>
      <w:r>
        <w:lastRenderedPageBreak/>
        <w:t>The new way to an ordinary life</w:t>
      </w:r>
      <w:bookmarkEnd w:id="10"/>
    </w:p>
    <w:p w14:paraId="3DD37F50" w14:textId="77777777" w:rsidR="000D4B94" w:rsidRDefault="000D4B94" w:rsidP="003070FE">
      <w:pPr>
        <w:pStyle w:val="IntroPara"/>
      </w:pPr>
      <w:r>
        <w:t xml:space="preserve">Most disability support in Australia was previously based on a system where services were funded to a fixed dollar value per person. The National Disability Insurance Scheme offers a new, more flexible system, where funding is determined by an assessment of an individual’s needs, support choices and actual circumstances to achieve outcomes. </w:t>
      </w:r>
    </w:p>
    <w:p w14:paraId="75C7E72B" w14:textId="77777777" w:rsidR="000D4B94" w:rsidRDefault="000D4B94" w:rsidP="003070FE">
      <w:pPr>
        <w:pStyle w:val="IntroPara"/>
      </w:pPr>
      <w:r>
        <w:t xml:space="preserve">The Scheme has many great features in its design but there are two things that make it truly innovative. </w:t>
      </w:r>
    </w:p>
    <w:p w14:paraId="10FC44ED" w14:textId="25EB269F" w:rsidR="000D4B94" w:rsidRDefault="000D4B94" w:rsidP="000D4B94">
      <w:pPr>
        <w:pStyle w:val="Heading3"/>
      </w:pPr>
      <w:r>
        <w:t xml:space="preserve">People with disability are at the core of its decision-making </w:t>
      </w:r>
    </w:p>
    <w:p w14:paraId="38ECE594" w14:textId="77777777" w:rsidR="000D4B94" w:rsidRDefault="000D4B94" w:rsidP="003070FE">
      <w:r>
        <w:t xml:space="preserve">Previously, people with disability were not able to exercise choice and control when accessing funding and support services </w:t>
      </w:r>
    </w:p>
    <w:p w14:paraId="7330426B" w14:textId="34F48614" w:rsidR="000D4B94" w:rsidRDefault="000D4B94" w:rsidP="000D4B94">
      <w:pPr>
        <w:pStyle w:val="Heading3"/>
      </w:pPr>
      <w:r>
        <w:t>It is based on insurance principles</w:t>
      </w:r>
    </w:p>
    <w:p w14:paraId="1D70F30B" w14:textId="77777777" w:rsidR="000D4B94" w:rsidRDefault="000D4B94" w:rsidP="003070FE">
      <w:pPr>
        <w:pStyle w:val="BodyCopyREV"/>
      </w:pPr>
      <w:r>
        <w:t xml:space="preserve">The funding and support </w:t>
      </w:r>
      <w:r w:rsidRPr="003070FE">
        <w:t>model listens to the individual needs and experience of each participant, planning for supports that might be required throughout a person’s</w:t>
      </w:r>
      <w:r>
        <w:t xml:space="preserve"> life. It provides a long term approach and a vision of continual improvement through reviews of the lived experience of the individual, plus research and innovation across the Scheme.</w:t>
      </w:r>
    </w:p>
    <w:p w14:paraId="11289D54" w14:textId="77777777" w:rsidR="000D4B94" w:rsidRDefault="000D4B94" w:rsidP="003070FE">
      <w:r>
        <w:t>Essentially, it is an insurance model, not a welfare model.</w:t>
      </w:r>
    </w:p>
    <w:p w14:paraId="5E28590F" w14:textId="7D3707A0" w:rsidR="000D4B94" w:rsidRDefault="000D4B94" w:rsidP="003070FE">
      <w:pPr>
        <w:pStyle w:val="Heading3"/>
      </w:pPr>
      <w:r>
        <w:t xml:space="preserve">Insurance principles in detail </w:t>
      </w:r>
    </w:p>
    <w:p w14:paraId="4CED8178" w14:textId="77777777" w:rsidR="000D4B94" w:rsidRDefault="000D4B94" w:rsidP="003070FE">
      <w:pPr>
        <w:pStyle w:val="BodyCopy"/>
      </w:pPr>
      <w:r>
        <w:t xml:space="preserve">The following four key principles have been developed by the Sustainability Committee </w:t>
      </w:r>
      <w:r>
        <w:br/>
        <w:t>of the Board for the Agency, in conjunction with the Scheme Actuary:</w:t>
      </w:r>
    </w:p>
    <w:p w14:paraId="4E8CBD72" w14:textId="77777777" w:rsidR="000D4B94" w:rsidRPr="003070FE" w:rsidRDefault="000D4B94" w:rsidP="003070FE">
      <w:pPr>
        <w:pStyle w:val="BodyBullets"/>
      </w:pPr>
      <w:r w:rsidRPr="003070FE">
        <w:t>actuarial evidence</w:t>
      </w:r>
    </w:p>
    <w:p w14:paraId="084CAAFD" w14:textId="77777777" w:rsidR="000D4B94" w:rsidRDefault="000D4B94" w:rsidP="000D4B94">
      <w:pPr>
        <w:pStyle w:val="BodyBullets"/>
      </w:pPr>
      <w:r>
        <w:t>a lifetime approach</w:t>
      </w:r>
    </w:p>
    <w:p w14:paraId="004866F5" w14:textId="77777777" w:rsidR="000D4B94" w:rsidRDefault="000D4B94" w:rsidP="000D4B94">
      <w:pPr>
        <w:pStyle w:val="BodyBullets"/>
      </w:pPr>
      <w:r>
        <w:t>investment in research and innovation</w:t>
      </w:r>
    </w:p>
    <w:p w14:paraId="74A27D92" w14:textId="77777777" w:rsidR="000D4B94" w:rsidRDefault="000D4B94" w:rsidP="000D4B94">
      <w:pPr>
        <w:pStyle w:val="BodyBullets-last"/>
      </w:pPr>
      <w:r>
        <w:t>capacity building.</w:t>
      </w:r>
    </w:p>
    <w:p w14:paraId="71D12366" w14:textId="77777777" w:rsidR="000D4B94" w:rsidRDefault="000D4B94" w:rsidP="003070FE">
      <w:pPr>
        <w:pStyle w:val="BodyCopy"/>
      </w:pPr>
      <w:r>
        <w:t>The Agency has adopted these insurance principles for the Scheme and makes decisions about supports, based on:</w:t>
      </w:r>
    </w:p>
    <w:p w14:paraId="7F47E2F5" w14:textId="77777777" w:rsidR="000D4B94" w:rsidRDefault="000D4B94" w:rsidP="000D4B94">
      <w:pPr>
        <w:pStyle w:val="BodyBullets"/>
      </w:pPr>
      <w:r>
        <w:rPr>
          <w:rStyle w:val="Bold"/>
        </w:rPr>
        <w:t>Actuarial evidence</w:t>
      </w:r>
      <w:r>
        <w:t>, to gain an understanding of the actual experience of the individual and evidence of their requirements.</w:t>
      </w:r>
    </w:p>
    <w:p w14:paraId="03DAC838" w14:textId="77777777" w:rsidR="000D4B94" w:rsidRDefault="000D4B94" w:rsidP="000D4B94">
      <w:pPr>
        <w:pStyle w:val="BodyBullets"/>
      </w:pPr>
      <w:r>
        <w:rPr>
          <w:rStyle w:val="Bold"/>
        </w:rPr>
        <w:t>A lifetime approach</w:t>
      </w:r>
      <w:r>
        <w:t>, planning for supports that might be required throughout a person’s life, creating a cost effective view of resources required in all stages of life.</w:t>
      </w:r>
    </w:p>
    <w:p w14:paraId="7B3FBF84" w14:textId="77777777" w:rsidR="000D4B94" w:rsidRDefault="000D4B94" w:rsidP="000D4B94">
      <w:pPr>
        <w:pStyle w:val="BodyBullets"/>
      </w:pPr>
      <w:r>
        <w:rPr>
          <w:rStyle w:val="Bold"/>
        </w:rPr>
        <w:t>Investment in research and innovation</w:t>
      </w:r>
      <w:r>
        <w:t xml:space="preserve"> throughout the Scheme, to continually improve and access new opportunities for plans.</w:t>
      </w:r>
    </w:p>
    <w:p w14:paraId="57A32D7A" w14:textId="77777777" w:rsidR="000D4B94" w:rsidRDefault="000D4B94" w:rsidP="000D4B94">
      <w:pPr>
        <w:pStyle w:val="BodyBullets-last"/>
      </w:pPr>
      <w:r>
        <w:rPr>
          <w:rStyle w:val="Bold"/>
        </w:rPr>
        <w:t>Building the capacity for independence</w:t>
      </w:r>
      <w:r>
        <w:t xml:space="preserve"> (or social capital) of the disability sector and the community, allowing greater independence through learning.</w:t>
      </w:r>
    </w:p>
    <w:p w14:paraId="2A148B58" w14:textId="77777777" w:rsidR="000D4B94" w:rsidRDefault="000D4B94" w:rsidP="003070FE">
      <w:pPr>
        <w:pStyle w:val="BodyCopy"/>
      </w:pPr>
      <w:r>
        <w:lastRenderedPageBreak/>
        <w:t xml:space="preserve">A critical feature of the insurance approach adopted by the Scheme is early intervention and early investment in support and planning. This can enable an ordinary life for participants, while potentially decreasing support costs required later in life. Over the long term, this approach has potential to increase workforce participation by people with disability and their families and </w:t>
      </w:r>
      <w:proofErr w:type="spellStart"/>
      <w:r>
        <w:t>carers­</w:t>
      </w:r>
      <w:proofErr w:type="spellEnd"/>
      <w:r>
        <w:t>—both factors that contribute to a healthy national economy.</w:t>
      </w:r>
    </w:p>
    <w:p w14:paraId="713289A1" w14:textId="77777777" w:rsidR="000D4B94" w:rsidRDefault="000D4B94" w:rsidP="003070FE">
      <w:pPr>
        <w:pStyle w:val="BodyCopy"/>
      </w:pPr>
      <w:r>
        <w:t>This early investment in support and planning means that in some instances, if early intervention assists significantly, participants may no longer need to access funds from the Scheme.</w:t>
      </w:r>
    </w:p>
    <w:p w14:paraId="219EB18A" w14:textId="3AD6DD73" w:rsidR="000D4B94" w:rsidRDefault="000D4B94" w:rsidP="000D4B94">
      <w:pPr>
        <w:rPr>
          <w:rFonts w:ascii="MS Mincho" w:eastAsia="MS Mincho" w:hAnsi="MS Mincho" w:cs="MS Mincho"/>
        </w:rPr>
      </w:pPr>
      <w:r>
        <w:t>The Scheme will create inclusive communities that benefit everyone, including those people with disability who are not eligible for the Scheme.</w:t>
      </w:r>
      <w:r>
        <w:rPr>
          <w:rFonts w:ascii="MS Mincho" w:eastAsia="MS Mincho" w:hAnsi="MS Mincho" w:cs="MS Mincho"/>
        </w:rPr>
        <w:t> </w:t>
      </w:r>
    </w:p>
    <w:p w14:paraId="174C0741" w14:textId="324CA97C" w:rsidR="00563778" w:rsidRDefault="00563778" w:rsidP="00563778">
      <w:pPr>
        <w:pStyle w:val="Heading3"/>
      </w:pPr>
      <w:r>
        <w:t>Actuary</w:t>
      </w:r>
    </w:p>
    <w:p w14:paraId="5ABF16C3" w14:textId="77777777" w:rsidR="00563778" w:rsidRDefault="00563778" w:rsidP="00563778">
      <w:pPr>
        <w:pStyle w:val="BodyCopy"/>
      </w:pPr>
      <w:r>
        <w:t>An Actuary is a person who collects and analyses information (like statistics and data) and uses them to evaluate risks. Actuarial evidence is the information they collect.</w:t>
      </w:r>
    </w:p>
    <w:p w14:paraId="7FCDDAB3" w14:textId="7FBB5104" w:rsidR="00563778" w:rsidRDefault="006B1BAD" w:rsidP="006B1BAD">
      <w:pPr>
        <w:pStyle w:val="Heading1"/>
      </w:pPr>
      <w:bookmarkStart w:id="11" w:name="_Toc464482079"/>
      <w:r>
        <w:lastRenderedPageBreak/>
        <w:t>Listening</w:t>
      </w:r>
      <w:r>
        <w:br/>
        <w:t>A culture of empowerment</w:t>
      </w:r>
      <w:bookmarkEnd w:id="11"/>
    </w:p>
    <w:p w14:paraId="30631A13" w14:textId="657A9AF3" w:rsidR="00D65DAE" w:rsidRDefault="00D65DAE" w:rsidP="005E6BC3">
      <w:pPr>
        <w:pStyle w:val="Heading2"/>
      </w:pPr>
      <w:bookmarkStart w:id="12" w:name="_Toc464482080"/>
      <w:r>
        <w:lastRenderedPageBreak/>
        <w:t>The Agency’s vision, mission and goals</w:t>
      </w:r>
      <w:bookmarkEnd w:id="12"/>
    </w:p>
    <w:p w14:paraId="64EC2291" w14:textId="77777777" w:rsidR="00D65DAE" w:rsidRDefault="00D65DAE" w:rsidP="00D65DAE">
      <w:pPr>
        <w:pStyle w:val="BodyCopy"/>
      </w:pPr>
      <w:r>
        <w:t xml:space="preserve">A culture of empowerment remains a driving force for the Agency to support this positive transformation of Australia’s disability sector. A dedicated workforce and the effective use of resources underpin the vision, mission and goals. </w:t>
      </w:r>
    </w:p>
    <w:p w14:paraId="51F70272" w14:textId="77777777" w:rsidR="00D65DAE" w:rsidRDefault="00D65DAE" w:rsidP="00D65DAE">
      <w:pPr>
        <w:pStyle w:val="BodyCopy"/>
      </w:pPr>
      <w:r>
        <w:t xml:space="preserve">The central tenets of the Scheme are that people with disability are at the </w:t>
      </w:r>
      <w:proofErr w:type="spellStart"/>
      <w:r>
        <w:t>centre</w:t>
      </w:r>
      <w:proofErr w:type="spellEnd"/>
      <w:r>
        <w:t xml:space="preserve"> of all that the Agency does and they can exercise choice and control in living their life.</w:t>
      </w:r>
    </w:p>
    <w:p w14:paraId="0C25AD3A" w14:textId="0116CBBF" w:rsidR="00D65DAE" w:rsidRDefault="00D65DAE" w:rsidP="005E6BC3">
      <w:pPr>
        <w:pStyle w:val="Heading3"/>
      </w:pPr>
      <w:r>
        <w:t>Vision</w:t>
      </w:r>
    </w:p>
    <w:p w14:paraId="1C734D6F" w14:textId="6AA301CF" w:rsidR="00D65DAE" w:rsidRDefault="00D65DAE" w:rsidP="005E6BC3">
      <w:proofErr w:type="spellStart"/>
      <w:r>
        <w:t>Optimising</w:t>
      </w:r>
      <w:proofErr w:type="spellEnd"/>
      <w:r>
        <w:t xml:space="preserve"> social and economic independence and full participation for people with disability. </w:t>
      </w:r>
    </w:p>
    <w:p w14:paraId="0E6E5A1E" w14:textId="54B59B93" w:rsidR="00D65DAE" w:rsidRDefault="00D65DAE" w:rsidP="005E6BC3">
      <w:pPr>
        <w:pStyle w:val="Heading3"/>
      </w:pPr>
      <w:r>
        <w:t>Mission</w:t>
      </w:r>
    </w:p>
    <w:p w14:paraId="3A83EC9E" w14:textId="77777777" w:rsidR="00D65DAE" w:rsidRDefault="00D65DAE" w:rsidP="005E6BC3">
      <w:r>
        <w:t xml:space="preserve">Building and managing a world leading National Disability Insurance Scheme for all Australians. </w:t>
      </w:r>
    </w:p>
    <w:p w14:paraId="72193A51" w14:textId="73479889" w:rsidR="00D65DAE" w:rsidRDefault="00D65DAE" w:rsidP="005E6BC3">
      <w:pPr>
        <w:pStyle w:val="Heading3"/>
      </w:pPr>
      <w:r>
        <w:t xml:space="preserve">Goals </w:t>
      </w:r>
    </w:p>
    <w:p w14:paraId="4CDF3C39" w14:textId="77777777" w:rsidR="00D65DAE" w:rsidRDefault="00D65DAE" w:rsidP="005E6BC3">
      <w:pPr>
        <w:pStyle w:val="BodyBullets"/>
      </w:pPr>
      <w:r>
        <w:t xml:space="preserve">People with disability are in control and have choices, based on the UN Convention on the Rights of Persons with Disabilities. </w:t>
      </w:r>
    </w:p>
    <w:p w14:paraId="2B1627DB" w14:textId="77777777" w:rsidR="00D65DAE" w:rsidRDefault="00D65DAE" w:rsidP="005E6BC3">
      <w:pPr>
        <w:pStyle w:val="BodyBullets"/>
      </w:pPr>
      <w:r>
        <w:t xml:space="preserve">The National Disability Insurance Scheme is financially sustainable and is governed using insurance principles. </w:t>
      </w:r>
    </w:p>
    <w:p w14:paraId="0C03CB89" w14:textId="77777777" w:rsidR="00D65DAE" w:rsidRDefault="00D65DAE" w:rsidP="005E6BC3">
      <w:pPr>
        <w:pStyle w:val="BodyBullets"/>
      </w:pPr>
      <w:r>
        <w:t xml:space="preserve">The community has ownership, confidence and pride in the National Disability Insurance Scheme and the National Disability Insurance Agency. </w:t>
      </w:r>
    </w:p>
    <w:p w14:paraId="08A40B7C" w14:textId="77777777" w:rsidR="00D65DAE" w:rsidRDefault="00D65DAE" w:rsidP="00F733FA">
      <w:pPr>
        <w:spacing w:before="360"/>
      </w:pPr>
      <w:r>
        <w:t>The Agency’s performance against these goals are discussed in more detail in Section 2 commencing page 94.</w:t>
      </w:r>
    </w:p>
    <w:p w14:paraId="35B68B21" w14:textId="1A94A650" w:rsidR="00B65D5A" w:rsidRDefault="00B65D5A" w:rsidP="00D42055">
      <w:pPr>
        <w:pStyle w:val="Heading2"/>
      </w:pPr>
      <w:bookmarkStart w:id="13" w:name="_Toc464482081"/>
      <w:r>
        <w:lastRenderedPageBreak/>
        <w:t>How is the Agency implementing the Scheme?</w:t>
      </w:r>
      <w:bookmarkEnd w:id="13"/>
    </w:p>
    <w:p w14:paraId="37045458" w14:textId="22B54392" w:rsidR="00B65D5A" w:rsidRDefault="00B65D5A" w:rsidP="00575182">
      <w:pPr>
        <w:pStyle w:val="Heading3"/>
      </w:pPr>
      <w:bookmarkStart w:id="14" w:name="_Toc464482082"/>
      <w:r>
        <w:t>Service Delivery Operating Model</w:t>
      </w:r>
      <w:bookmarkEnd w:id="14"/>
    </w:p>
    <w:p w14:paraId="3C248843" w14:textId="77777777" w:rsidR="00B65D5A" w:rsidRDefault="00B65D5A" w:rsidP="00B65D5A">
      <w:pPr>
        <w:pStyle w:val="BodyCopy"/>
      </w:pPr>
      <w:r>
        <w:t xml:space="preserve">The Service Delivery Operating Model (SDOM) guides how the Scheme will be implemented. </w:t>
      </w:r>
    </w:p>
    <w:p w14:paraId="608C5971" w14:textId="77777777" w:rsidR="00B65D5A" w:rsidRDefault="00B65D5A" w:rsidP="00B65D5A">
      <w:pPr>
        <w:pStyle w:val="BodyCopy"/>
      </w:pPr>
      <w:r>
        <w:t>It defines:</w:t>
      </w:r>
    </w:p>
    <w:p w14:paraId="03501B7F" w14:textId="77777777" w:rsidR="00B65D5A" w:rsidRDefault="00B65D5A" w:rsidP="00B65D5A">
      <w:pPr>
        <w:pStyle w:val="BodyBullets"/>
        <w:spacing w:after="28"/>
      </w:pPr>
      <w:r>
        <w:t>to whom the Agency provides services</w:t>
      </w:r>
    </w:p>
    <w:p w14:paraId="333B89A4" w14:textId="77777777" w:rsidR="00B65D5A" w:rsidRDefault="00B65D5A" w:rsidP="00B65D5A">
      <w:pPr>
        <w:pStyle w:val="BodyBullets"/>
        <w:spacing w:after="28"/>
      </w:pPr>
      <w:r>
        <w:t>what services the Agency provides</w:t>
      </w:r>
    </w:p>
    <w:p w14:paraId="0E1C1C65" w14:textId="77777777" w:rsidR="00B65D5A" w:rsidRDefault="00B65D5A" w:rsidP="00B65D5A">
      <w:pPr>
        <w:pStyle w:val="BodyBullets"/>
        <w:spacing w:after="28"/>
      </w:pPr>
      <w:r>
        <w:t>what service provider channels the Agency uses</w:t>
      </w:r>
    </w:p>
    <w:p w14:paraId="677A0191" w14:textId="77777777" w:rsidR="00B65D5A" w:rsidRDefault="00B65D5A" w:rsidP="00B65D5A">
      <w:pPr>
        <w:pStyle w:val="BodyBullets"/>
        <w:spacing w:after="28"/>
      </w:pPr>
      <w:r>
        <w:t>what business processes and procedures the Agency uses</w:t>
      </w:r>
    </w:p>
    <w:p w14:paraId="4E9AFE54" w14:textId="77777777" w:rsidR="00B65D5A" w:rsidRDefault="00B65D5A" w:rsidP="00B65D5A">
      <w:pPr>
        <w:pStyle w:val="BodyBullets-last"/>
      </w:pPr>
      <w:r>
        <w:t>how the Agency enables these business processes and procedures to work.</w:t>
      </w:r>
    </w:p>
    <w:p w14:paraId="2B1BB083" w14:textId="77777777" w:rsidR="00B65D5A" w:rsidRDefault="00B65D5A" w:rsidP="00B65D5A">
      <w:pPr>
        <w:pStyle w:val="BodyCopy"/>
      </w:pPr>
      <w:r>
        <w:t xml:space="preserve">The Service Delivery Operating Model includes four key services that the Agency offers to people with disability, their families and their </w:t>
      </w:r>
      <w:proofErr w:type="spellStart"/>
      <w:r>
        <w:t>carers</w:t>
      </w:r>
      <w:proofErr w:type="spellEnd"/>
      <w:r>
        <w:t>:</w:t>
      </w:r>
    </w:p>
    <w:p w14:paraId="604F5CD1" w14:textId="77777777" w:rsidR="00B65D5A" w:rsidRDefault="00B65D5A" w:rsidP="00B65D5A">
      <w:pPr>
        <w:pStyle w:val="BodyBullets"/>
      </w:pPr>
      <w:r>
        <w:t>referral to supports</w:t>
      </w:r>
    </w:p>
    <w:p w14:paraId="5FA8A5DA" w14:textId="77777777" w:rsidR="00B65D5A" w:rsidRDefault="00B65D5A" w:rsidP="00B65D5A">
      <w:pPr>
        <w:pStyle w:val="BodyBullets"/>
      </w:pPr>
      <w:r>
        <w:t>planning of supports</w:t>
      </w:r>
    </w:p>
    <w:p w14:paraId="63EF738F" w14:textId="77777777" w:rsidR="00B65D5A" w:rsidRDefault="00B65D5A" w:rsidP="00B65D5A">
      <w:pPr>
        <w:pStyle w:val="BodyBullets"/>
      </w:pPr>
      <w:r>
        <w:t>coordination of supports</w:t>
      </w:r>
    </w:p>
    <w:p w14:paraId="74312D35" w14:textId="77777777" w:rsidR="00B65D5A" w:rsidRDefault="00B65D5A" w:rsidP="00B65D5A">
      <w:pPr>
        <w:pStyle w:val="BodyBullets-last"/>
      </w:pPr>
      <w:r>
        <w:t>payment of Scheme funded supports.</w:t>
      </w:r>
    </w:p>
    <w:p w14:paraId="1DA0388D" w14:textId="6549619D" w:rsidR="00B65D5A" w:rsidRDefault="00B65D5A" w:rsidP="00575182">
      <w:pPr>
        <w:pStyle w:val="Heading4"/>
      </w:pPr>
      <w:r>
        <w:t>Benchmarking of service delivery operating models</w:t>
      </w:r>
    </w:p>
    <w:p w14:paraId="26A63B16" w14:textId="77777777" w:rsidR="00B65D5A" w:rsidRDefault="00B65D5A" w:rsidP="00B65D5A">
      <w:pPr>
        <w:pStyle w:val="BodyCopy"/>
      </w:pPr>
      <w:r>
        <w:t xml:space="preserve">In 2015 Agency partner The Australian Centre </w:t>
      </w:r>
      <w:r>
        <w:br/>
        <w:t xml:space="preserve">for Social Innovation (TACSI) completed significant work on finding a standard, or benchmark, for service delivery models in the disability and adjacent sectors. The purpose of </w:t>
      </w:r>
      <w:r>
        <w:br/>
        <w:t>the work would enable measurement of the quality of how services, like the Scheme, are delivered to users. The Agency has adopted many of the recommendations from this work in the design of the Scheme’s Service Delivery Operating Model.</w:t>
      </w:r>
    </w:p>
    <w:p w14:paraId="523587DE" w14:textId="4DE3FE57" w:rsidR="00B65D5A" w:rsidRDefault="00B65D5A" w:rsidP="00575182">
      <w:pPr>
        <w:pStyle w:val="Heading3"/>
      </w:pPr>
      <w:bookmarkStart w:id="15" w:name="_Toc464482083"/>
      <w:r>
        <w:t>A co-design approach</w:t>
      </w:r>
      <w:bookmarkEnd w:id="15"/>
    </w:p>
    <w:p w14:paraId="6AAA376C" w14:textId="77777777" w:rsidR="00B65D5A" w:rsidRDefault="00B65D5A" w:rsidP="00B65D5A">
      <w:pPr>
        <w:pStyle w:val="BodyCopy"/>
      </w:pPr>
      <w:r>
        <w:t>The Scheme is built on a co-design approach involving collaboration between many people (participants, community, NDIS Planners, Agency partners). Co-design is a strong factor in participation in the Scheme, providing users of the system choice and control over services, rather than being just passive recipients of those services.</w:t>
      </w:r>
    </w:p>
    <w:p w14:paraId="1F1D1A08" w14:textId="77777777" w:rsidR="00B65D5A" w:rsidRDefault="00B65D5A" w:rsidP="00B65D5A">
      <w:pPr>
        <w:pStyle w:val="BodyCopy"/>
      </w:pPr>
      <w:r>
        <w:t xml:space="preserve">Involving people with disability in the design of the Scheme has helped to embed the objectives and principles of the NDIS Act. It informs the ongoing development of how the Scheme is delivered, refined and improved, and how innovation is promoted and enacted. </w:t>
      </w:r>
    </w:p>
    <w:p w14:paraId="3A7C58AF" w14:textId="77777777" w:rsidR="00B65D5A" w:rsidRDefault="00B65D5A" w:rsidP="00B65D5A">
      <w:pPr>
        <w:pStyle w:val="BodyCopy"/>
      </w:pPr>
      <w:r>
        <w:t xml:space="preserve">In addition to collaboration between people, the Service Delivery Operating Model also considers: </w:t>
      </w:r>
    </w:p>
    <w:p w14:paraId="4F62F8C1" w14:textId="77777777" w:rsidR="00B65D5A" w:rsidRDefault="00B65D5A" w:rsidP="00B65D5A">
      <w:pPr>
        <w:pStyle w:val="BodyBulletscopy"/>
      </w:pPr>
      <w:r>
        <w:t>market competition (accessing the best support for the best value in the marketplace)</w:t>
      </w:r>
    </w:p>
    <w:p w14:paraId="22EDF362" w14:textId="77777777" w:rsidR="00B65D5A" w:rsidRDefault="00B65D5A" w:rsidP="00B65D5A">
      <w:pPr>
        <w:pStyle w:val="BodyBullets-last"/>
      </w:pPr>
      <w:r>
        <w:lastRenderedPageBreak/>
        <w:t>insurance principles, enabling a ‘lifetime view’ of supports that may be required for participants.</w:t>
      </w:r>
    </w:p>
    <w:p w14:paraId="1D9EC654" w14:textId="77777777" w:rsidR="00B65D5A" w:rsidRDefault="00B65D5A" w:rsidP="00B65D5A">
      <w:pPr>
        <w:pStyle w:val="BodyCopy"/>
      </w:pPr>
      <w:r>
        <w:t>Simply, the model aims to ensure participants receive appropriate support, at the right time and through the right channel, to interact with the Scheme to ensure their experience is smooth and seamless.</w:t>
      </w:r>
    </w:p>
    <w:p w14:paraId="6F2B422E" w14:textId="77777777" w:rsidR="00B65D5A" w:rsidRDefault="00B65D5A" w:rsidP="00B65D5A">
      <w:pPr>
        <w:pStyle w:val="BodyCopy"/>
      </w:pPr>
      <w:r>
        <w:t xml:space="preserve">For this reason, the Agency has developed a co-design framework as a means to inform the design and ongoing development of the Service Delivery Operating Model. </w:t>
      </w:r>
    </w:p>
    <w:p w14:paraId="6996CB5B" w14:textId="4D67CEF2" w:rsidR="00B65D5A" w:rsidRDefault="00B65D5A" w:rsidP="00B65D5A">
      <w:pPr>
        <w:pStyle w:val="Heading2"/>
      </w:pPr>
      <w:bookmarkStart w:id="16" w:name="_Toc464482084"/>
      <w:r>
        <w:lastRenderedPageBreak/>
        <w:t>Working with participants</w:t>
      </w:r>
      <w:bookmarkEnd w:id="16"/>
    </w:p>
    <w:p w14:paraId="59044A95" w14:textId="77777777" w:rsidR="00B65D5A" w:rsidRDefault="00B65D5A" w:rsidP="00B65D5A">
      <w:pPr>
        <w:pStyle w:val="IntroPara"/>
      </w:pPr>
      <w:r>
        <w:t>The primary mission underpinning the Scheme is to increase the choice and control that participants have over the supports and services they use. There has been significant work over 2015-16 to refine the planning process for participants.</w:t>
      </w:r>
    </w:p>
    <w:p w14:paraId="14AE1EE2" w14:textId="2DC1FF7A" w:rsidR="00B65D5A" w:rsidRDefault="00B65D5A" w:rsidP="00B65D5A">
      <w:pPr>
        <w:pStyle w:val="Heading3"/>
      </w:pPr>
      <w:r>
        <w:t>Who are the participants?</w:t>
      </w:r>
    </w:p>
    <w:p w14:paraId="76E37507" w14:textId="77777777" w:rsidR="00B65D5A" w:rsidRDefault="00B65D5A" w:rsidP="00B65D5A">
      <w:pPr>
        <w:pStyle w:val="BodyCopy"/>
      </w:pPr>
      <w:r>
        <w:t xml:space="preserve">People under 65 years of age with significant and permanent disability, who meet the Australian residency requirements may be eligible for participation in the Scheme. There are more details on the NDIS website about how to access the Scheme. </w:t>
      </w:r>
    </w:p>
    <w:p w14:paraId="0F0D7ED6" w14:textId="77777777" w:rsidR="00B65D5A" w:rsidRDefault="00B65D5A" w:rsidP="00B65D5A">
      <w:pPr>
        <w:pStyle w:val="BodyCopy"/>
      </w:pPr>
      <w:r>
        <w:t>The Scheme funds supports that are reasonable and necessary for participants to achieve their goals. The main objective is to enable each participant to build skills and capacity so they can participate in the community and the economy and live an ordinary life.</w:t>
      </w:r>
    </w:p>
    <w:p w14:paraId="13C7A3CC" w14:textId="77777777" w:rsidR="00B65D5A" w:rsidRDefault="00B65D5A" w:rsidP="00B65D5A">
      <w:pPr>
        <w:pStyle w:val="BodyCopy"/>
      </w:pPr>
      <w:r>
        <w:t>The Scheme helps participants:</w:t>
      </w:r>
    </w:p>
    <w:p w14:paraId="6CE38A98" w14:textId="77777777" w:rsidR="00B65D5A" w:rsidRDefault="00B65D5A" w:rsidP="00B65D5A">
      <w:pPr>
        <w:pStyle w:val="BodyBullets"/>
        <w:spacing w:after="0"/>
      </w:pPr>
      <w:r>
        <w:t>maintain informal support arrangements</w:t>
      </w:r>
    </w:p>
    <w:p w14:paraId="7048DFFA" w14:textId="77777777" w:rsidR="00B65D5A" w:rsidRDefault="00B65D5A" w:rsidP="00B65D5A">
      <w:pPr>
        <w:pStyle w:val="BodyBullets"/>
        <w:spacing w:after="0"/>
      </w:pPr>
      <w:r>
        <w:t>access community services and supports</w:t>
      </w:r>
    </w:p>
    <w:p w14:paraId="36C57647" w14:textId="77777777" w:rsidR="00B65D5A" w:rsidRDefault="00B65D5A" w:rsidP="00B65D5A">
      <w:pPr>
        <w:pStyle w:val="BodyBullets"/>
        <w:spacing w:after="0"/>
      </w:pPr>
      <w:r>
        <w:rPr>
          <w:spacing w:val="-6"/>
        </w:rPr>
        <w:t>receive reasonable and necessary funded supports</w:t>
      </w:r>
    </w:p>
    <w:p w14:paraId="50575064" w14:textId="77777777" w:rsidR="00B65D5A" w:rsidRDefault="00B65D5A" w:rsidP="00B65D5A">
      <w:pPr>
        <w:pStyle w:val="BodyBullets-last"/>
      </w:pPr>
      <w:r>
        <w:t>access mainstream services and supports.</w:t>
      </w:r>
    </w:p>
    <w:p w14:paraId="40B3FAEC" w14:textId="4A6555D0" w:rsidR="00B65D5A" w:rsidRDefault="00B65D5A" w:rsidP="00B65D5A">
      <w:pPr>
        <w:pStyle w:val="Heading3"/>
      </w:pPr>
      <w:r>
        <w:t xml:space="preserve">Co-design with participants in 2015-16 </w:t>
      </w:r>
    </w:p>
    <w:p w14:paraId="53AE0D78" w14:textId="77777777" w:rsidR="00B65D5A" w:rsidRDefault="00B65D5A" w:rsidP="00B65D5A">
      <w:pPr>
        <w:pStyle w:val="BodyCopy"/>
      </w:pPr>
      <w:r>
        <w:t xml:space="preserve">The Agency has continued to listen and learn from participants to ensure that the processes designed to give them access to supports work. </w:t>
      </w:r>
    </w:p>
    <w:p w14:paraId="57479759" w14:textId="77777777" w:rsidR="00B65D5A" w:rsidRDefault="00B65D5A" w:rsidP="00B65D5A">
      <w:pPr>
        <w:pStyle w:val="BodyCopy"/>
      </w:pPr>
      <w:r>
        <w:t>Based on feedback from participants that the pathway was too complex, the Agency has been working hard to refine the process to allow participants to achieve choice and control.</w:t>
      </w:r>
    </w:p>
    <w:p w14:paraId="70861A9B" w14:textId="77777777" w:rsidR="00B65D5A" w:rsidRDefault="00B65D5A" w:rsidP="00B65D5A">
      <w:pPr>
        <w:pStyle w:val="BodyCopy"/>
      </w:pPr>
      <w:r>
        <w:t>Five guiding steps have been developed to follow with each participant through the Scheme.</w:t>
      </w:r>
    </w:p>
    <w:p w14:paraId="1D353B50" w14:textId="0BB95B0E" w:rsidR="008403EB" w:rsidRDefault="008403EB" w:rsidP="00090081">
      <w:pPr>
        <w:pStyle w:val="Heading3"/>
        <w:shd w:val="clear" w:color="auto" w:fill="EBE8E2" w:themeFill="background2"/>
        <w:rPr>
          <w:rStyle w:val="White"/>
        </w:rPr>
      </w:pPr>
      <w:r>
        <w:rPr>
          <w:rStyle w:val="White"/>
        </w:rPr>
        <w:t>The Australian Centre for Social Innovation</w:t>
      </w:r>
    </w:p>
    <w:p w14:paraId="1E31211D" w14:textId="77777777" w:rsidR="008403EB" w:rsidRDefault="008403EB" w:rsidP="00090081">
      <w:pPr>
        <w:pStyle w:val="IntroPara"/>
        <w:shd w:val="clear" w:color="auto" w:fill="EBE8E2" w:themeFill="background2"/>
        <w:rPr>
          <w:rStyle w:val="White"/>
        </w:rPr>
      </w:pPr>
      <w:r>
        <w:rPr>
          <w:rStyle w:val="White"/>
        </w:rPr>
        <w:t xml:space="preserve">The advent of the Scheme is requiring service providers to change quickly. They have </w:t>
      </w:r>
      <w:proofErr w:type="spellStart"/>
      <w:r>
        <w:rPr>
          <w:rStyle w:val="White"/>
        </w:rPr>
        <w:t>realised</w:t>
      </w:r>
      <w:proofErr w:type="spellEnd"/>
      <w:r>
        <w:rPr>
          <w:rStyle w:val="White"/>
        </w:rPr>
        <w:t xml:space="preserve"> the need to develop services that are more attractive to people with disability, and to adapt their business models so they can thrive in a consumer directed environment. </w:t>
      </w:r>
    </w:p>
    <w:p w14:paraId="5DD02016" w14:textId="77777777" w:rsidR="008403EB" w:rsidRDefault="008403EB" w:rsidP="00090081">
      <w:pPr>
        <w:pStyle w:val="BodyCopyREV"/>
        <w:shd w:val="clear" w:color="auto" w:fill="EBE8E2" w:themeFill="background2"/>
      </w:pPr>
      <w:r>
        <w:t>The Australian Centre for Social Innovation (TACSI) was engaged by the Agency to undertake co-design activities to validate, refine and provide further advice on the current design of the Service Delivery Operating Model (SDOM). Their engagement also included contributing to the iterative development of the Agency’s co-design framework, and capacity building relating to co-design for internal staff.</w:t>
      </w:r>
    </w:p>
    <w:p w14:paraId="146BE1EF" w14:textId="77777777" w:rsidR="008403EB" w:rsidRDefault="008403EB" w:rsidP="00090081">
      <w:pPr>
        <w:pStyle w:val="BodyCopyREV"/>
        <w:shd w:val="clear" w:color="auto" w:fill="EBE8E2" w:themeFill="background2"/>
      </w:pPr>
      <w:r>
        <w:t xml:space="preserve">TACSI is a non-government </w:t>
      </w:r>
      <w:proofErr w:type="spellStart"/>
      <w:r>
        <w:t>organisation</w:t>
      </w:r>
      <w:proofErr w:type="spellEnd"/>
      <w:r>
        <w:t xml:space="preserve"> that helps other </w:t>
      </w:r>
      <w:proofErr w:type="spellStart"/>
      <w:r>
        <w:t>organisations</w:t>
      </w:r>
      <w:proofErr w:type="spellEnd"/>
      <w:r>
        <w:t xml:space="preserve"> better understand these problems and opportunities by encouraging innovation to build the capability of individuals, </w:t>
      </w:r>
      <w:proofErr w:type="spellStart"/>
      <w:r>
        <w:t>organisations</w:t>
      </w:r>
      <w:proofErr w:type="spellEnd"/>
      <w:r>
        <w:t xml:space="preserve"> and sectors. They offer advice, design and trial innovative business solutions and services. </w:t>
      </w:r>
    </w:p>
    <w:p w14:paraId="09C73D8F" w14:textId="77777777" w:rsidR="008403EB" w:rsidRDefault="008403EB" w:rsidP="00090081">
      <w:pPr>
        <w:pStyle w:val="BodyCopyREV"/>
        <w:shd w:val="clear" w:color="auto" w:fill="EBE8E2" w:themeFill="background2"/>
      </w:pPr>
      <w:r>
        <w:lastRenderedPageBreak/>
        <w:t>More than one in five people in South Australia live with a disability so it is important that the services on offer meet the wants and needs of these people. It is also important that services do not go out of business because they do not have a viable business model under the Scheme. Historically, because of over subscription to models, service providers have focused on meeting people’s basic needs rather than their aspirational goals.</w:t>
      </w:r>
    </w:p>
    <w:p w14:paraId="3B913F1D" w14:textId="77777777" w:rsidR="008403EB" w:rsidRDefault="008403EB" w:rsidP="00090081">
      <w:pPr>
        <w:pStyle w:val="BodyCopyREV"/>
        <w:shd w:val="clear" w:color="auto" w:fill="EBE8E2" w:themeFill="background2"/>
      </w:pPr>
      <w:r>
        <w:t xml:space="preserve">In work funded by the Fay Fuller Foundation, TACSI has been working with 20 South Australian </w:t>
      </w:r>
      <w:proofErr w:type="spellStart"/>
      <w:r>
        <w:t>organisations</w:t>
      </w:r>
      <w:proofErr w:type="spellEnd"/>
      <w:r>
        <w:t xml:space="preserve"> directly affected by the changes, along with other TACSI partners, in co-designing the capacity-building support model that will then be implemented and tested with four </w:t>
      </w:r>
      <w:proofErr w:type="spellStart"/>
      <w:r>
        <w:t>organisations</w:t>
      </w:r>
      <w:proofErr w:type="spellEnd"/>
      <w:r>
        <w:t xml:space="preserve">. The </w:t>
      </w:r>
      <w:proofErr w:type="spellStart"/>
      <w:r>
        <w:t>organisations</w:t>
      </w:r>
      <w:proofErr w:type="spellEnd"/>
      <w:r>
        <w:t xml:space="preserve"> will seek </w:t>
      </w:r>
      <w:r>
        <w:br/>
        <w:t xml:space="preserve">to understand what support they need to be successful under the Scheme, what success looks like for capability building and how they can best </w:t>
      </w:r>
      <w:proofErr w:type="spellStart"/>
      <w:r>
        <w:t>maximise</w:t>
      </w:r>
      <w:proofErr w:type="spellEnd"/>
      <w:r>
        <w:t xml:space="preserve"> positive impacts for people with a disability.</w:t>
      </w:r>
    </w:p>
    <w:p w14:paraId="4E2EFCCC" w14:textId="77777777" w:rsidR="008403EB" w:rsidRDefault="008403EB" w:rsidP="00090081">
      <w:pPr>
        <w:pStyle w:val="BodyCopyREV"/>
        <w:shd w:val="clear" w:color="auto" w:fill="EBE8E2" w:themeFill="background2"/>
      </w:pPr>
      <w:r>
        <w:rPr>
          <w:spacing w:val="-5"/>
        </w:rPr>
        <w:t xml:space="preserve">TACSI values the opportunity to help local </w:t>
      </w:r>
      <w:proofErr w:type="spellStart"/>
      <w:r>
        <w:rPr>
          <w:spacing w:val="-5"/>
        </w:rPr>
        <w:t>organisations</w:t>
      </w:r>
      <w:proofErr w:type="spellEnd"/>
      <w:r>
        <w:rPr>
          <w:spacing w:val="-5"/>
        </w:rPr>
        <w:t xml:space="preserve"> rise to that challenge and has already contributed to the creation of the Provider Toolkit, for use right across Australia from 1 July 2016.</w:t>
      </w:r>
    </w:p>
    <w:p w14:paraId="7BA4FFF6" w14:textId="444D50EA" w:rsidR="008403EB" w:rsidRDefault="008403EB" w:rsidP="00090081">
      <w:pPr>
        <w:pStyle w:val="BodyCopyREV"/>
        <w:shd w:val="clear" w:color="auto" w:fill="EBE8E2" w:themeFill="background2"/>
      </w:pPr>
      <w:r>
        <w:t>Ultimately, this project is about helping service providers make the most of the opportunity the Scheme creates and provide the greatest benefits for people with disability themselves to live meaningful, independent lives.</w:t>
      </w:r>
    </w:p>
    <w:p w14:paraId="7803ABB0" w14:textId="0A24E40C" w:rsidR="008403EB" w:rsidRPr="008403EB" w:rsidRDefault="008403EB" w:rsidP="00090081">
      <w:pPr>
        <w:pStyle w:val="BodyCopyREV"/>
        <w:shd w:val="clear" w:color="auto" w:fill="EBE8E2" w:themeFill="background2"/>
        <w:rPr>
          <w:rStyle w:val="Italic"/>
        </w:rPr>
      </w:pPr>
      <w:r w:rsidRPr="008403EB">
        <w:rPr>
          <w:rStyle w:val="Italic"/>
        </w:rPr>
        <w:t>Information supplied by The Australian Centre for Social Innovation.</w:t>
      </w:r>
    </w:p>
    <w:p w14:paraId="63B78E03" w14:textId="78ADD9E5" w:rsidR="00B65D5A" w:rsidRDefault="00B65D5A" w:rsidP="00B65D5A">
      <w:pPr>
        <w:pStyle w:val="Heading3"/>
      </w:pPr>
      <w:r>
        <w:t>The participant pathway</w:t>
      </w:r>
    </w:p>
    <w:p w14:paraId="13D003E6" w14:textId="77777777" w:rsidR="00B65D5A" w:rsidRDefault="00B65D5A" w:rsidP="00B65D5A">
      <w:pPr>
        <w:pStyle w:val="BodyCopy"/>
      </w:pPr>
      <w:r>
        <w:t xml:space="preserve">Once the full Scheme is rolled out, a participant’s journey will involve five stages: </w:t>
      </w:r>
    </w:p>
    <w:p w14:paraId="5D2F6FA2" w14:textId="77777777" w:rsidR="00B65D5A" w:rsidRDefault="00B65D5A" w:rsidP="004124C9">
      <w:pPr>
        <w:pStyle w:val="BodyBullets"/>
      </w:pPr>
      <w:r>
        <w:t xml:space="preserve">Accessing the Scheme </w:t>
      </w:r>
    </w:p>
    <w:p w14:paraId="7FDA7376" w14:textId="77777777" w:rsidR="00B65D5A" w:rsidRDefault="00B65D5A" w:rsidP="004124C9">
      <w:pPr>
        <w:pStyle w:val="BodyBullets"/>
      </w:pPr>
      <w:r>
        <w:t>Creating a participant plan</w:t>
      </w:r>
    </w:p>
    <w:p w14:paraId="7A8C7F5B" w14:textId="77777777" w:rsidR="00B65D5A" w:rsidRDefault="00B65D5A" w:rsidP="004124C9">
      <w:pPr>
        <w:pStyle w:val="BodyBullets"/>
      </w:pPr>
      <w:r>
        <w:t>Plan approval by the Agency</w:t>
      </w:r>
    </w:p>
    <w:p w14:paraId="7AFED23F" w14:textId="77777777" w:rsidR="00B65D5A" w:rsidRDefault="00B65D5A" w:rsidP="004124C9">
      <w:pPr>
        <w:pStyle w:val="BodyBullets"/>
      </w:pPr>
      <w:r>
        <w:t>Implementation and monitoring the plan</w:t>
      </w:r>
    </w:p>
    <w:p w14:paraId="1CD4B566" w14:textId="77777777" w:rsidR="00B65D5A" w:rsidRDefault="00B65D5A" w:rsidP="004124C9">
      <w:pPr>
        <w:pStyle w:val="BodyBullets"/>
      </w:pPr>
      <w:r>
        <w:t>Reviewing the plan</w:t>
      </w:r>
    </w:p>
    <w:p w14:paraId="273FBCEF" w14:textId="76C418AE" w:rsidR="00B65D5A" w:rsidRDefault="00B65D5A" w:rsidP="00B65D5A">
      <w:pPr>
        <w:pStyle w:val="Heading3"/>
      </w:pPr>
      <w:r>
        <w:t>Participant portal</w:t>
      </w:r>
    </w:p>
    <w:p w14:paraId="533FDD1D" w14:textId="6F5C5257" w:rsidR="00B65D5A" w:rsidRDefault="00B65D5A" w:rsidP="00B65D5A">
      <w:pPr>
        <w:pStyle w:val="BodyCopy"/>
      </w:pPr>
      <w:r>
        <w:t xml:space="preserve">The participant portal was developed in 2015-16 to assist participants with their plan. The portal is an online tool available through the </w:t>
      </w:r>
      <w:proofErr w:type="spellStart"/>
      <w:r>
        <w:t>myGov</w:t>
      </w:r>
      <w:proofErr w:type="spellEnd"/>
      <w:r>
        <w:t xml:space="preserve"> website that keeps all of a participant’s documents together. Participants can access their plan on the participant portal and if they choose to self-manage their funding, they can also process payments through the portal. The Agency can still help manage payments to providers.</w:t>
      </w:r>
    </w:p>
    <w:p w14:paraId="2BC2A19E" w14:textId="7D0F422C" w:rsidR="00586116" w:rsidRPr="00586116" w:rsidRDefault="00586116" w:rsidP="00586116">
      <w:pPr>
        <w:pStyle w:val="Heading3"/>
        <w:rPr>
          <w:rFonts w:ascii="FSMePro-Light" w:hAnsi="FSMePro-Light" w:cs="FSMePro-Light"/>
          <w:lang w:val="en-GB"/>
        </w:rPr>
      </w:pPr>
      <w:r w:rsidRPr="00586116">
        <w:rPr>
          <w:lang w:val="en-GB"/>
        </w:rPr>
        <w:t>Choice and control includes:</w:t>
      </w:r>
    </w:p>
    <w:p w14:paraId="64BEF5A0" w14:textId="77777777" w:rsidR="00586116" w:rsidRPr="00586116" w:rsidRDefault="00586116" w:rsidP="00586116">
      <w:pPr>
        <w:pStyle w:val="BodyBullets"/>
        <w:rPr>
          <w:lang w:val="en-GB"/>
        </w:rPr>
      </w:pPr>
      <w:r w:rsidRPr="00586116">
        <w:rPr>
          <w:lang w:val="en-GB"/>
        </w:rPr>
        <w:t>Access to information, knowledge and experience to inform people with disability about the choices and options available to them</w:t>
      </w:r>
    </w:p>
    <w:p w14:paraId="0CE1E30E" w14:textId="77777777" w:rsidR="00586116" w:rsidRPr="00586116" w:rsidRDefault="00586116" w:rsidP="00586116">
      <w:pPr>
        <w:pStyle w:val="BodyBullets"/>
        <w:rPr>
          <w:lang w:val="en-GB"/>
        </w:rPr>
      </w:pPr>
      <w:r w:rsidRPr="00586116">
        <w:rPr>
          <w:lang w:val="en-GB"/>
        </w:rPr>
        <w:t>Power over resources and relationships</w:t>
      </w:r>
    </w:p>
    <w:p w14:paraId="50D04117" w14:textId="77777777" w:rsidR="00586116" w:rsidRPr="00586116" w:rsidRDefault="00586116" w:rsidP="00586116">
      <w:pPr>
        <w:pStyle w:val="BodyBullets"/>
        <w:rPr>
          <w:lang w:val="en-GB"/>
        </w:rPr>
      </w:pPr>
      <w:r w:rsidRPr="00586116">
        <w:rPr>
          <w:lang w:val="en-GB"/>
        </w:rPr>
        <w:t>Opportunity to think and dream about alternatives to the current services and resources on offer</w:t>
      </w:r>
    </w:p>
    <w:p w14:paraId="605DE140" w14:textId="77777777" w:rsidR="00586116" w:rsidRPr="00586116" w:rsidRDefault="00586116" w:rsidP="00586116">
      <w:pPr>
        <w:pStyle w:val="BodyBullets"/>
      </w:pPr>
      <w:r w:rsidRPr="00586116">
        <w:t>Support in decision making from trusted others.</w:t>
      </w:r>
    </w:p>
    <w:p w14:paraId="0C97428C" w14:textId="7F49AC67" w:rsidR="00586116" w:rsidRPr="00586116" w:rsidRDefault="00586116" w:rsidP="00586116">
      <w:pPr>
        <w:pStyle w:val="Heading3"/>
        <w:rPr>
          <w:rFonts w:ascii="FSMePro-Light" w:hAnsi="FSMePro-Light" w:cs="FSMePro-Light"/>
          <w:lang w:val="en-GB"/>
        </w:rPr>
      </w:pPr>
      <w:r w:rsidRPr="00586116">
        <w:rPr>
          <w:lang w:val="en-GB"/>
        </w:rPr>
        <w:lastRenderedPageBreak/>
        <w:t>A reasonable and necessary support must:</w:t>
      </w:r>
    </w:p>
    <w:p w14:paraId="21E0B6B9" w14:textId="77777777" w:rsidR="00586116" w:rsidRPr="00586116" w:rsidRDefault="00586116" w:rsidP="00586116">
      <w:pPr>
        <w:pStyle w:val="BodyBullets"/>
        <w:rPr>
          <w:lang w:val="en-GB"/>
        </w:rPr>
      </w:pPr>
      <w:r w:rsidRPr="00586116">
        <w:rPr>
          <w:lang w:val="en-GB"/>
        </w:rPr>
        <w:t>be related to the participant’s disability</w:t>
      </w:r>
    </w:p>
    <w:p w14:paraId="44CEA415" w14:textId="77777777" w:rsidR="00586116" w:rsidRPr="00586116" w:rsidRDefault="00586116" w:rsidP="00586116">
      <w:pPr>
        <w:pStyle w:val="BodyBullets"/>
        <w:rPr>
          <w:lang w:val="en-GB"/>
        </w:rPr>
      </w:pPr>
      <w:r w:rsidRPr="00586116">
        <w:rPr>
          <w:lang w:val="en-GB"/>
        </w:rPr>
        <w:t>not include day-to-day living costs that are not related to a participant’s disability support needs</w:t>
      </w:r>
    </w:p>
    <w:p w14:paraId="4679A168" w14:textId="77777777" w:rsidR="00586116" w:rsidRPr="00586116" w:rsidRDefault="00586116" w:rsidP="00586116">
      <w:pPr>
        <w:pStyle w:val="BodyBullets"/>
        <w:rPr>
          <w:lang w:val="en-GB"/>
        </w:rPr>
      </w:pPr>
      <w:r w:rsidRPr="00586116">
        <w:rPr>
          <w:lang w:val="en-GB"/>
        </w:rPr>
        <w:t>represent value for money</w:t>
      </w:r>
    </w:p>
    <w:p w14:paraId="4331DC36" w14:textId="77777777" w:rsidR="00586116" w:rsidRPr="00586116" w:rsidRDefault="00586116" w:rsidP="00586116">
      <w:pPr>
        <w:pStyle w:val="BodyBullets"/>
        <w:rPr>
          <w:lang w:val="en-GB"/>
        </w:rPr>
      </w:pPr>
      <w:r w:rsidRPr="00586116">
        <w:rPr>
          <w:lang w:val="en-GB"/>
        </w:rPr>
        <w:t>be likely to be effective and beneficial to the participant</w:t>
      </w:r>
    </w:p>
    <w:p w14:paraId="4DDA90B3" w14:textId="62666806" w:rsidR="00586116" w:rsidRPr="00586116" w:rsidRDefault="00586116" w:rsidP="00586116">
      <w:pPr>
        <w:pStyle w:val="BodyBullets"/>
        <w:rPr>
          <w:lang w:val="en-GB"/>
        </w:rPr>
      </w:pPr>
      <w:r w:rsidRPr="00586116">
        <w:rPr>
          <w:lang w:val="en-GB"/>
        </w:rPr>
        <w:t>take into account informal supports given to participants by families, carers, networks, and the community.</w:t>
      </w:r>
    </w:p>
    <w:p w14:paraId="54127587" w14:textId="6BF5FAE6" w:rsidR="00B65D5A" w:rsidRDefault="00B65D5A" w:rsidP="00090081">
      <w:pPr>
        <w:pStyle w:val="Heading3"/>
        <w:shd w:val="clear" w:color="auto" w:fill="EBE8E2" w:themeFill="background2"/>
      </w:pPr>
      <w:r>
        <w:t>Brad Connelly 52, Scheme participant</w:t>
      </w:r>
    </w:p>
    <w:p w14:paraId="6333ADA2" w14:textId="77777777" w:rsidR="00B65D5A" w:rsidRDefault="00B65D5A" w:rsidP="00090081">
      <w:pPr>
        <w:pStyle w:val="BodyCopy"/>
        <w:shd w:val="clear" w:color="auto" w:fill="EBE8E2" w:themeFill="background2"/>
      </w:pPr>
      <w:r>
        <w:t xml:space="preserve">Brad Connelly is a committed husband and father of two, and has been living with disability for 16 years. As a participant in the trial phase of the Scheme, Brad and his family now have access to supports that have helped them take steps towards a more ordinary life. </w:t>
      </w:r>
    </w:p>
    <w:p w14:paraId="509907C7" w14:textId="77777777" w:rsidR="00B65D5A" w:rsidRDefault="00B65D5A" w:rsidP="00090081">
      <w:pPr>
        <w:pStyle w:val="BodyCopy"/>
        <w:shd w:val="clear" w:color="auto" w:fill="EBE8E2" w:themeFill="background2"/>
      </w:pPr>
      <w:r>
        <w:t>‘I’ve been with the NDIS for over two years now’, Brad says.</w:t>
      </w:r>
    </w:p>
    <w:p w14:paraId="19CC34A9" w14:textId="77777777" w:rsidR="00B65D5A" w:rsidRDefault="00B65D5A" w:rsidP="00090081">
      <w:pPr>
        <w:pStyle w:val="BodyCopy"/>
        <w:shd w:val="clear" w:color="auto" w:fill="EBE8E2" w:themeFill="background2"/>
      </w:pPr>
      <w:r>
        <w:t xml:space="preserve">Over the next couple of </w:t>
      </w:r>
      <w:proofErr w:type="gramStart"/>
      <w:r>
        <w:t>months</w:t>
      </w:r>
      <w:proofErr w:type="gramEnd"/>
      <w:r>
        <w:t xml:space="preserve"> I’ve got to do some investigations about what I want to study, how much further I want to go, whether I want to just go to an RTO (Registered Training </w:t>
      </w:r>
      <w:proofErr w:type="spellStart"/>
      <w:r>
        <w:t>Organisation</w:t>
      </w:r>
      <w:proofErr w:type="spellEnd"/>
      <w:r>
        <w:t xml:space="preserve">) or I’m considering going to </w:t>
      </w:r>
      <w:proofErr w:type="spellStart"/>
      <w:r>
        <w:t>uni</w:t>
      </w:r>
      <w:proofErr w:type="spellEnd"/>
      <w:r>
        <w:t>, which I’ve never been to.</w:t>
      </w:r>
    </w:p>
    <w:p w14:paraId="4A0D094A" w14:textId="77777777" w:rsidR="00B65D5A" w:rsidRDefault="00B65D5A" w:rsidP="00090081">
      <w:pPr>
        <w:pStyle w:val="BodyCopy"/>
        <w:shd w:val="clear" w:color="auto" w:fill="EBE8E2" w:themeFill="background2"/>
      </w:pPr>
      <w:r>
        <w:t>Psychologically, it’s really good for my mind. My biggest problem with studying is not the academic side of it, that’s difficult but I can get through that, I feel confident that I can nail that. It’s the logistics of actually getting to the class; my body cooperating, and workers [being] available when I need them. Working with the service providers and the coordinators within the service providers.</w:t>
      </w:r>
    </w:p>
    <w:p w14:paraId="712A4A2D" w14:textId="77777777" w:rsidR="00B65D5A" w:rsidRDefault="00B65D5A" w:rsidP="00090081">
      <w:pPr>
        <w:pStyle w:val="BodyCopy"/>
        <w:shd w:val="clear" w:color="auto" w:fill="EBE8E2" w:themeFill="background2"/>
      </w:pPr>
      <w:r>
        <w:t>When the plan comes together it works great. It gives Pam [Brad’s wife] the opportunity to go and do what she wants to do, with the kids, by herself.</w:t>
      </w:r>
    </w:p>
    <w:p w14:paraId="7E6C8892" w14:textId="77777777" w:rsidR="00B65D5A" w:rsidRDefault="00B65D5A" w:rsidP="00090081">
      <w:pPr>
        <w:pStyle w:val="BodyCopy"/>
        <w:shd w:val="clear" w:color="auto" w:fill="EBE8E2" w:themeFill="background2"/>
      </w:pPr>
      <w:r>
        <w:t>I’m on to my third review of my plan and I feel that I’ve got the security and reassurance from the NDIS to know that I’m going to be supported.’</w:t>
      </w:r>
    </w:p>
    <w:p w14:paraId="357A429C" w14:textId="43CFBB9B" w:rsidR="00D65DAE" w:rsidRDefault="00B65D5A" w:rsidP="00090081">
      <w:pPr>
        <w:shd w:val="clear" w:color="auto" w:fill="EBE8E2" w:themeFill="background2"/>
        <w:rPr>
          <w:rStyle w:val="Lightitalic"/>
        </w:rPr>
      </w:pPr>
      <w:r>
        <w:rPr>
          <w:rStyle w:val="Lightitalic"/>
        </w:rPr>
        <w:t>Story adapted from video Living My Plan 2</w:t>
      </w:r>
    </w:p>
    <w:p w14:paraId="5EB44381" w14:textId="65E8DDAE" w:rsidR="000F0148" w:rsidRDefault="000F0148" w:rsidP="000F0148">
      <w:pPr>
        <w:pStyle w:val="Heading2"/>
      </w:pPr>
      <w:bookmarkStart w:id="17" w:name="_Toc464482085"/>
      <w:r>
        <w:lastRenderedPageBreak/>
        <w:t>Working with the community</w:t>
      </w:r>
      <w:bookmarkEnd w:id="17"/>
      <w:r>
        <w:t xml:space="preserve"> </w:t>
      </w:r>
    </w:p>
    <w:p w14:paraId="448EA09A" w14:textId="5638FB6A" w:rsidR="000F0148" w:rsidRDefault="000F0148" w:rsidP="000F0148">
      <w:pPr>
        <w:pStyle w:val="IntroPara"/>
        <w:spacing w:after="170"/>
      </w:pPr>
      <w:r>
        <w:t>Over this year, considerable work has been completed on refining the planning process for participants but the Scheme has also other areas that have undergone significant development this year:</w:t>
      </w:r>
    </w:p>
    <w:p w14:paraId="2EB40DA3" w14:textId="77777777" w:rsidR="000F0148" w:rsidRDefault="000F0148" w:rsidP="00B50762">
      <w:pPr>
        <w:pStyle w:val="BodyBullets"/>
      </w:pPr>
      <w:r>
        <w:rPr>
          <w:rStyle w:val="Bold"/>
        </w:rPr>
        <w:t>Individual plans</w:t>
      </w:r>
      <w:r>
        <w:t xml:space="preserve"> for eligible people with disability </w:t>
      </w:r>
    </w:p>
    <w:p w14:paraId="2309122A" w14:textId="381D3545" w:rsidR="00FF26CC" w:rsidRPr="00FF26CC" w:rsidRDefault="000F0148" w:rsidP="00FF26CC">
      <w:pPr>
        <w:pStyle w:val="BodyBullets"/>
      </w:pPr>
      <w:r>
        <w:rPr>
          <w:rStyle w:val="Bold"/>
        </w:rPr>
        <w:t>Information, Linkages and Capacity building (ILC)</w:t>
      </w:r>
      <w:r>
        <w:t xml:space="preserve"> activities that connect people with disability, their families and </w:t>
      </w:r>
      <w:proofErr w:type="spellStart"/>
      <w:r>
        <w:t>carers</w:t>
      </w:r>
      <w:proofErr w:type="spellEnd"/>
      <w:r>
        <w:t xml:space="preserve"> to the wider community.</w:t>
      </w:r>
    </w:p>
    <w:p w14:paraId="48CAF0E9" w14:textId="4479F6FE" w:rsidR="000F0148" w:rsidRDefault="000F0148" w:rsidP="00FF26CC">
      <w:pPr>
        <w:pStyle w:val="Heading3"/>
      </w:pPr>
      <w:r>
        <w:t>Information, Linkages and Capacity Building</w:t>
      </w:r>
    </w:p>
    <w:p w14:paraId="2C88E81F" w14:textId="77777777" w:rsidR="000F0148" w:rsidRDefault="000F0148" w:rsidP="000F0148">
      <w:pPr>
        <w:pStyle w:val="BodyCopy"/>
      </w:pPr>
      <w:r>
        <w:t xml:space="preserve">One of the most important goals of the Scheme is making sure that people with disability have a stronger connection with their community. The Scheme represents a unique opportunity to change the conversation around inclusion. People with disability will not just be present in the community—they will be able to become active participants in it. The Agency is working to achieve this through individual plans and through Information Linkages and Capacity building or ILC. </w:t>
      </w:r>
    </w:p>
    <w:p w14:paraId="1B3DC00F" w14:textId="77777777" w:rsidR="000F0148" w:rsidRDefault="000F0148" w:rsidP="000F0148">
      <w:pPr>
        <w:pStyle w:val="BodyCopy"/>
      </w:pPr>
      <w:r>
        <w:t xml:space="preserve">There has been a major focus in 2015-16 to prepare ILC for release after the trial phase—and within that focus there have been two main areas of effort: </w:t>
      </w:r>
    </w:p>
    <w:p w14:paraId="2AFDCE47" w14:textId="77777777" w:rsidR="000F0148" w:rsidRDefault="000F0148" w:rsidP="00693B1D">
      <w:pPr>
        <w:pStyle w:val="BodyBullets"/>
      </w:pPr>
      <w:r>
        <w:rPr>
          <w:rStyle w:val="Bold"/>
        </w:rPr>
        <w:t>personal capacity building</w:t>
      </w:r>
      <w:r>
        <w:t xml:space="preserve"> – making sure people with disability have the information, skills and confidence they need to get involved in the community.</w:t>
      </w:r>
    </w:p>
    <w:p w14:paraId="65DF3090" w14:textId="0A126967" w:rsidR="000F0148" w:rsidRDefault="000F0148" w:rsidP="00693B1D">
      <w:pPr>
        <w:pStyle w:val="BodyBullets"/>
      </w:pPr>
      <w:r>
        <w:rPr>
          <w:rStyle w:val="Bold"/>
        </w:rPr>
        <w:t>community capacity building</w:t>
      </w:r>
      <w:r>
        <w:t xml:space="preserve"> – improving the ability of the community to include people with disability. A system of grant funding called Community Inc</w:t>
      </w:r>
      <w:r w:rsidRPr="00693B1D">
        <w:t>lusion</w:t>
      </w:r>
      <w:r>
        <w:t xml:space="preserve"> and Capacity Development (CICD) will sit within ILC. These activities are described in more detail in Section 2 under Program 1.2 on page 102.</w:t>
      </w:r>
    </w:p>
    <w:p w14:paraId="3E56FC0C" w14:textId="7F624438" w:rsidR="000F0148" w:rsidRDefault="000F0148" w:rsidP="000F0148">
      <w:pPr>
        <w:pStyle w:val="BodyCopy"/>
      </w:pPr>
      <w:r>
        <w:t>In July 2015, all governments in Australia agreed to a policy framework for ILC. The ILC policy outlines five kinds of activities that will be included in ILC in the future:</w:t>
      </w:r>
    </w:p>
    <w:p w14:paraId="2A103C3E" w14:textId="77777777" w:rsidR="000F0148" w:rsidRDefault="000F0148" w:rsidP="00693B1D">
      <w:pPr>
        <w:pStyle w:val="BodyLargeNumberedList"/>
        <w:rPr>
          <w:rStyle w:val="Bold"/>
        </w:rPr>
      </w:pPr>
      <w:r>
        <w:rPr>
          <w:rStyle w:val="Bold"/>
        </w:rPr>
        <w:t>information, linkages and referrals</w:t>
      </w:r>
    </w:p>
    <w:p w14:paraId="4BE3CEDE" w14:textId="77777777" w:rsidR="000F0148" w:rsidRDefault="000F0148" w:rsidP="00693B1D">
      <w:pPr>
        <w:pStyle w:val="BodyLargeNumberedList"/>
        <w:rPr>
          <w:rStyle w:val="Bold"/>
        </w:rPr>
      </w:pPr>
      <w:r>
        <w:rPr>
          <w:rStyle w:val="Bold"/>
        </w:rPr>
        <w:tab/>
        <w:t>capacity building of mainstream services</w:t>
      </w:r>
    </w:p>
    <w:p w14:paraId="7D840B43" w14:textId="77777777" w:rsidR="000F0148" w:rsidRDefault="000F0148" w:rsidP="00693B1D">
      <w:pPr>
        <w:pStyle w:val="BodyLargeNumberedList"/>
        <w:rPr>
          <w:rStyle w:val="Bold"/>
        </w:rPr>
      </w:pPr>
      <w:r>
        <w:rPr>
          <w:rStyle w:val="Bold"/>
        </w:rPr>
        <w:tab/>
        <w:t>community awareness and capacity building</w:t>
      </w:r>
    </w:p>
    <w:p w14:paraId="4DB109C4" w14:textId="77777777" w:rsidR="000F0148" w:rsidRDefault="000F0148" w:rsidP="00693B1D">
      <w:pPr>
        <w:pStyle w:val="BodyLargeNumberedList"/>
        <w:rPr>
          <w:rStyle w:val="Bold"/>
        </w:rPr>
      </w:pPr>
      <w:r>
        <w:rPr>
          <w:rStyle w:val="Bold"/>
        </w:rPr>
        <w:tab/>
        <w:t>individual capacity building</w:t>
      </w:r>
    </w:p>
    <w:p w14:paraId="1BD08AEF" w14:textId="77777777" w:rsidR="000F0148" w:rsidRDefault="000F0148" w:rsidP="00693B1D">
      <w:pPr>
        <w:pStyle w:val="BodyLargeNumberedList"/>
      </w:pPr>
      <w:r>
        <w:rPr>
          <w:rStyle w:val="Bold"/>
        </w:rPr>
        <w:tab/>
        <w:t>Local Area Coordination (LAC).</w:t>
      </w:r>
    </w:p>
    <w:p w14:paraId="2A6EA76D" w14:textId="77777777" w:rsidR="000F0148" w:rsidRDefault="000F0148" w:rsidP="000F0148">
      <w:pPr>
        <w:pStyle w:val="BodyCopy"/>
      </w:pPr>
      <w:r>
        <w:t>It is important to remember that the fifth area, Local Area Coordination is being implemented by the Agency separately.</w:t>
      </w:r>
    </w:p>
    <w:p w14:paraId="7219C7B4" w14:textId="77777777" w:rsidR="000F0148" w:rsidRDefault="000F0148" w:rsidP="000F0148">
      <w:pPr>
        <w:pStyle w:val="BodyCopy"/>
      </w:pPr>
      <w:r>
        <w:t>More information about Local Area Coordinators can be found on page 15.</w:t>
      </w:r>
    </w:p>
    <w:p w14:paraId="620F2CB0" w14:textId="77777777" w:rsidR="000F0148" w:rsidRDefault="000F0148" w:rsidP="000F0148">
      <w:pPr>
        <w:pStyle w:val="BodyCopy"/>
      </w:pPr>
      <w:r>
        <w:t>The Department of Social Services (DSS) has provided the Agency with the ILC policy to implement from August 2016. This is being done through the ILC commissioning framework.</w:t>
      </w:r>
    </w:p>
    <w:p w14:paraId="7B325624" w14:textId="77777777" w:rsidR="000F0148" w:rsidRDefault="000F0148" w:rsidP="000F0148">
      <w:pPr>
        <w:pStyle w:val="BodyCopy"/>
      </w:pPr>
      <w:r>
        <w:t>The ILC commissioning framework is the Agency’s action plan for ILC. The framework explains the role of ILC in the Scheme, the outcomes expected for ILC, how ILC activities will be selected and funded and how performance will be measured and managed.</w:t>
      </w:r>
    </w:p>
    <w:p w14:paraId="551FAD18" w14:textId="77777777" w:rsidR="000F0148" w:rsidRDefault="000F0148" w:rsidP="00154EDD">
      <w:pPr>
        <w:pStyle w:val="BodyCopy"/>
      </w:pPr>
      <w:r>
        <w:lastRenderedPageBreak/>
        <w:t>In late 2015 more than 1000 people took part in workshops to talk about the outcomes expected from ILC, as well as priorities for funding. The Agency heard how important ILC was to people and what they hoped it would achieve.</w:t>
      </w:r>
    </w:p>
    <w:p w14:paraId="3B406209" w14:textId="77777777" w:rsidR="000F0148" w:rsidRDefault="000F0148" w:rsidP="00154EDD">
      <w:pPr>
        <w:pStyle w:val="BodyCopy"/>
      </w:pPr>
      <w:r>
        <w:t xml:space="preserve">In December 2015 the </w:t>
      </w:r>
      <w:r w:rsidRPr="00154EDD">
        <w:t>Agency released a consultation draft of the ILC commissioning framework. A series of consultation sessions were held across the country to provide information on the ILC and receive feedback from stakeholders. More than 1000 people attended one of the consultation sessions</w:t>
      </w:r>
      <w:r>
        <w:rPr>
          <w:spacing w:val="-4"/>
        </w:rPr>
        <w:t xml:space="preserve"> and the Agency received 135 submissions on the Framework</w:t>
      </w:r>
      <w:r>
        <w:t>.</w:t>
      </w:r>
    </w:p>
    <w:p w14:paraId="2FFDD7D3" w14:textId="77777777" w:rsidR="000F0148" w:rsidRDefault="000F0148" w:rsidP="00154EDD">
      <w:pPr>
        <w:pStyle w:val="BodyCopy"/>
      </w:pPr>
      <w:r>
        <w:t>All of this feedback has been incorporated into the next version of the ILC commissioning framework, which will be released in late 2016.</w:t>
      </w:r>
    </w:p>
    <w:p w14:paraId="384D8A5A" w14:textId="77777777" w:rsidR="000F0148" w:rsidRDefault="000F0148" w:rsidP="00154EDD">
      <w:pPr>
        <w:pStyle w:val="BodyCopy"/>
      </w:pPr>
      <w:r>
        <w:t>ILC will not commence nationally in 2016–17. Each state and territory will transition to ILC at a point that is consistent with its broader transition to the Scheme. The first territory to start ILC will be the Australian Capital Territory (ACT) on 1 July 2017.</w:t>
      </w:r>
    </w:p>
    <w:p w14:paraId="11C16A3A" w14:textId="77777777" w:rsidR="000F0148" w:rsidRDefault="000F0148" w:rsidP="00154EDD">
      <w:pPr>
        <w:pStyle w:val="CalloutmediumCallouts"/>
      </w:pPr>
      <w:r>
        <w:t>The budget for ILC will build up slowly over the next few years to approximately $132 million when full rollout of the Scheme is complete in 2019-20.</w:t>
      </w:r>
    </w:p>
    <w:p w14:paraId="4414EA25" w14:textId="4FEECFD7" w:rsidR="000F0148" w:rsidRDefault="000F0148" w:rsidP="00154EDD">
      <w:pPr>
        <w:pStyle w:val="BodyCopy"/>
      </w:pPr>
      <w:r>
        <w:t xml:space="preserve">To learn more about ILC and the way the ILC grant process will work in the future, please read the ILC commissioning framework on the </w:t>
      </w:r>
      <w:hyperlink r:id="rId8" w:history="1">
        <w:r w:rsidRPr="00C665F1">
          <w:rPr>
            <w:rStyle w:val="Hyperlink"/>
          </w:rPr>
          <w:t>NDIS website</w:t>
        </w:r>
      </w:hyperlink>
      <w:r w:rsidR="00C665F1">
        <w:rPr>
          <w:rStyle w:val="FootnoteReference"/>
        </w:rPr>
        <w:footnoteReference w:id="1"/>
      </w:r>
      <w:r w:rsidR="00C665F1">
        <w:t>.</w:t>
      </w:r>
    </w:p>
    <w:p w14:paraId="456AD324" w14:textId="469BD0DD" w:rsidR="00C33E78" w:rsidRDefault="00C33E78" w:rsidP="00C33E78">
      <w:pPr>
        <w:pStyle w:val="Heading3"/>
      </w:pPr>
      <w:r>
        <w:t>How will the Information, Linkages and Capacity building work?</w:t>
      </w:r>
    </w:p>
    <w:p w14:paraId="2E32D9EE" w14:textId="77777777" w:rsidR="00C33E78" w:rsidRDefault="00C33E78" w:rsidP="00C33E78">
      <w:pPr>
        <w:pStyle w:val="BodyCopy"/>
        <w:spacing w:before="85" w:after="28"/>
      </w:pPr>
      <w:r>
        <w:t xml:space="preserve">ILC funding will be distributed through grants. </w:t>
      </w:r>
      <w:proofErr w:type="spellStart"/>
      <w:r>
        <w:t>Organisations</w:t>
      </w:r>
      <w:proofErr w:type="spellEnd"/>
      <w:r>
        <w:t xml:space="preserve"> with a project or activity proposal that fits into the activity areas described in the ILC policy and delivers one or more of the outcomes identified for ILC may submit an application for a funding grant, to make that activity or project come to life. ILC will focus on activity that may benefit many people, rather than just individual needs. </w:t>
      </w:r>
    </w:p>
    <w:p w14:paraId="71675452" w14:textId="6FDF4EBC" w:rsidR="000F0148" w:rsidRDefault="00C33E78" w:rsidP="00C33E78">
      <w:pPr>
        <w:pStyle w:val="BodyCopy"/>
      </w:pPr>
      <w:r>
        <w:t>An example might be a project that connects young people with disability in a rural area with each other via multimedia, or a website that provides information about a particular disability or condition such as Down syndrome, autism or vision impairment.</w:t>
      </w:r>
    </w:p>
    <w:p w14:paraId="241AC78D" w14:textId="02371334" w:rsidR="000F0148" w:rsidRPr="000F0148" w:rsidRDefault="000F0148" w:rsidP="00090081">
      <w:pPr>
        <w:pStyle w:val="Heading3"/>
        <w:shd w:val="clear" w:color="auto" w:fill="EBE8E2" w:themeFill="background2"/>
      </w:pPr>
      <w:r w:rsidRPr="000F0148">
        <w:t xml:space="preserve">NDIS CICD grant helps </w:t>
      </w:r>
      <w:proofErr w:type="spellStart"/>
      <w:r w:rsidRPr="000F0148">
        <w:t>Colac</w:t>
      </w:r>
      <w:proofErr w:type="spellEnd"/>
      <w:r w:rsidRPr="000F0148">
        <w:t xml:space="preserve"> get a sensory garden</w:t>
      </w:r>
    </w:p>
    <w:p w14:paraId="32662625" w14:textId="77777777" w:rsidR="000F0148" w:rsidRDefault="000F0148" w:rsidP="00090081">
      <w:pPr>
        <w:pStyle w:val="IntroPara"/>
        <w:shd w:val="clear" w:color="auto" w:fill="EBE8E2" w:themeFill="background2"/>
      </w:pPr>
      <w:r>
        <w:rPr>
          <w:rStyle w:val="White"/>
        </w:rPr>
        <w:t xml:space="preserve">Plans are underway to build a sensory garden, featuring native plants and an Indigenous story wall, at the </w:t>
      </w:r>
      <w:proofErr w:type="spellStart"/>
      <w:r>
        <w:rPr>
          <w:rStyle w:val="White"/>
        </w:rPr>
        <w:t>Colac</w:t>
      </w:r>
      <w:proofErr w:type="spellEnd"/>
      <w:r>
        <w:rPr>
          <w:rStyle w:val="White"/>
        </w:rPr>
        <w:t xml:space="preserve"> </w:t>
      </w:r>
      <w:proofErr w:type="spellStart"/>
      <w:r>
        <w:rPr>
          <w:rStyle w:val="White"/>
        </w:rPr>
        <w:t>Neighbourhood</w:t>
      </w:r>
      <w:proofErr w:type="spellEnd"/>
      <w:r>
        <w:rPr>
          <w:rStyle w:val="White"/>
        </w:rPr>
        <w:t xml:space="preserve"> House in Victoria.</w:t>
      </w:r>
    </w:p>
    <w:p w14:paraId="13D21C95" w14:textId="77777777" w:rsidR="000F0148" w:rsidRDefault="000F0148" w:rsidP="00090081">
      <w:pPr>
        <w:pStyle w:val="BodyCopyREV"/>
        <w:shd w:val="clear" w:color="auto" w:fill="EBE8E2" w:themeFill="background2"/>
      </w:pPr>
      <w:r>
        <w:t xml:space="preserve">Funded by an NDIS Community Inclusion and Capacity Development (CICD) grant, the garden will feature a gazebo and wheelchair-suitable pathways to ensure everyone has access. The garden is designed to enhance the wellbeing and outdoor experiences of people who use the facility. </w:t>
      </w:r>
    </w:p>
    <w:p w14:paraId="7E9F2A03" w14:textId="77777777" w:rsidR="000F0148" w:rsidRDefault="000F0148" w:rsidP="00090081">
      <w:pPr>
        <w:pStyle w:val="BodyCopyREV"/>
        <w:shd w:val="clear" w:color="auto" w:fill="EBE8E2" w:themeFill="background2"/>
      </w:pPr>
      <w:r>
        <w:t xml:space="preserve">Another CICD grant will help to build an Indigenous story wall, telling the story of the local Indigenous people. </w:t>
      </w:r>
      <w:proofErr w:type="spellStart"/>
      <w:r>
        <w:t>Colac</w:t>
      </w:r>
      <w:proofErr w:type="spellEnd"/>
      <w:r>
        <w:t xml:space="preserve"> NDIA Engagement and Community Strategy team member, Amber </w:t>
      </w:r>
      <w:proofErr w:type="spellStart"/>
      <w:r>
        <w:t>Yarde</w:t>
      </w:r>
      <w:proofErr w:type="spellEnd"/>
      <w:r>
        <w:t xml:space="preserve">, said NDIA staff had worked closely with </w:t>
      </w:r>
      <w:proofErr w:type="spellStart"/>
      <w:r>
        <w:t>Colac</w:t>
      </w:r>
      <w:proofErr w:type="spellEnd"/>
      <w:r>
        <w:t xml:space="preserve"> </w:t>
      </w:r>
      <w:proofErr w:type="spellStart"/>
      <w:r>
        <w:t>Neighbourhood</w:t>
      </w:r>
      <w:proofErr w:type="spellEnd"/>
      <w:r>
        <w:t xml:space="preserve"> House Co-</w:t>
      </w:r>
      <w:proofErr w:type="spellStart"/>
      <w:r>
        <w:t>ordinator</w:t>
      </w:r>
      <w:proofErr w:type="spellEnd"/>
      <w:r>
        <w:t xml:space="preserve">, Bev </w:t>
      </w:r>
      <w:proofErr w:type="spellStart"/>
      <w:r>
        <w:t>Rimmer</w:t>
      </w:r>
      <w:proofErr w:type="spellEnd"/>
      <w:r>
        <w:t>, to bring this idea to life.</w:t>
      </w:r>
    </w:p>
    <w:p w14:paraId="3B1BA389" w14:textId="77777777" w:rsidR="000F0148" w:rsidRDefault="000F0148" w:rsidP="00090081">
      <w:pPr>
        <w:pStyle w:val="BodyCopyREV"/>
        <w:shd w:val="clear" w:color="auto" w:fill="EBE8E2" w:themeFill="background2"/>
      </w:pPr>
      <w:r>
        <w:t xml:space="preserve">‘From day one when the NDIS arrived in </w:t>
      </w:r>
      <w:proofErr w:type="spellStart"/>
      <w:r>
        <w:t>Colac</w:t>
      </w:r>
      <w:proofErr w:type="spellEnd"/>
      <w:r>
        <w:t xml:space="preserve">, staff approached the community to tell them about the CICD grants and to ask if they had any ideas to help make local areas more accessible and enjoyable for people with disability,’ </w:t>
      </w:r>
      <w:proofErr w:type="spellStart"/>
      <w:r>
        <w:t>Ms</w:t>
      </w:r>
      <w:proofErr w:type="spellEnd"/>
      <w:r>
        <w:t xml:space="preserve"> </w:t>
      </w:r>
      <w:proofErr w:type="spellStart"/>
      <w:r>
        <w:t>Yarde</w:t>
      </w:r>
      <w:proofErr w:type="spellEnd"/>
      <w:r>
        <w:t xml:space="preserve"> said.</w:t>
      </w:r>
    </w:p>
    <w:p w14:paraId="70FD84BB" w14:textId="2E5D8EB8" w:rsidR="000907A8" w:rsidRDefault="000F0148" w:rsidP="00090081">
      <w:pPr>
        <w:shd w:val="clear" w:color="auto" w:fill="EBE8E2" w:themeFill="background2"/>
      </w:pPr>
      <w:r>
        <w:lastRenderedPageBreak/>
        <w:t>‘</w:t>
      </w:r>
      <w:proofErr w:type="spellStart"/>
      <w:r>
        <w:t>Ms</w:t>
      </w:r>
      <w:proofErr w:type="spellEnd"/>
      <w:r>
        <w:t xml:space="preserve"> </w:t>
      </w:r>
      <w:proofErr w:type="spellStart"/>
      <w:r>
        <w:t>Rimmer</w:t>
      </w:r>
      <w:proofErr w:type="spellEnd"/>
      <w:r>
        <w:t xml:space="preserve"> came back to us with a great proposal to build a sensory garden and Indigenous story wall in the grounds of the </w:t>
      </w:r>
      <w:proofErr w:type="spellStart"/>
      <w:r>
        <w:t>Colac</w:t>
      </w:r>
      <w:proofErr w:type="spellEnd"/>
      <w:r>
        <w:t xml:space="preserve"> </w:t>
      </w:r>
      <w:proofErr w:type="spellStart"/>
      <w:r>
        <w:t>Neighbourhood</w:t>
      </w:r>
      <w:proofErr w:type="spellEnd"/>
      <w:r>
        <w:t xml:space="preserve"> House.’ The sensory garden is the first of its kind in the local area, and will benefit the many people with disability who use this facility, as well as the wider community.</w:t>
      </w:r>
    </w:p>
    <w:p w14:paraId="73797EF1" w14:textId="001BB613" w:rsidR="00142B89" w:rsidRDefault="00142B89" w:rsidP="00F04D24">
      <w:pPr>
        <w:pStyle w:val="Heading2"/>
      </w:pPr>
      <w:bookmarkStart w:id="18" w:name="_Toc464482086"/>
      <w:r>
        <w:lastRenderedPageBreak/>
        <w:t>Working with partners</w:t>
      </w:r>
      <w:bookmarkEnd w:id="18"/>
    </w:p>
    <w:p w14:paraId="1707CEA0" w14:textId="77777777" w:rsidR="00142B89" w:rsidRDefault="00142B89" w:rsidP="00142B89">
      <w:pPr>
        <w:pStyle w:val="IntroPara"/>
      </w:pPr>
      <w:r>
        <w:t xml:space="preserve">Partnerships with others are vital to the success of the Scheme. In 2015-16 many new relationships have commenced and other partnerships have evolved in line with this significant reform. </w:t>
      </w:r>
    </w:p>
    <w:p w14:paraId="218E9955" w14:textId="77777777" w:rsidR="00142B89" w:rsidRDefault="00142B89" w:rsidP="00142B89">
      <w:pPr>
        <w:pStyle w:val="BodyCopy"/>
      </w:pPr>
      <w:r>
        <w:t xml:space="preserve">Partners will in many cases be the face of the Scheme. They will be involved in the Agency’s governance and planning for the Scheme. </w:t>
      </w:r>
    </w:p>
    <w:p w14:paraId="769D171C" w14:textId="77777777" w:rsidR="00142B89" w:rsidRDefault="00142B89" w:rsidP="00142B89">
      <w:pPr>
        <w:pStyle w:val="BodyCopy"/>
      </w:pPr>
      <w:r>
        <w:t xml:space="preserve">There has been development in how partners </w:t>
      </w:r>
      <w:r>
        <w:br/>
        <w:t>are trained to ensure that the Scheme is delivered seamlessly across both the Agency and service providers. They will bring strong skills, experience and ideas that the Agency will explore and integrate where appropriate. As the Agency learns to work with new partners, it will embrace their ideas and innovation to improve services and outcomes.</w:t>
      </w:r>
    </w:p>
    <w:p w14:paraId="038C8716" w14:textId="65BAF4F9" w:rsidR="00142B89" w:rsidRDefault="00142B89" w:rsidP="00285138">
      <w:pPr>
        <w:pStyle w:val="Heading3"/>
      </w:pPr>
      <w:r>
        <w:t>Local Area Coordination</w:t>
      </w:r>
    </w:p>
    <w:p w14:paraId="4126F87C" w14:textId="77777777" w:rsidR="00142B89" w:rsidRDefault="00142B89" w:rsidP="00142B89">
      <w:pPr>
        <w:pStyle w:val="BodyCopy"/>
      </w:pPr>
      <w:r>
        <w:t xml:space="preserve">Local Area Coordination (LAC) is another part of the Scheme that relies on partner </w:t>
      </w:r>
      <w:proofErr w:type="spellStart"/>
      <w:r>
        <w:t>organisations</w:t>
      </w:r>
      <w:proofErr w:type="spellEnd"/>
      <w:r>
        <w:t xml:space="preserve"> to supply a workforce who are experts in local knowledge of services and community. </w:t>
      </w:r>
    </w:p>
    <w:p w14:paraId="0F178E4F" w14:textId="77777777" w:rsidR="00142B89" w:rsidRDefault="00142B89" w:rsidP="00142B89">
      <w:pPr>
        <w:pStyle w:val="BodyCopy"/>
      </w:pPr>
      <w:r>
        <w:t xml:space="preserve">Local Area Coordinators from partner </w:t>
      </w:r>
      <w:proofErr w:type="spellStart"/>
      <w:r>
        <w:t>organisations</w:t>
      </w:r>
      <w:proofErr w:type="spellEnd"/>
      <w:r>
        <w:t xml:space="preserve"> will work in local communities across Australia to: </w:t>
      </w:r>
    </w:p>
    <w:p w14:paraId="15BB1756" w14:textId="77777777" w:rsidR="00142B89" w:rsidRDefault="00142B89" w:rsidP="00142B89">
      <w:pPr>
        <w:pStyle w:val="BodyBullets"/>
      </w:pPr>
      <w:r>
        <w:t>assist Scheme participants connect to their community</w:t>
      </w:r>
    </w:p>
    <w:p w14:paraId="457AFF48" w14:textId="77777777" w:rsidR="00142B89" w:rsidRDefault="00142B89" w:rsidP="00142B89">
      <w:pPr>
        <w:pStyle w:val="BodyBullets"/>
      </w:pPr>
      <w:r>
        <w:t xml:space="preserve">provide short-term help to people with disability who are not eligible for the Scheme </w:t>
      </w:r>
    </w:p>
    <w:p w14:paraId="1AA03A1C" w14:textId="77777777" w:rsidR="00142B89" w:rsidRDefault="00142B89" w:rsidP="00142B89">
      <w:pPr>
        <w:pStyle w:val="BodyBullets-last"/>
      </w:pPr>
      <w:r>
        <w:t>work with the community to make it more inclusive.</w:t>
      </w:r>
    </w:p>
    <w:p w14:paraId="0FE20C8E" w14:textId="77777777" w:rsidR="00142B89" w:rsidRDefault="00142B89" w:rsidP="00142B89">
      <w:pPr>
        <w:pStyle w:val="BodyCopy"/>
      </w:pPr>
      <w:r>
        <w:t>Within the first five years of the Scheme it is expected that LAC will:</w:t>
      </w:r>
    </w:p>
    <w:p w14:paraId="6E0868E4" w14:textId="77777777" w:rsidR="00142B89" w:rsidRDefault="00142B89" w:rsidP="00142B89">
      <w:pPr>
        <w:pStyle w:val="BodyBullets"/>
        <w:spacing w:before="170"/>
        <w:ind w:left="510" w:hanging="340"/>
        <w:rPr>
          <w:rStyle w:val="Bold"/>
        </w:rPr>
      </w:pPr>
      <w:r>
        <w:rPr>
          <w:rStyle w:val="Bold"/>
        </w:rPr>
        <w:t xml:space="preserve">support 60-70 per cent of all participants </w:t>
      </w:r>
    </w:p>
    <w:p w14:paraId="53ACF3B4" w14:textId="77777777" w:rsidR="00142B89" w:rsidRDefault="00142B89" w:rsidP="00142B89">
      <w:pPr>
        <w:pStyle w:val="BodyBullets"/>
        <w:spacing w:before="113"/>
        <w:ind w:left="510" w:hanging="340"/>
        <w:rPr>
          <w:rStyle w:val="Bold"/>
        </w:rPr>
      </w:pPr>
      <w:r>
        <w:rPr>
          <w:rStyle w:val="Bold"/>
        </w:rPr>
        <w:t xml:space="preserve">provide assistance to connect to and build informal and natural supports </w:t>
      </w:r>
    </w:p>
    <w:p w14:paraId="2D0E2A6A" w14:textId="77777777" w:rsidR="00142B89" w:rsidRDefault="00142B89" w:rsidP="00142B89">
      <w:pPr>
        <w:pStyle w:val="BodyBullets"/>
        <w:spacing w:before="113"/>
        <w:ind w:left="510" w:hanging="340"/>
        <w:rPr>
          <w:rStyle w:val="Bold"/>
        </w:rPr>
      </w:pPr>
      <w:r>
        <w:rPr>
          <w:rStyle w:val="Bold"/>
        </w:rPr>
        <w:t xml:space="preserve">provide assistance with the planning process and effective implementation </w:t>
      </w:r>
    </w:p>
    <w:p w14:paraId="137DFF2D" w14:textId="77777777" w:rsidR="00142B89" w:rsidRDefault="00142B89" w:rsidP="00142B89">
      <w:pPr>
        <w:pStyle w:val="BodyBullets"/>
        <w:spacing w:before="113"/>
        <w:ind w:left="510" w:hanging="340"/>
        <w:rPr>
          <w:rStyle w:val="Bold"/>
        </w:rPr>
      </w:pPr>
      <w:r>
        <w:rPr>
          <w:rStyle w:val="Bold"/>
        </w:rPr>
        <w:t xml:space="preserve">work with people who are not participants of the Scheme as part of Information Linkages and Capacity Building </w:t>
      </w:r>
    </w:p>
    <w:p w14:paraId="63B30C94" w14:textId="77777777" w:rsidR="00142B89" w:rsidRDefault="00142B89" w:rsidP="00142B89">
      <w:pPr>
        <w:pStyle w:val="BodyBullets"/>
        <w:spacing w:before="113"/>
        <w:ind w:left="510" w:hanging="340"/>
        <w:rPr>
          <w:rStyle w:val="Bold"/>
        </w:rPr>
      </w:pPr>
      <w:r>
        <w:rPr>
          <w:rStyle w:val="Bold"/>
        </w:rPr>
        <w:t xml:space="preserve">work with community, providers and mainstream to build inclusion </w:t>
      </w:r>
    </w:p>
    <w:p w14:paraId="66F6828C" w14:textId="77777777" w:rsidR="00142B89" w:rsidRDefault="00142B89" w:rsidP="00142B89">
      <w:pPr>
        <w:pStyle w:val="BodyBullets-last"/>
        <w:spacing w:before="113"/>
        <w:ind w:left="510" w:hanging="340"/>
        <w:rPr>
          <w:rStyle w:val="Bold"/>
        </w:rPr>
      </w:pPr>
      <w:r>
        <w:rPr>
          <w:rStyle w:val="Bold"/>
        </w:rPr>
        <w:t xml:space="preserve">provide some outreach by being visible and active in the community </w:t>
      </w:r>
    </w:p>
    <w:p w14:paraId="19FB2D92" w14:textId="57C02199" w:rsidR="00142B89" w:rsidRDefault="00142B89" w:rsidP="00142B89">
      <w:pPr>
        <w:pStyle w:val="Heading3"/>
      </w:pPr>
      <w:r>
        <w:t>Local area coordination in action</w:t>
      </w:r>
    </w:p>
    <w:p w14:paraId="5410056B" w14:textId="77777777" w:rsidR="00142B89" w:rsidRDefault="00142B89" w:rsidP="00142B89">
      <w:pPr>
        <w:pStyle w:val="BodyCopy"/>
      </w:pPr>
      <w:r>
        <w:t>During November 2015 and March 2016 the Agency in Tasmania worked with LAC partners to conduct 85 information sessions across the State. The majority of these sessions were held in rural and regional areas and over 480 people attended. Sessions provided basic information about the trial site and access requirements in Tasmania. A number of potential participants were identified as part of these sessions and have since accessed the Scheme for planning.</w:t>
      </w:r>
    </w:p>
    <w:p w14:paraId="05ACA960" w14:textId="693350D9" w:rsidR="00142B89" w:rsidRDefault="00142B89" w:rsidP="00C7623F">
      <w:pPr>
        <w:pStyle w:val="Heading3"/>
      </w:pPr>
      <w:r>
        <w:t>Community Connectors</w:t>
      </w:r>
    </w:p>
    <w:p w14:paraId="4BEA70A3" w14:textId="77777777" w:rsidR="00142B89" w:rsidRDefault="00142B89" w:rsidP="00142B89">
      <w:pPr>
        <w:pStyle w:val="BodyCopy"/>
      </w:pPr>
      <w:r>
        <w:t xml:space="preserve">Community Connectors operate in the Nepean Blue Mountains and Queensland. Their role is to connect potential participants with the Scheme. They have a deep cultural understanding of the community they are working with, as well as knowledge of the Scheme. Community Connectors build awareness and understanding of the Scheme, assist people to </w:t>
      </w:r>
      <w:r>
        <w:lastRenderedPageBreak/>
        <w:t>access the Scheme and assist participants and their families to scope their goals and prepare for a planning conversation with an NDIA Planner or LAC.</w:t>
      </w:r>
    </w:p>
    <w:p w14:paraId="7BEFEFDB" w14:textId="03F4DA42" w:rsidR="00142B89" w:rsidRDefault="00142B89" w:rsidP="00767FC4">
      <w:pPr>
        <w:pStyle w:val="Heading3"/>
      </w:pPr>
      <w:r>
        <w:t>Early Childhood Early Intervention partners</w:t>
      </w:r>
    </w:p>
    <w:p w14:paraId="3ED1B22C" w14:textId="77777777" w:rsidR="00142B89" w:rsidRDefault="00142B89" w:rsidP="00142B89">
      <w:pPr>
        <w:pStyle w:val="BodyCopy"/>
      </w:pPr>
      <w:r>
        <w:t xml:space="preserve">People who work within the field of Early Childhood Early Intervention (ECEI) are also often referred to as ‘partners’ as they are employed by partner </w:t>
      </w:r>
      <w:proofErr w:type="spellStart"/>
      <w:r>
        <w:t>organisations</w:t>
      </w:r>
      <w:proofErr w:type="spellEnd"/>
      <w:r>
        <w:t>.</w:t>
      </w:r>
    </w:p>
    <w:p w14:paraId="0DAD2784" w14:textId="77777777" w:rsidR="00142B89" w:rsidRDefault="00142B89" w:rsidP="00142B89">
      <w:pPr>
        <w:pStyle w:val="BodyCopy"/>
      </w:pPr>
      <w:r>
        <w:t>The ECEI approach was developed over 2015-16 in response to higher than expected numbers of children looking to access the Scheme during the trial phase in South Australia, Victoria and the Australian Capital Territory.</w:t>
      </w:r>
    </w:p>
    <w:p w14:paraId="46D1AB26" w14:textId="77777777" w:rsidR="00142B89" w:rsidRDefault="00142B89" w:rsidP="00142B89">
      <w:pPr>
        <w:pStyle w:val="BodyCopy"/>
      </w:pPr>
      <w:r>
        <w:rPr>
          <w:spacing w:val="-3"/>
        </w:rPr>
        <w:t>Prior to the introduction of the Scheme, the approach to providing support to children with developmental delay or disability varied among the states and territories. Given the national responsibility of the Scheme, a single, best-practice approach to early childhood intervention to meet individual needs was required.</w:t>
      </w:r>
    </w:p>
    <w:p w14:paraId="749FB37B" w14:textId="77777777" w:rsidR="00142B89" w:rsidRDefault="00142B89" w:rsidP="00142B89">
      <w:pPr>
        <w:pStyle w:val="BodyCopy"/>
      </w:pPr>
      <w:r>
        <w:t>The Agency has worked with some of Australia’s leading early childhood intervention practitioners and researchers to design a best-practice approach that is family-</w:t>
      </w:r>
      <w:proofErr w:type="spellStart"/>
      <w:r>
        <w:t>centred</w:t>
      </w:r>
      <w:proofErr w:type="spellEnd"/>
      <w:r>
        <w:t xml:space="preserve"> and, importantly, supports children to achieve good individual outcomes. </w:t>
      </w:r>
    </w:p>
    <w:p w14:paraId="2DB57E5B" w14:textId="77777777" w:rsidR="00142B89" w:rsidRDefault="00142B89" w:rsidP="00142B89">
      <w:pPr>
        <w:pStyle w:val="BodyCopy"/>
      </w:pPr>
      <w:r>
        <w:t>The Early Childhood Early Intervention (ECEI) approach is the Agency’s design for young children aged 0 to 6 and their families. It has been developed to ensure that families have timely access to advice and early intervention supports. Providing quality intervention early in a child’s life can reduce the need for longer-term intervention and help them achieve the best possible outcomes to live an ordinary life.</w:t>
      </w:r>
    </w:p>
    <w:p w14:paraId="26BD2886" w14:textId="54084529" w:rsidR="00142B89" w:rsidRPr="00DB7BE9" w:rsidRDefault="00142B89" w:rsidP="00DB7BE9">
      <w:pPr>
        <w:pStyle w:val="Heading4"/>
      </w:pPr>
      <w:r w:rsidRPr="00DB7BE9">
        <w:t>Early Childhood Early Intervention through trial phase in 2015-16</w:t>
      </w:r>
    </w:p>
    <w:p w14:paraId="41C870C0" w14:textId="77777777" w:rsidR="00142B89" w:rsidRDefault="00142B89" w:rsidP="00142B89">
      <w:pPr>
        <w:pStyle w:val="BodyCopy"/>
      </w:pPr>
      <w:r>
        <w:t>The ECEI approach was first introduced in the Nepean Blue Mountains (for new children aged 0 to 6 years) over the Scheme trial period.</w:t>
      </w:r>
    </w:p>
    <w:p w14:paraId="419A47F2" w14:textId="77777777" w:rsidR="00142B89" w:rsidRDefault="00142B89" w:rsidP="00142B89">
      <w:pPr>
        <w:pStyle w:val="BodyCopy"/>
      </w:pPr>
      <w:r>
        <w:t>It has also been introduced in the Queensland early transition sites, in Townsville and Charters Towers, from late April 2016 (for all children aged 0 to 6 years). From mid-August 2016 the ECEI approach will be adopted across urban areas and urban outskirts of South Australia.</w:t>
      </w:r>
    </w:p>
    <w:p w14:paraId="56C6F2B8" w14:textId="77777777" w:rsidR="00142B89" w:rsidRDefault="00142B89" w:rsidP="00142B89">
      <w:pPr>
        <w:pStyle w:val="BodyCopy"/>
      </w:pPr>
      <w:r>
        <w:t>The approach will be rolled out around the rest of Australia in line with the arrangements in the bilateral agreements between the Commonwealth and state and territory governments.</w:t>
      </w:r>
    </w:p>
    <w:p w14:paraId="295A5496" w14:textId="1A42DD2C" w:rsidR="00142B89" w:rsidRDefault="00142B89" w:rsidP="00090081">
      <w:pPr>
        <w:pStyle w:val="Heading3"/>
        <w:shd w:val="clear" w:color="auto" w:fill="EBE8E2" w:themeFill="background2"/>
        <w:rPr>
          <w:rStyle w:val="White"/>
        </w:rPr>
      </w:pPr>
      <w:r>
        <w:rPr>
          <w:rStyle w:val="White"/>
        </w:rPr>
        <w:t>Early Childhood Early Intervention makes a difference</w:t>
      </w:r>
    </w:p>
    <w:p w14:paraId="096BCCDF" w14:textId="4D9B13D8" w:rsidR="00142B89" w:rsidRDefault="00142B89" w:rsidP="00090081">
      <w:pPr>
        <w:pStyle w:val="BodyCopyREV"/>
        <w:shd w:val="clear" w:color="auto" w:fill="EBE8E2" w:themeFill="background2"/>
      </w:pPr>
      <w:r>
        <w:t>Through Early Childhood Early Intervention, Faith has been able to achieve some much needed support for her son Nate which has helped him to participate in everyday activities.</w:t>
      </w:r>
    </w:p>
    <w:p w14:paraId="079F3A57" w14:textId="77777777" w:rsidR="00142B89" w:rsidRDefault="00142B89" w:rsidP="00090081">
      <w:pPr>
        <w:pStyle w:val="BodyCopyREV"/>
        <w:shd w:val="clear" w:color="auto" w:fill="EBE8E2" w:themeFill="background2"/>
      </w:pPr>
      <w:r>
        <w:t xml:space="preserve">Six-year-old Nate had a number of </w:t>
      </w:r>
      <w:proofErr w:type="spellStart"/>
      <w:r>
        <w:t>behaviours</w:t>
      </w:r>
      <w:proofErr w:type="spellEnd"/>
      <w:r>
        <w:t xml:space="preserve"> that were challenging for his mother, Faith. She believes that the Early Childhood Early Intervention approach has had a changing impact on Nate’s future.</w:t>
      </w:r>
    </w:p>
    <w:p w14:paraId="028DDF58" w14:textId="77777777" w:rsidR="00142B89" w:rsidRDefault="00142B89" w:rsidP="00090081">
      <w:pPr>
        <w:pStyle w:val="BodyCopyREV"/>
        <w:shd w:val="clear" w:color="auto" w:fill="EBE8E2" w:themeFill="background2"/>
      </w:pPr>
      <w:r>
        <w:t>‘If this did not exist, I’m not sure where my son’s future would be. By doing all that hard work now, later on in life it’ll be easier for him.’</w:t>
      </w:r>
    </w:p>
    <w:p w14:paraId="17BDEE3D" w14:textId="77777777" w:rsidR="00142B89" w:rsidRDefault="00142B89" w:rsidP="00090081">
      <w:pPr>
        <w:pStyle w:val="BodyCopyREV"/>
        <w:shd w:val="clear" w:color="auto" w:fill="EBE8E2" w:themeFill="background2"/>
      </w:pPr>
      <w:r>
        <w:t>Faith was initially advised to contact one of the Scheme’s early childhood partners in Nepean Blue Mountains for advice and support for Nate.</w:t>
      </w:r>
    </w:p>
    <w:p w14:paraId="6C6967A3" w14:textId="77777777" w:rsidR="00142B89" w:rsidRDefault="00142B89" w:rsidP="00090081">
      <w:pPr>
        <w:pStyle w:val="BodyCopyREV"/>
        <w:shd w:val="clear" w:color="auto" w:fill="EBE8E2" w:themeFill="background2"/>
      </w:pPr>
      <w:r>
        <w:t xml:space="preserve">‘We were getting to the point where we were feeling quite lost. We weren’t really sure where else to go with Nate. Some of his </w:t>
      </w:r>
      <w:proofErr w:type="spellStart"/>
      <w:r>
        <w:t>behaviours</w:t>
      </w:r>
      <w:proofErr w:type="spellEnd"/>
      <w:r>
        <w:t xml:space="preserve"> </w:t>
      </w:r>
      <w:r>
        <w:br/>
        <w:t>were quite extreme and constant,’ Faith said.</w:t>
      </w:r>
    </w:p>
    <w:p w14:paraId="6B41B529" w14:textId="22B9C204" w:rsidR="00142B89" w:rsidRDefault="00142B89" w:rsidP="00090081">
      <w:pPr>
        <w:shd w:val="clear" w:color="auto" w:fill="EBE8E2" w:themeFill="background2"/>
      </w:pPr>
      <w:r>
        <w:t xml:space="preserve">Through the support of the early childhood partner she says life is looking better. ‘We have finally got to a point where we now feel supported. When you have been lost and had </w:t>
      </w:r>
      <w:r>
        <w:br/>
        <w:t>no help for six months, to get someone to give you that help quickly, it’s immeasurable.’</w:t>
      </w:r>
    </w:p>
    <w:p w14:paraId="3957C2F4" w14:textId="3AA7BA3A" w:rsidR="00490E83" w:rsidRDefault="00490E83" w:rsidP="00490E83">
      <w:pPr>
        <w:pStyle w:val="Heading3"/>
      </w:pPr>
      <w:r>
        <w:lastRenderedPageBreak/>
        <w:t>Partners prepare the local community for Scheme rollout</w:t>
      </w:r>
    </w:p>
    <w:p w14:paraId="76DECCB9" w14:textId="77777777" w:rsidR="00490E83" w:rsidRDefault="00490E83" w:rsidP="00490E83">
      <w:pPr>
        <w:pStyle w:val="BodyCopy"/>
      </w:pPr>
      <w:r>
        <w:t>Agency partner Uniting’s team of Local Area Coordinators in the Nepean Blue Mountains district have been working to develop participant knowledge of the Scheme and to support them in transferring from their state funded disability supports to the Scheme. The team has also been working on creating greater awareness in the local community about the Scheme by gaining local area knowledge.</w:t>
      </w:r>
    </w:p>
    <w:p w14:paraId="5C60DD5A" w14:textId="77777777" w:rsidR="00490E83" w:rsidRDefault="00490E83" w:rsidP="00490E83">
      <w:pPr>
        <w:pStyle w:val="BodyCopy"/>
      </w:pPr>
      <w:r>
        <w:t xml:space="preserve">By developing a database that lists all community and mainstream local services and funded supports, the LAC team has a comprehensive understanding of the services available to participants in the region. The LACs have meetings with participants, their family and </w:t>
      </w:r>
      <w:proofErr w:type="spellStart"/>
      <w:r>
        <w:t>carers</w:t>
      </w:r>
      <w:proofErr w:type="spellEnd"/>
      <w:r>
        <w:t>, as well as service providers in the local area to prepare them for the transition to the Scheme.</w:t>
      </w:r>
    </w:p>
    <w:p w14:paraId="0B18A130" w14:textId="68360E08" w:rsidR="00490E83" w:rsidRDefault="00490E83" w:rsidP="00490E83">
      <w:pPr>
        <w:pStyle w:val="BodyCopy"/>
      </w:pPr>
      <w:r>
        <w:t>Participants and service providers now consistently express that they feel more informed and prepared after meeting with the LAC team.</w:t>
      </w:r>
    </w:p>
    <w:p w14:paraId="7E65B58C" w14:textId="6616BD6F" w:rsidR="00E52480" w:rsidRDefault="00E52480" w:rsidP="00E52480">
      <w:pPr>
        <w:pStyle w:val="Heading2"/>
      </w:pPr>
      <w:bookmarkStart w:id="19" w:name="_Toc464482087"/>
      <w:r>
        <w:lastRenderedPageBreak/>
        <w:t>Working with service providers</w:t>
      </w:r>
      <w:bookmarkEnd w:id="19"/>
    </w:p>
    <w:p w14:paraId="1EF2B864" w14:textId="11755E0C" w:rsidR="00E52480" w:rsidRDefault="00E52480" w:rsidP="00E52480">
      <w:pPr>
        <w:pStyle w:val="Heading3"/>
      </w:pPr>
      <w:r>
        <w:t>Service provider readiness</w:t>
      </w:r>
    </w:p>
    <w:p w14:paraId="6098A9F8" w14:textId="77777777" w:rsidR="00E52480" w:rsidRDefault="00E52480" w:rsidP="00E52480">
      <w:pPr>
        <w:pStyle w:val="BodyCopy"/>
      </w:pPr>
      <w:r>
        <w:t xml:space="preserve">Over the past year, the Agency has registered a multitude of new </w:t>
      </w:r>
      <w:proofErr w:type="spellStart"/>
      <w:r>
        <w:t>organisations</w:t>
      </w:r>
      <w:proofErr w:type="spellEnd"/>
      <w:r>
        <w:t>, or service providers, who have joined the Scheme for the first time. As at 30 June 2016, just over 3500 providers were registered to deliver supports under the Scheme. This represents an increase of more than 1500 providers over the 2015-16 financial year.</w:t>
      </w:r>
    </w:p>
    <w:p w14:paraId="5BBD8089" w14:textId="77777777" w:rsidR="00E52480" w:rsidRDefault="00E52480" w:rsidP="00E52480">
      <w:pPr>
        <w:pStyle w:val="BodyCopy"/>
      </w:pPr>
      <w:r>
        <w:t xml:space="preserve">Providers are individuals or </w:t>
      </w:r>
      <w:proofErr w:type="spellStart"/>
      <w:r>
        <w:t>organisations</w:t>
      </w:r>
      <w:proofErr w:type="spellEnd"/>
      <w:r>
        <w:t xml:space="preserve"> that deliver a support or product to a participant of the Scheme. Participants have choice and control over the providers they engage to deliver supports in their plan, regardless of how their plans are administered. However, supports provided for participants whose plans are administered by the Agency (‘Agency managed’ plans) are claimed directly from the Agency and must be supplied by a registered provider in the Scheme. </w:t>
      </w:r>
    </w:p>
    <w:p w14:paraId="0FF8E1C3" w14:textId="77777777" w:rsidR="00E52480" w:rsidRDefault="00E52480" w:rsidP="00E52480">
      <w:pPr>
        <w:pStyle w:val="BodyCopy"/>
      </w:pPr>
      <w:r>
        <w:t xml:space="preserve">The Scheme creates new and expanded opportunities for providers to be able to supply innovative and </w:t>
      </w:r>
      <w:proofErr w:type="spellStart"/>
      <w:r>
        <w:t>personalised</w:t>
      </w:r>
      <w:proofErr w:type="spellEnd"/>
      <w:r>
        <w:t xml:space="preserve"> supports to people with disability in an open market. </w:t>
      </w:r>
    </w:p>
    <w:p w14:paraId="59F9AF15" w14:textId="77777777" w:rsidR="00E52480" w:rsidRDefault="00E52480" w:rsidP="00E52480">
      <w:pPr>
        <w:pStyle w:val="BodyCopy"/>
      </w:pPr>
      <w:r>
        <w:t xml:space="preserve">Historically, disability funding has been provided directly to providers by governments or services delivered by governments directly. Central to the Scheme is a shift to directing funding and resources to Scheme participants who will then drive and shape the market (just as in many other commercial markets) through their individual choices of the providers to deliver the supports in their plans. This fundamentally changes the funding relationships that have </w:t>
      </w:r>
      <w:proofErr w:type="spellStart"/>
      <w:r>
        <w:t>characterised</w:t>
      </w:r>
      <w:proofErr w:type="spellEnd"/>
      <w:r>
        <w:t xml:space="preserve"> the disability support system in the past and delivers purchasing power to consumers.</w:t>
      </w:r>
    </w:p>
    <w:p w14:paraId="6078240D" w14:textId="0816E28C" w:rsidR="00E52480" w:rsidRPr="00E3194D" w:rsidRDefault="00E52480" w:rsidP="00E3194D">
      <w:pPr>
        <w:rPr>
          <w:b/>
        </w:rPr>
      </w:pPr>
      <w:r w:rsidRPr="00E3194D">
        <w:rPr>
          <w:b/>
        </w:rPr>
        <w:t>Once the Scheme is fully implemented in 2019, the level of expenditure on disability supports will more than double the current level, reaching approximately</w:t>
      </w:r>
      <w:r w:rsidR="00E3194D" w:rsidRPr="00E3194D">
        <w:rPr>
          <w:b/>
        </w:rPr>
        <w:t xml:space="preserve"> </w:t>
      </w:r>
      <w:r w:rsidRPr="00E3194D">
        <w:rPr>
          <w:b/>
        </w:rPr>
        <w:t xml:space="preserve">$22 billion per year, supporting around 460 000 participants. </w:t>
      </w:r>
    </w:p>
    <w:p w14:paraId="7C0BF1CB" w14:textId="77777777" w:rsidR="00E52480" w:rsidRDefault="00E52480" w:rsidP="00E52480">
      <w:pPr>
        <w:pStyle w:val="BodyCopy"/>
      </w:pPr>
      <w:r>
        <w:t xml:space="preserve">This means that the market will expand dramatically in the coming years, creating significant opportunities for existing service providers and for new entrants. </w:t>
      </w:r>
    </w:p>
    <w:p w14:paraId="7147E83D" w14:textId="77777777" w:rsidR="00E52480" w:rsidRDefault="00E52480" w:rsidP="00E52480">
      <w:pPr>
        <w:pStyle w:val="BodyCopy"/>
      </w:pPr>
      <w:r>
        <w:t xml:space="preserve">In 2015-16 the Agency continued its ongoing engagement and active consultation with existing and prospective Scheme service providers. The Agency further developed pricing and Scheme design work including the </w:t>
      </w:r>
      <w:r>
        <w:rPr>
          <w:rStyle w:val="Lightitalic"/>
        </w:rPr>
        <w:t>Specialist Disability Accommodation (SDA) Decision Paper</w:t>
      </w:r>
      <w:r>
        <w:t xml:space="preserve"> on Pricing and Payments on 1 June 2016.</w:t>
      </w:r>
    </w:p>
    <w:p w14:paraId="20ED91A0" w14:textId="2CC1767C" w:rsidR="00AE1FCF" w:rsidRDefault="00AE1FCF" w:rsidP="00AE1FCF">
      <w:pPr>
        <w:pStyle w:val="Heading3"/>
      </w:pPr>
      <w:r>
        <w:t>The service provider pathway</w:t>
      </w:r>
    </w:p>
    <w:p w14:paraId="54F87B1E" w14:textId="77777777" w:rsidR="00AE1FCF" w:rsidRDefault="00AE1FCF" w:rsidP="00AE1FCF">
      <w:pPr>
        <w:pStyle w:val="BodyCopy"/>
      </w:pPr>
      <w:r>
        <w:t xml:space="preserve">In 2014-15 a provider pathway was developed which references the administrative interactions between the Scheme and providers. This framework is outlined through the NDIS Provider Toolkit that was developed and delivered in 2015-16 in preparation for full Scheme rollout. The NDIS Provider Toolkit assists individuals and </w:t>
      </w:r>
      <w:proofErr w:type="spellStart"/>
      <w:r>
        <w:t>organisations</w:t>
      </w:r>
      <w:proofErr w:type="spellEnd"/>
      <w:r>
        <w:t xml:space="preserve"> that want to become a registered provider under the Scheme. The Agency </w:t>
      </w:r>
      <w:proofErr w:type="spellStart"/>
      <w:r>
        <w:t>recognises</w:t>
      </w:r>
      <w:proofErr w:type="spellEnd"/>
      <w:r>
        <w:t xml:space="preserve"> that the expectations of providers and the systems that they need to navigate are changing dramatically under the Scheme. The NDIS Provider Toolkit includes answers to the most frequently asked questions from providers about aspects of the Scheme and has a focus on systems and processes. It also references key elements of the Agency’s operational </w:t>
      </w:r>
      <w:proofErr w:type="gramStart"/>
      <w:r>
        <w:t>policy,</w:t>
      </w:r>
      <w:proofErr w:type="gramEnd"/>
      <w:r>
        <w:t xml:space="preserve"> which providers also need to understand.</w:t>
      </w:r>
    </w:p>
    <w:p w14:paraId="5B981F7D" w14:textId="77777777" w:rsidR="00AE1FCF" w:rsidRDefault="00AE1FCF" w:rsidP="00AE1FCF">
      <w:pPr>
        <w:pStyle w:val="CalloutlargeCallouts"/>
      </w:pPr>
      <w:r>
        <w:t>The primary relationship will be between participants (as consumers) and the providers they choose within a vibrant and competitive market.</w:t>
      </w:r>
    </w:p>
    <w:p w14:paraId="75FCE655" w14:textId="77777777" w:rsidR="00AE1FCF" w:rsidRDefault="00AE1FCF" w:rsidP="00AE1FCF">
      <w:pPr>
        <w:pStyle w:val="BodyCopy"/>
      </w:pPr>
      <w:r>
        <w:t>The NDIS Provider Toolkit which is regularly updated contains important information about:</w:t>
      </w:r>
    </w:p>
    <w:p w14:paraId="021D489D" w14:textId="77777777" w:rsidR="00AE1FCF" w:rsidRDefault="00AE1FCF" w:rsidP="00AE1FCF">
      <w:pPr>
        <w:pStyle w:val="BodyBullets"/>
      </w:pPr>
      <w:r>
        <w:t>how the Scheme operates</w:t>
      </w:r>
    </w:p>
    <w:p w14:paraId="38775AB8" w14:textId="77777777" w:rsidR="00AE1FCF" w:rsidRDefault="00AE1FCF" w:rsidP="00AE1FCF">
      <w:pPr>
        <w:pStyle w:val="BodyBullets"/>
      </w:pPr>
      <w:r>
        <w:lastRenderedPageBreak/>
        <w:t>how to register as a provider</w:t>
      </w:r>
    </w:p>
    <w:p w14:paraId="55E01AB7" w14:textId="77777777" w:rsidR="00AE1FCF" w:rsidRDefault="00AE1FCF" w:rsidP="00AE1FCF">
      <w:pPr>
        <w:pStyle w:val="BodyBullets"/>
      </w:pPr>
      <w:r>
        <w:t>how to engage with and manage the supports provided to participants (including how to claim for payment)</w:t>
      </w:r>
    </w:p>
    <w:p w14:paraId="116DAF1B" w14:textId="77777777" w:rsidR="00AE1FCF" w:rsidRDefault="00AE1FCF" w:rsidP="00AE1FCF">
      <w:pPr>
        <w:pStyle w:val="BodyBullets"/>
      </w:pPr>
      <w:r>
        <w:t xml:space="preserve">how to manage registration including relevant quality and safeguard </w:t>
      </w:r>
      <w:proofErr w:type="gramStart"/>
      <w:r>
        <w:t>arrangements</w:t>
      </w:r>
      <w:proofErr w:type="gramEnd"/>
    </w:p>
    <w:p w14:paraId="37E3635E" w14:textId="77777777" w:rsidR="00AE1FCF" w:rsidRDefault="00AE1FCF" w:rsidP="00AE1FCF">
      <w:pPr>
        <w:pStyle w:val="BodyBullets-last"/>
      </w:pPr>
      <w:r>
        <w:t>changes to key provider processes within the full Scheme, which is of particular importance to providers that have participated in the Scheme during the trial</w:t>
      </w:r>
    </w:p>
    <w:p w14:paraId="2967EEB5" w14:textId="77777777" w:rsidR="00AE1FCF" w:rsidRDefault="00AE1FCF" w:rsidP="00AE1FCF">
      <w:pPr>
        <w:pStyle w:val="BodyCopy"/>
      </w:pPr>
      <w:r>
        <w:t>Through engagement with the provider market, the feedback received by the Agency is that there is strong optimism about the Scheme, and that the majority of providers are planning for significant growth. In addition, a range of providers in adjacent and broader markets intend to operate under the Scheme, for the first time.</w:t>
      </w:r>
    </w:p>
    <w:p w14:paraId="12738CF4" w14:textId="17E03216" w:rsidR="0048456F" w:rsidRDefault="0048456F" w:rsidP="0048456F">
      <w:pPr>
        <w:pStyle w:val="Heading2"/>
      </w:pPr>
      <w:bookmarkStart w:id="20" w:name="_Toc464482088"/>
      <w:r>
        <w:lastRenderedPageBreak/>
        <w:t>Supporting diverse communities</w:t>
      </w:r>
      <w:bookmarkEnd w:id="20"/>
      <w:r>
        <w:t xml:space="preserve"> </w:t>
      </w:r>
    </w:p>
    <w:p w14:paraId="75F317B9" w14:textId="77777777" w:rsidR="0048456F" w:rsidRDefault="0048456F" w:rsidP="0048456F">
      <w:pPr>
        <w:pStyle w:val="IntroPara"/>
      </w:pPr>
      <w:r>
        <w:t xml:space="preserve">The Agency has been busy over 2015-16 to prepare the Scheme for full rollout and has gained deeper knowledge of how to improve access for people and communities with additional barriers to accessing supports and services. </w:t>
      </w:r>
    </w:p>
    <w:p w14:paraId="09E1FF0F" w14:textId="77777777" w:rsidR="0048456F" w:rsidRDefault="0048456F" w:rsidP="0048456F">
      <w:pPr>
        <w:pStyle w:val="BodyCopy"/>
      </w:pPr>
      <w:r>
        <w:t xml:space="preserve">These strategies are to be released later in 2016 but there has been considerable work over 2015-16 on strategies specific to four cohorts in particular: </w:t>
      </w:r>
    </w:p>
    <w:p w14:paraId="3E0296D3" w14:textId="77777777" w:rsidR="0048456F" w:rsidRDefault="0048456F" w:rsidP="0048456F">
      <w:pPr>
        <w:pStyle w:val="BodyBullets"/>
      </w:pPr>
      <w:r>
        <w:rPr>
          <w:spacing w:val="-5"/>
        </w:rPr>
        <w:t>people living in rural and remote areas of Australia</w:t>
      </w:r>
    </w:p>
    <w:p w14:paraId="0460F539" w14:textId="77777777" w:rsidR="0048456F" w:rsidRDefault="0048456F" w:rsidP="0048456F">
      <w:pPr>
        <w:pStyle w:val="BodyBullets"/>
      </w:pPr>
      <w:r>
        <w:t>Aboriginal and Torres Strait Islanders</w:t>
      </w:r>
    </w:p>
    <w:p w14:paraId="16AC33A6" w14:textId="77777777" w:rsidR="0048456F" w:rsidRDefault="0048456F" w:rsidP="0048456F">
      <w:pPr>
        <w:pStyle w:val="BodyBullets"/>
      </w:pPr>
      <w:r>
        <w:t xml:space="preserve">Culturally and Linguistically Diverse (CALD) communities </w:t>
      </w:r>
    </w:p>
    <w:p w14:paraId="674613A9" w14:textId="77777777" w:rsidR="0048456F" w:rsidRDefault="0048456F" w:rsidP="0048456F">
      <w:pPr>
        <w:pStyle w:val="BodyBullets-last"/>
      </w:pPr>
      <w:r>
        <w:t>people with identified mental illness and psychosocial disability.</w:t>
      </w:r>
    </w:p>
    <w:p w14:paraId="066D289E" w14:textId="617BE82B" w:rsidR="0048456F" w:rsidRDefault="0048456F" w:rsidP="0048456F">
      <w:pPr>
        <w:pStyle w:val="Heading3"/>
      </w:pPr>
      <w:r>
        <w:t xml:space="preserve">Overcoming challenges for specific communities </w:t>
      </w:r>
    </w:p>
    <w:p w14:paraId="24BBF04B" w14:textId="77777777" w:rsidR="0048456F" w:rsidRDefault="0048456F" w:rsidP="0048456F">
      <w:pPr>
        <w:pStyle w:val="BodyCopy"/>
      </w:pPr>
      <w:r>
        <w:t>Wherever possible the Agency will use the existing strengths and potential of specific communities to assist in implementing and managing the Scheme, including:</w:t>
      </w:r>
    </w:p>
    <w:p w14:paraId="58FE3E3E" w14:textId="77777777" w:rsidR="0048456F" w:rsidRDefault="0048456F" w:rsidP="0048456F">
      <w:pPr>
        <w:pStyle w:val="BodyBullets"/>
        <w:spacing w:before="28"/>
      </w:pPr>
      <w:r>
        <w:t xml:space="preserve">the skills and experience of people in </w:t>
      </w:r>
      <w:r>
        <w:br/>
        <w:t>the community</w:t>
      </w:r>
    </w:p>
    <w:p w14:paraId="2CA6B7ED" w14:textId="77777777" w:rsidR="0048456F" w:rsidRDefault="0048456F" w:rsidP="0048456F">
      <w:pPr>
        <w:pStyle w:val="BodyBullets-last"/>
        <w:spacing w:before="28"/>
      </w:pPr>
      <w:r>
        <w:t xml:space="preserve">resources from local </w:t>
      </w:r>
      <w:proofErr w:type="spellStart"/>
      <w:r>
        <w:t>organisations</w:t>
      </w:r>
      <w:proofErr w:type="spellEnd"/>
      <w:r>
        <w:t xml:space="preserve">, </w:t>
      </w:r>
      <w:r>
        <w:br/>
        <w:t>schools and businesses.</w:t>
      </w:r>
    </w:p>
    <w:p w14:paraId="12EACC0D" w14:textId="1051FDCB" w:rsidR="0048456F" w:rsidRDefault="0048456F" w:rsidP="0048456F">
      <w:pPr>
        <w:pStyle w:val="BodyCopy"/>
        <w:spacing w:before="57"/>
      </w:pPr>
      <w:r>
        <w:t xml:space="preserve">In some </w:t>
      </w:r>
      <w:proofErr w:type="gramStart"/>
      <w:r>
        <w:t>instances</w:t>
      </w:r>
      <w:proofErr w:type="gramEnd"/>
      <w:r>
        <w:t xml:space="preserve"> the following will also be considered</w:t>
      </w:r>
    </w:p>
    <w:p w14:paraId="54A2D71A" w14:textId="77777777" w:rsidR="0048456F" w:rsidRDefault="0048456F" w:rsidP="0048456F">
      <w:pPr>
        <w:pStyle w:val="BodyBullets"/>
        <w:spacing w:before="28"/>
      </w:pPr>
      <w:r>
        <w:t xml:space="preserve">local council land, property, buildings and parks, </w:t>
      </w:r>
    </w:p>
    <w:p w14:paraId="0622EC1F" w14:textId="77777777" w:rsidR="0048456F" w:rsidRDefault="0048456F" w:rsidP="0048456F">
      <w:pPr>
        <w:pStyle w:val="BodyBullets-last"/>
        <w:spacing w:before="28"/>
      </w:pPr>
      <w:r>
        <w:t>arts, culture and stories of the community.</w:t>
      </w:r>
    </w:p>
    <w:p w14:paraId="04C9156A" w14:textId="77777777" w:rsidR="0048456F" w:rsidRDefault="0048456F" w:rsidP="0048456F">
      <w:pPr>
        <w:pStyle w:val="BodyCopy"/>
        <w:spacing w:before="57"/>
      </w:pPr>
      <w:r>
        <w:t>The following sections focus on the specific needs of each of the cohorts.</w:t>
      </w:r>
    </w:p>
    <w:p w14:paraId="3147472B" w14:textId="2197BDDE" w:rsidR="0048456F" w:rsidRDefault="0048456F" w:rsidP="00090081">
      <w:pPr>
        <w:pStyle w:val="Heading3"/>
        <w:shd w:val="clear" w:color="auto" w:fill="EBE8E2" w:themeFill="background2"/>
      </w:pPr>
      <w:r>
        <w:t>Stephanie and Sandy in Palm Island</w:t>
      </w:r>
    </w:p>
    <w:p w14:paraId="1682174A" w14:textId="77777777" w:rsidR="0048456F" w:rsidRDefault="0048456F" w:rsidP="00090081">
      <w:pPr>
        <w:pStyle w:val="BodyCopy"/>
        <w:shd w:val="clear" w:color="auto" w:fill="EBE8E2" w:themeFill="background2"/>
        <w:rPr>
          <w:color w:val="282829"/>
        </w:rPr>
      </w:pPr>
      <w:r>
        <w:t>The Scheme is giving individuals and families in rural and remote communities access to better support. In Palm Island, Stephanie cares for her brother Sandy and is already seeing the benefits of having the Scheme in her community.</w:t>
      </w:r>
    </w:p>
    <w:p w14:paraId="17C41D1F" w14:textId="77777777" w:rsidR="0048456F" w:rsidRDefault="0048456F" w:rsidP="00090081">
      <w:pPr>
        <w:pStyle w:val="BodyCopy"/>
        <w:shd w:val="clear" w:color="auto" w:fill="EBE8E2" w:themeFill="background2"/>
      </w:pPr>
      <w:r>
        <w:t>‘I’ve been caring for my brother for 11 years. Communication is the most important thing—I am always communicating with the NDIS. They come out with a lot of great things, help-wise and activities. He goes to Men’s Group fortnightly, it’s a great help and he is excited when he goes because he’s among all the men. I’m not stressing how I used to stress and it has taken a load off my shoulders. I’m ready to do a lot of active things!’</w:t>
      </w:r>
    </w:p>
    <w:p w14:paraId="599DDA51" w14:textId="77777777" w:rsidR="0048456F" w:rsidRDefault="0048456F" w:rsidP="00090081">
      <w:pPr>
        <w:pStyle w:val="BodyCopy"/>
        <w:shd w:val="clear" w:color="auto" w:fill="EBE8E2" w:themeFill="background2"/>
      </w:pPr>
      <w:r>
        <w:rPr>
          <w:rStyle w:val="Lightitalic"/>
        </w:rPr>
        <w:t xml:space="preserve">Story adapted from video NDIS Ready: </w:t>
      </w:r>
      <w:proofErr w:type="spellStart"/>
      <w:r>
        <w:rPr>
          <w:rStyle w:val="Lightitalic"/>
        </w:rPr>
        <w:t>Carers</w:t>
      </w:r>
      <w:proofErr w:type="spellEnd"/>
    </w:p>
    <w:p w14:paraId="17CD4E23" w14:textId="6F2D4235" w:rsidR="0048456F" w:rsidRDefault="0048456F" w:rsidP="00674457">
      <w:pPr>
        <w:pStyle w:val="Heading3"/>
      </w:pPr>
      <w:r>
        <w:lastRenderedPageBreak/>
        <w:t>Assisting rural and remote Australians with disability</w:t>
      </w:r>
    </w:p>
    <w:p w14:paraId="3A3B6018" w14:textId="77777777" w:rsidR="0048456F" w:rsidRDefault="0048456F" w:rsidP="0048456F">
      <w:pPr>
        <w:pStyle w:val="BodyCopy"/>
      </w:pPr>
      <w:r>
        <w:t>To overcome the unique challenges of delivering a comparable level of supports and services to rural and remote participants as those available in Australia’s major cities, the Agency is developing the Rural and Remote strategy 2016-19. The strategy will be publicly released in late 2016.</w:t>
      </w:r>
    </w:p>
    <w:p w14:paraId="12E24839" w14:textId="77777777" w:rsidR="0048456F" w:rsidRDefault="0048456F" w:rsidP="0048456F">
      <w:pPr>
        <w:pStyle w:val="BodyCopy"/>
        <w:spacing w:before="57" w:after="28"/>
      </w:pPr>
      <w:r>
        <w:t xml:space="preserve">The strategy’s vision is to ensure that people </w:t>
      </w:r>
      <w:r>
        <w:br/>
        <w:t xml:space="preserve">with disability in rural and remote Australia, </w:t>
      </w:r>
      <w:r>
        <w:br/>
        <w:t>are supported to:</w:t>
      </w:r>
    </w:p>
    <w:p w14:paraId="0DF95B79" w14:textId="77777777" w:rsidR="0048456F" w:rsidRDefault="0048456F" w:rsidP="0048456F">
      <w:pPr>
        <w:pStyle w:val="BodyBullets"/>
        <w:spacing w:after="0"/>
      </w:pPr>
      <w:r>
        <w:t>participate in social and economic life to the extent of their ability</w:t>
      </w:r>
    </w:p>
    <w:p w14:paraId="3236DD3E" w14:textId="77777777" w:rsidR="0048456F" w:rsidRDefault="0048456F" w:rsidP="0048456F">
      <w:pPr>
        <w:pStyle w:val="BodyBullets"/>
        <w:spacing w:after="0"/>
      </w:pPr>
      <w:r>
        <w:t>contribute as valued members of their community, and</w:t>
      </w:r>
    </w:p>
    <w:p w14:paraId="7DD25468" w14:textId="77777777" w:rsidR="0048456F" w:rsidRDefault="0048456F" w:rsidP="0048456F">
      <w:pPr>
        <w:pStyle w:val="BodyBullets-last"/>
      </w:pPr>
      <w:r>
        <w:t>achieve good life outcomes.</w:t>
      </w:r>
    </w:p>
    <w:p w14:paraId="08FD2587" w14:textId="77777777" w:rsidR="0048456F" w:rsidRDefault="0048456F" w:rsidP="0048456F">
      <w:pPr>
        <w:pStyle w:val="BodyCopy"/>
      </w:pPr>
      <w:proofErr w:type="spellStart"/>
      <w:r>
        <w:t>Recognising</w:t>
      </w:r>
      <w:proofErr w:type="spellEnd"/>
      <w:r>
        <w:t xml:space="preserve"> that one type of disability service model or delivery will not be successful for all rural and remote communities, the Agency’s approach in these regions will require time and flexible solutions to the challenges for each community.</w:t>
      </w:r>
    </w:p>
    <w:p w14:paraId="3ED388F4" w14:textId="77777777" w:rsidR="002917C6" w:rsidRPr="002917C6" w:rsidRDefault="002917C6" w:rsidP="00BB0C99">
      <w:pPr>
        <w:pStyle w:val="Heading4"/>
        <w:rPr>
          <w:lang w:val="en-GB"/>
        </w:rPr>
      </w:pPr>
      <w:r w:rsidRPr="002917C6">
        <w:rPr>
          <w:lang w:val="en-GB"/>
        </w:rPr>
        <w:t>Disadvantages</w:t>
      </w:r>
    </w:p>
    <w:p w14:paraId="72955660" w14:textId="77777777" w:rsidR="0048456F" w:rsidRDefault="0048456F" w:rsidP="0048456F">
      <w:pPr>
        <w:pStyle w:val="BodyCopy"/>
      </w:pPr>
      <w:r>
        <w:t>People with disability living in rural and remote areas sometimes experience greater disadvantages, including lower incomes, poorer housing and higher unemployment. Sometimes there may be few or no suppliers in these communities. In these circumstances, the Agency will need to focus its approach to ensure that appropriate and useful supports are available for participants.</w:t>
      </w:r>
    </w:p>
    <w:p w14:paraId="796A02C1" w14:textId="386245AF" w:rsidR="00BB0C99" w:rsidRPr="00BB0C99" w:rsidRDefault="00BB0C99" w:rsidP="00BB0C99">
      <w:pPr>
        <w:pStyle w:val="Heading4"/>
        <w:rPr>
          <w:lang w:val="en-GB"/>
        </w:rPr>
      </w:pPr>
      <w:r>
        <w:rPr>
          <w:lang w:val="en-GB"/>
        </w:rPr>
        <w:t>A</w:t>
      </w:r>
      <w:r w:rsidRPr="002917C6">
        <w:rPr>
          <w:lang w:val="en-GB"/>
        </w:rPr>
        <w:t>dvantages</w:t>
      </w:r>
    </w:p>
    <w:p w14:paraId="661F92C4" w14:textId="77777777" w:rsidR="0048456F" w:rsidRDefault="0048456F" w:rsidP="0048456F">
      <w:pPr>
        <w:pStyle w:val="BodyCopy"/>
      </w:pPr>
      <w:r>
        <w:t xml:space="preserve">Two advantages that rural and remote communities frequently have are strong community networks and successful local solutions. These can be used to help people with disability, as well as their families and </w:t>
      </w:r>
      <w:proofErr w:type="spellStart"/>
      <w:r>
        <w:t>carers</w:t>
      </w:r>
      <w:proofErr w:type="spellEnd"/>
      <w:r>
        <w:t xml:space="preserve"> to </w:t>
      </w:r>
      <w:proofErr w:type="spellStart"/>
      <w:r>
        <w:t>organise</w:t>
      </w:r>
      <w:proofErr w:type="spellEnd"/>
      <w:r>
        <w:t xml:space="preserve"> and access other supports and services.</w:t>
      </w:r>
    </w:p>
    <w:p w14:paraId="644E46A3" w14:textId="33BA4484" w:rsidR="0048456F" w:rsidRDefault="0048456F" w:rsidP="003C2E1B">
      <w:pPr>
        <w:pStyle w:val="Heading3"/>
      </w:pPr>
      <w:r>
        <w:t xml:space="preserve">Supporting Aboriginal and Torres Strait Islander people with disability </w:t>
      </w:r>
    </w:p>
    <w:p w14:paraId="29F8C876" w14:textId="77777777" w:rsidR="0048456F" w:rsidRDefault="0048456F" w:rsidP="0048456F">
      <w:pPr>
        <w:pStyle w:val="IntroPara"/>
      </w:pPr>
      <w:r>
        <w:t>In 2015-16, the Agency has worked directly with Aboriginal and Torres Strait Islander communities to inform the development of a specific strategy to improve services for people with disability.</w:t>
      </w:r>
    </w:p>
    <w:p w14:paraId="482F2A43" w14:textId="77777777" w:rsidR="0048456F" w:rsidRDefault="0048456F" w:rsidP="0048456F">
      <w:pPr>
        <w:pStyle w:val="BodyCopy"/>
      </w:pPr>
      <w:r>
        <w:t xml:space="preserve">With more than 500 different identified Indigenous groups (or clans) across Australia, each with varying cultural, community governance and knowledge systems, there are many implications for how the Agency engages with Aboriginal and Torres Strait Islander peoples. In effect, addressing disability in Aboriginal and Torres Strait Islander communities requires walking in multiple worlds. </w:t>
      </w:r>
    </w:p>
    <w:p w14:paraId="54752C8C" w14:textId="77777777" w:rsidR="0048456F" w:rsidRDefault="0048456F" w:rsidP="0048456F">
      <w:pPr>
        <w:pStyle w:val="BodyCopy"/>
      </w:pPr>
      <w:r>
        <w:t>The Aboriginal and Torres Strait Islander Engagement strategy will be a statement of the Agency’s commitment to work with Aboriginal and Torres Strait Islander communities in delivering the Scheme across Australia. This strategy will be released in the second half of 2016.</w:t>
      </w:r>
    </w:p>
    <w:p w14:paraId="2E3AD964" w14:textId="77777777" w:rsidR="0048456F" w:rsidRDefault="0048456F" w:rsidP="0048456F">
      <w:pPr>
        <w:pStyle w:val="BodyCopy"/>
      </w:pPr>
      <w:r>
        <w:t>Centrality of country, culture and community will underpin the strategy and examples of the conversation in 2015-16 include focus on engagement and building trust. Within this year, an Aboriginal and Torres Strait Islander Reference Group has been established. The following information illustrates just two of the areas explored by the reference group toward the strategy development.</w:t>
      </w:r>
    </w:p>
    <w:p w14:paraId="22B2A5B3" w14:textId="77777777" w:rsidR="0048456F" w:rsidRDefault="0048456F" w:rsidP="00477E55">
      <w:pPr>
        <w:pStyle w:val="Heading4"/>
      </w:pPr>
      <w:r>
        <w:lastRenderedPageBreak/>
        <w:t xml:space="preserve">Engaging in the ‘proper way’ </w:t>
      </w:r>
    </w:p>
    <w:p w14:paraId="3A8B8BBC" w14:textId="77777777" w:rsidR="0048456F" w:rsidRDefault="0048456F" w:rsidP="0048456F">
      <w:pPr>
        <w:pStyle w:val="BodyCopy"/>
      </w:pPr>
      <w:r>
        <w:t xml:space="preserve">The Agency </w:t>
      </w:r>
      <w:proofErr w:type="spellStart"/>
      <w:r>
        <w:t>recognises</w:t>
      </w:r>
      <w:proofErr w:type="spellEnd"/>
      <w:r>
        <w:t xml:space="preserve"> that the process of establishing relationships with Aboriginal and Torres Strait Islander people begins with a process of establishing trust with the community. The Agency will be judged by the manner in which they propose to do business, before the community considers the nature of the business. </w:t>
      </w:r>
    </w:p>
    <w:p w14:paraId="167C7E9F" w14:textId="77777777" w:rsidR="0048456F" w:rsidRDefault="0048456F" w:rsidP="0048456F">
      <w:pPr>
        <w:pStyle w:val="BodyCopy"/>
      </w:pPr>
      <w:r>
        <w:t>The ‘proper way’ is a phrase used to describe a way of doing business in a manner that is compatible with the community’s values and customs.</w:t>
      </w:r>
    </w:p>
    <w:p w14:paraId="41124CA3" w14:textId="77777777" w:rsidR="0048456F" w:rsidRDefault="0048456F" w:rsidP="0048456F">
      <w:pPr>
        <w:pStyle w:val="BodyCopy"/>
      </w:pPr>
      <w:r>
        <w:t xml:space="preserve">The Agency will provide cultural competency training and consider recruitment and retention of staff to reflect the diversity of our clients and to improve service delivery, productivity, and staff and participant satisfaction. </w:t>
      </w:r>
    </w:p>
    <w:p w14:paraId="52C4E43E" w14:textId="77777777" w:rsidR="0048456F" w:rsidRDefault="0048456F" w:rsidP="0012666B">
      <w:pPr>
        <w:pStyle w:val="Heading4"/>
      </w:pPr>
      <w:r>
        <w:t>Relationships and engagement processes</w:t>
      </w:r>
    </w:p>
    <w:p w14:paraId="66750D6A" w14:textId="77777777" w:rsidR="0048456F" w:rsidRDefault="0048456F" w:rsidP="0048456F">
      <w:pPr>
        <w:pStyle w:val="BodyCopy"/>
      </w:pPr>
      <w:r>
        <w:t xml:space="preserve">To effectively deliver disability support and services to Aboriginal and Torres Strait Islander participants, the Agency </w:t>
      </w:r>
      <w:proofErr w:type="spellStart"/>
      <w:r>
        <w:t>recognises</w:t>
      </w:r>
      <w:proofErr w:type="spellEnd"/>
      <w:r>
        <w:t xml:space="preserve"> it must respect established community processes. </w:t>
      </w:r>
      <w:r>
        <w:br/>
        <w:t xml:space="preserve">One of these is that starting a relationship with an individual and their family must include building a relationship with the relevant community for that person. The Agency is adopting an ‘I’ model approach (figure 4) for initiating a sustainable relationship with Aboriginal and Torres Strait Islander communities. </w:t>
      </w:r>
    </w:p>
    <w:p w14:paraId="4CB5722B" w14:textId="77777777" w:rsidR="0048456F" w:rsidRDefault="0048456F" w:rsidP="0048456F">
      <w:pPr>
        <w:pStyle w:val="BodyBullets"/>
      </w:pPr>
      <w:r w:rsidRPr="007D0E0F">
        <w:rPr>
          <w:rStyle w:val="Bold"/>
        </w:rPr>
        <w:t>PHASE 1: Introduction</w:t>
      </w:r>
      <w:r>
        <w:t xml:space="preserve"> by a trusted local community member. </w:t>
      </w:r>
    </w:p>
    <w:p w14:paraId="67E9C664" w14:textId="77777777" w:rsidR="0048456F" w:rsidRDefault="0048456F" w:rsidP="0048456F">
      <w:pPr>
        <w:pStyle w:val="BodyBullets"/>
      </w:pPr>
      <w:r w:rsidRPr="007D0E0F">
        <w:rPr>
          <w:rStyle w:val="Bold"/>
        </w:rPr>
        <w:t>PHASE 2: Initiate</w:t>
      </w:r>
      <w:r>
        <w:rPr>
          <w:rStyle w:val="Bold-White"/>
        </w:rPr>
        <w:t xml:space="preserve"> </w:t>
      </w:r>
      <w:r>
        <w:t xml:space="preserve">follow-up contact to demonstrate commitment to the longer-term benefit of the community. </w:t>
      </w:r>
    </w:p>
    <w:p w14:paraId="0E6CE451" w14:textId="77777777" w:rsidR="0048456F" w:rsidRDefault="0048456F" w:rsidP="0048456F">
      <w:pPr>
        <w:pStyle w:val="BodyBullets"/>
      </w:pPr>
      <w:r w:rsidRPr="007D0E0F">
        <w:rPr>
          <w:rStyle w:val="Bold"/>
        </w:rPr>
        <w:t>PHASE 3: Invitation</w:t>
      </w:r>
      <w:r>
        <w:t xml:space="preserve"> to return by the community.</w:t>
      </w:r>
    </w:p>
    <w:p w14:paraId="027F9FD1" w14:textId="77777777" w:rsidR="0048456F" w:rsidRDefault="0048456F" w:rsidP="0048456F">
      <w:pPr>
        <w:pStyle w:val="BodyCopy"/>
      </w:pPr>
      <w:r>
        <w:t xml:space="preserve">Cultural competency is an ongoing process that aims to be demonstrated by all Agency staff, Local Area Coordinators, suppliers, providers and contractors. </w:t>
      </w:r>
    </w:p>
    <w:p w14:paraId="708D9775" w14:textId="38572215" w:rsidR="0012666B" w:rsidRDefault="0012666B" w:rsidP="00A83ADF">
      <w:pPr>
        <w:pStyle w:val="Heading3"/>
        <w:shd w:val="clear" w:color="auto" w:fill="EBE8E2" w:themeFill="background2"/>
      </w:pPr>
      <w:r>
        <w:t>Aboriginal and Torres Strait Islander strategy in action</w:t>
      </w:r>
    </w:p>
    <w:p w14:paraId="1FA3F8D4" w14:textId="5A957389" w:rsidR="0012666B" w:rsidRDefault="0012666B" w:rsidP="00A83ADF">
      <w:pPr>
        <w:pStyle w:val="BodyCopy"/>
        <w:shd w:val="clear" w:color="auto" w:fill="EBE8E2" w:themeFill="background2"/>
      </w:pPr>
      <w:r>
        <w:t xml:space="preserve">The Aboriginal and Torres Strait Islander strategy has been developed using real life experiences. The South Australian (SA) trial site engaged Aboriginal stakeholders as a matter of priority including the First Peoples Disability Network, the </w:t>
      </w:r>
      <w:proofErr w:type="spellStart"/>
      <w:r>
        <w:t>Ngaanyatjarra</w:t>
      </w:r>
      <w:proofErr w:type="spellEnd"/>
      <w:r>
        <w:t xml:space="preserve"> </w:t>
      </w:r>
      <w:proofErr w:type="spellStart"/>
      <w:r>
        <w:t>Pitjantjatjara</w:t>
      </w:r>
      <w:proofErr w:type="spellEnd"/>
      <w:r>
        <w:t xml:space="preserve"> Yankunytjatjara Women’s Council, senior women from </w:t>
      </w:r>
      <w:proofErr w:type="spellStart"/>
      <w:r>
        <w:t>Anangu</w:t>
      </w:r>
      <w:proofErr w:type="spellEnd"/>
      <w:r>
        <w:t xml:space="preserve"> </w:t>
      </w:r>
      <w:proofErr w:type="spellStart"/>
      <w:r>
        <w:t>Pitjantjatjara</w:t>
      </w:r>
      <w:proofErr w:type="spellEnd"/>
      <w:r>
        <w:t xml:space="preserve"> Yankunytjatjara (APY) Lands communities and </w:t>
      </w:r>
      <w:proofErr w:type="spellStart"/>
      <w:r>
        <w:t>Tullawon</w:t>
      </w:r>
      <w:proofErr w:type="spellEnd"/>
      <w:r>
        <w:t xml:space="preserve"> Health Service to assist Aboriginal participants across metropolitan, regional and remote South Australia to acce</w:t>
      </w:r>
      <w:r w:rsidR="00A85D3F">
        <w:t>ss the Scheme.</w:t>
      </w:r>
    </w:p>
    <w:p w14:paraId="7522C4BA" w14:textId="0D5107EA" w:rsidR="0048456F" w:rsidRDefault="0048456F" w:rsidP="00A85D3F">
      <w:pPr>
        <w:pStyle w:val="Heading3"/>
      </w:pPr>
      <w:r>
        <w:t>Supporting Culturally and Linguistically Diverse people with disability</w:t>
      </w:r>
    </w:p>
    <w:p w14:paraId="51E20F6E" w14:textId="77777777" w:rsidR="0048456F" w:rsidRDefault="0048456F" w:rsidP="0048456F">
      <w:pPr>
        <w:pStyle w:val="IntroPara"/>
      </w:pPr>
      <w:r>
        <w:t xml:space="preserve">People from Culturally and Linguistically Diverse (CALD) backgrounds with disability, and their families and </w:t>
      </w:r>
      <w:proofErr w:type="spellStart"/>
      <w:r>
        <w:t>carers</w:t>
      </w:r>
      <w:proofErr w:type="spellEnd"/>
      <w:r>
        <w:t xml:space="preserve">, face numerous unique barriers in accessing supports. These barriers exist across and between individual, community and </w:t>
      </w:r>
      <w:proofErr w:type="spellStart"/>
      <w:r>
        <w:t>organisational</w:t>
      </w:r>
      <w:proofErr w:type="spellEnd"/>
      <w:r>
        <w:t xml:space="preserve"> levels, impacting service access, degrees of support and experiences.</w:t>
      </w:r>
    </w:p>
    <w:p w14:paraId="6876C31A" w14:textId="77777777" w:rsidR="0048456F" w:rsidRDefault="0048456F" w:rsidP="0048456F">
      <w:pPr>
        <w:pStyle w:val="BodyCopy"/>
      </w:pPr>
      <w:r>
        <w:t>Over the past year, the Agency has done considerable work to inform the CALD strategy.</w:t>
      </w:r>
    </w:p>
    <w:p w14:paraId="2F27BBFA" w14:textId="77777777" w:rsidR="0048456F" w:rsidRDefault="0048456F" w:rsidP="0048456F">
      <w:pPr>
        <w:pStyle w:val="BodyCopy"/>
      </w:pPr>
      <w:r>
        <w:t>The Agency has established the Cultural and Linguistic Diversity Stakeholder Advisory Group (the Advisory Group) to provide overarching, strategic advice and guidance for the development of the CALD strategy. The Advisory Group first met in August 2015 and has since met in October 2015 and March 2016. The Advisory Group has been instrumental in providing subject matter expertise on CALD matters at national and local levels as well as strategic and service delivery levels.</w:t>
      </w:r>
    </w:p>
    <w:p w14:paraId="22631F25" w14:textId="77777777" w:rsidR="0048456F" w:rsidRDefault="0048456F" w:rsidP="0048456F">
      <w:pPr>
        <w:pStyle w:val="BodyCopy"/>
      </w:pPr>
      <w:r>
        <w:lastRenderedPageBreak/>
        <w:t xml:space="preserve">The strategy will respond to these issues and provide an overview of how it intends to ensure the needs of people from diverse backgrounds with disability, and their families and </w:t>
      </w:r>
      <w:proofErr w:type="spellStart"/>
      <w:r>
        <w:t>carers</w:t>
      </w:r>
      <w:proofErr w:type="spellEnd"/>
      <w:r>
        <w:t xml:space="preserve"> are met in the design, development and implementation of the Scheme. The strategy will be released in the second half of 2016.</w:t>
      </w:r>
    </w:p>
    <w:p w14:paraId="4FAE8031" w14:textId="77777777" w:rsidR="0048456F" w:rsidRDefault="0048456F" w:rsidP="0048456F">
      <w:pPr>
        <w:pStyle w:val="BodyCopy"/>
      </w:pPr>
      <w:r>
        <w:t>The CALD strategy tackles many challenges, including:</w:t>
      </w:r>
    </w:p>
    <w:p w14:paraId="7478C904" w14:textId="77777777" w:rsidR="0048456F" w:rsidRDefault="0048456F" w:rsidP="0048456F">
      <w:pPr>
        <w:pStyle w:val="BodyBullets"/>
      </w:pPr>
      <w:r>
        <w:rPr>
          <w:rStyle w:val="Bold"/>
        </w:rPr>
        <w:t>Attitudes and knowledge:</w:t>
      </w:r>
      <w:r>
        <w:t xml:space="preserve"> which may influence whether or not individuals access, or see the need for, formal disability supports.</w:t>
      </w:r>
    </w:p>
    <w:p w14:paraId="58C489E6" w14:textId="77777777" w:rsidR="0048456F" w:rsidRDefault="0048456F" w:rsidP="0048456F">
      <w:pPr>
        <w:pStyle w:val="BodyBullets"/>
      </w:pPr>
      <w:r>
        <w:rPr>
          <w:rStyle w:val="Bold"/>
        </w:rPr>
        <w:t>Demography and geography of communities:</w:t>
      </w:r>
      <w:r>
        <w:t xml:space="preserve"> factors such as language, duration of time in Australia and geographic location can affect access to disability supports.</w:t>
      </w:r>
    </w:p>
    <w:p w14:paraId="06EB28AE" w14:textId="77777777" w:rsidR="0048456F" w:rsidRDefault="0048456F" w:rsidP="0048456F">
      <w:pPr>
        <w:pStyle w:val="BodyBullets"/>
      </w:pPr>
      <w:r>
        <w:rPr>
          <w:rStyle w:val="Bold"/>
        </w:rPr>
        <w:t>Access to information:</w:t>
      </w:r>
      <w:r>
        <w:t xml:space="preserve"> the availability of easily understood information in a person’s preferred language and format about disability services.</w:t>
      </w:r>
    </w:p>
    <w:p w14:paraId="068452D0" w14:textId="77777777" w:rsidR="0048456F" w:rsidRDefault="0048456F" w:rsidP="0048456F">
      <w:pPr>
        <w:pStyle w:val="BodyBullets"/>
      </w:pPr>
      <w:r>
        <w:rPr>
          <w:rStyle w:val="Bold"/>
        </w:rPr>
        <w:t>Capacity and knowledge of mainstream services:</w:t>
      </w:r>
      <w:r>
        <w:t xml:space="preserve"> to provide supports for people from CALD backgrounds.</w:t>
      </w:r>
    </w:p>
    <w:p w14:paraId="1D69A080" w14:textId="77777777" w:rsidR="0048456F" w:rsidRDefault="0048456F" w:rsidP="0048456F">
      <w:pPr>
        <w:pStyle w:val="BodyBullets"/>
      </w:pPr>
      <w:r>
        <w:rPr>
          <w:rStyle w:val="Bold"/>
        </w:rPr>
        <w:t>Evidence of need and participation:</w:t>
      </w:r>
      <w:r>
        <w:t xml:space="preserve"> </w:t>
      </w:r>
      <w:r>
        <w:br/>
        <w:t xml:space="preserve">to allow accurate measuring and reporting of the participation of these communities in the Scheme. </w:t>
      </w:r>
    </w:p>
    <w:p w14:paraId="783F050B" w14:textId="65AAF920" w:rsidR="0048456F" w:rsidRDefault="0048456F" w:rsidP="00A83ADF">
      <w:pPr>
        <w:pStyle w:val="Heading3"/>
        <w:shd w:val="clear" w:color="auto" w:fill="EBE8E2" w:themeFill="background2"/>
        <w:rPr>
          <w:rStyle w:val="White"/>
        </w:rPr>
      </w:pPr>
      <w:r>
        <w:rPr>
          <w:rStyle w:val="White"/>
        </w:rPr>
        <w:t xml:space="preserve">Better care for </w:t>
      </w:r>
      <w:proofErr w:type="spellStart"/>
      <w:r>
        <w:rPr>
          <w:rStyle w:val="White"/>
        </w:rPr>
        <w:t>Kezia</w:t>
      </w:r>
      <w:proofErr w:type="spellEnd"/>
      <w:r>
        <w:rPr>
          <w:rStyle w:val="White"/>
        </w:rPr>
        <w:t xml:space="preserve"> and her family</w:t>
      </w:r>
    </w:p>
    <w:p w14:paraId="24B18031" w14:textId="77777777" w:rsidR="0048456F" w:rsidRDefault="0048456F" w:rsidP="00A83ADF">
      <w:pPr>
        <w:pStyle w:val="IntroPara"/>
        <w:shd w:val="clear" w:color="auto" w:fill="EBE8E2" w:themeFill="background2"/>
        <w:rPr>
          <w:rStyle w:val="White"/>
        </w:rPr>
      </w:pPr>
      <w:r>
        <w:rPr>
          <w:rStyle w:val="White"/>
        </w:rPr>
        <w:t xml:space="preserve">Parents Aldrin and Maria were so caught up providing the best care for nine-year-old daughter </w:t>
      </w:r>
      <w:proofErr w:type="spellStart"/>
      <w:r>
        <w:rPr>
          <w:rStyle w:val="White"/>
        </w:rPr>
        <w:t>Kezia</w:t>
      </w:r>
      <w:proofErr w:type="spellEnd"/>
      <w:r>
        <w:rPr>
          <w:rStyle w:val="White"/>
        </w:rPr>
        <w:t xml:space="preserve">, who has profound disability, that they could not visit family overseas and found it increasingly difficult to see friends or even leave their home. </w:t>
      </w:r>
    </w:p>
    <w:p w14:paraId="488FA1C1" w14:textId="77777777" w:rsidR="0048456F" w:rsidRDefault="0048456F" w:rsidP="00A83ADF">
      <w:pPr>
        <w:pStyle w:val="BodyCopyREV"/>
        <w:shd w:val="clear" w:color="auto" w:fill="EBE8E2" w:themeFill="background2"/>
      </w:pPr>
      <w:r>
        <w:t xml:space="preserve">Feeling there was no option but to give up their own lives to provide </w:t>
      </w:r>
      <w:proofErr w:type="spellStart"/>
      <w:r>
        <w:t>Kezia</w:t>
      </w:r>
      <w:proofErr w:type="spellEnd"/>
      <w:r>
        <w:t xml:space="preserve"> with adequate care, the family felt confined to their home with no significant help in sight. </w:t>
      </w:r>
      <w:proofErr w:type="spellStart"/>
      <w:r>
        <w:t>Kezia</w:t>
      </w:r>
      <w:proofErr w:type="spellEnd"/>
      <w:r>
        <w:t xml:space="preserve"> and her family are now enjoying more support and better lives with the Scheme.</w:t>
      </w:r>
    </w:p>
    <w:p w14:paraId="493D4DAB" w14:textId="77777777" w:rsidR="0048456F" w:rsidRDefault="0048456F" w:rsidP="00A83ADF">
      <w:pPr>
        <w:pStyle w:val="BodyCopyREV"/>
        <w:shd w:val="clear" w:color="auto" w:fill="EBE8E2" w:themeFill="background2"/>
        <w:spacing w:before="57"/>
      </w:pPr>
      <w:r>
        <w:t xml:space="preserve">With </w:t>
      </w:r>
      <w:proofErr w:type="spellStart"/>
      <w:r>
        <w:t>Kezia</w:t>
      </w:r>
      <w:proofErr w:type="spellEnd"/>
      <w:r>
        <w:t xml:space="preserve"> now a participant in the Scheme, Aldrin cannot believe how good life is for his whole family compared to two years ago.</w:t>
      </w:r>
    </w:p>
    <w:p w14:paraId="4FD969D1" w14:textId="77777777" w:rsidR="0048456F" w:rsidRDefault="0048456F" w:rsidP="00A83ADF">
      <w:pPr>
        <w:pStyle w:val="BodyCopyREV"/>
        <w:shd w:val="clear" w:color="auto" w:fill="EBE8E2" w:themeFill="background2"/>
        <w:spacing w:before="57"/>
      </w:pPr>
      <w:r>
        <w:t xml:space="preserve">Receiving appropriate equipment such as a hoist and funding for two support workers has been life changing. </w:t>
      </w:r>
    </w:p>
    <w:p w14:paraId="62BD68D1" w14:textId="77777777" w:rsidR="0048456F" w:rsidRDefault="0048456F" w:rsidP="00A83ADF">
      <w:pPr>
        <w:pStyle w:val="BodyCopyREV"/>
        <w:shd w:val="clear" w:color="auto" w:fill="EBE8E2" w:themeFill="background2"/>
        <w:spacing w:before="57"/>
      </w:pPr>
      <w:r>
        <w:t xml:space="preserve">‘After eight and a half years, I finally got to visit my family and friends in India,’ Aldrin said. </w:t>
      </w:r>
    </w:p>
    <w:p w14:paraId="176AF75D" w14:textId="77777777" w:rsidR="0048456F" w:rsidRDefault="0048456F" w:rsidP="00A83ADF">
      <w:pPr>
        <w:pStyle w:val="BodyCopyREV"/>
        <w:shd w:val="clear" w:color="auto" w:fill="EBE8E2" w:themeFill="background2"/>
        <w:spacing w:before="57"/>
      </w:pPr>
      <w:r>
        <w:t xml:space="preserve">Most importantly, Aldrin said, </w:t>
      </w:r>
      <w:proofErr w:type="spellStart"/>
      <w:r>
        <w:t>Kezia</w:t>
      </w:r>
      <w:proofErr w:type="spellEnd"/>
      <w:r>
        <w:t xml:space="preserve"> is much happier now, which is evident through her attention span and smiles.</w:t>
      </w:r>
    </w:p>
    <w:p w14:paraId="7DA071AA" w14:textId="77777777" w:rsidR="0048456F" w:rsidRDefault="0048456F" w:rsidP="00A83ADF">
      <w:pPr>
        <w:pStyle w:val="BodyCopyREV"/>
        <w:shd w:val="clear" w:color="auto" w:fill="EBE8E2" w:themeFill="background2"/>
        <w:spacing w:before="57"/>
      </w:pPr>
      <w:r>
        <w:t>‘</w:t>
      </w:r>
      <w:proofErr w:type="spellStart"/>
      <w:r>
        <w:t>Kezia</w:t>
      </w:r>
      <w:proofErr w:type="spellEnd"/>
      <w:r>
        <w:t xml:space="preserve"> gets a lot of regular therapy, including physio, and I’ve even got the physios teaching her </w:t>
      </w:r>
      <w:proofErr w:type="spellStart"/>
      <w:r>
        <w:t>carers</w:t>
      </w:r>
      <w:proofErr w:type="spellEnd"/>
      <w:r>
        <w:t xml:space="preserve"> the exercises so they can continue to do them with her when the physio is not there.’ </w:t>
      </w:r>
    </w:p>
    <w:p w14:paraId="0F358085" w14:textId="77777777" w:rsidR="0048456F" w:rsidRDefault="0048456F" w:rsidP="00A83ADF">
      <w:pPr>
        <w:pStyle w:val="BodyCopyREV"/>
        <w:shd w:val="clear" w:color="auto" w:fill="EBE8E2" w:themeFill="background2"/>
        <w:spacing w:before="57"/>
      </w:pPr>
      <w:r>
        <w:t>‘I’m able to go to work without worry and Maria can too. We’ve built up a great support network and thanks to the NDIS life is so much better now compared to before’, he said.</w:t>
      </w:r>
    </w:p>
    <w:p w14:paraId="1290283D" w14:textId="376CFFB1" w:rsidR="0048456F" w:rsidRDefault="0048456F" w:rsidP="005955DB">
      <w:pPr>
        <w:pStyle w:val="Heading3"/>
      </w:pPr>
      <w:r>
        <w:t>Mental health strategy</w:t>
      </w:r>
    </w:p>
    <w:p w14:paraId="3F646F4C" w14:textId="77777777" w:rsidR="0048456F" w:rsidRDefault="0048456F" w:rsidP="0048456F">
      <w:pPr>
        <w:pStyle w:val="IntroPara"/>
      </w:pPr>
      <w:r>
        <w:t xml:space="preserve">Traditionally the disability and mental health sectors have been distinct, involving different systems of support and terminology. </w:t>
      </w:r>
    </w:p>
    <w:p w14:paraId="0B0E86DC" w14:textId="77777777" w:rsidR="0048456F" w:rsidRDefault="0048456F" w:rsidP="0048456F">
      <w:pPr>
        <w:pStyle w:val="BodyCopy"/>
      </w:pPr>
      <w:r>
        <w:t>In 2019-20 the total number of expected participants is approximately 460 000, of which around 64 000 participants are estimated to be those with a primary psychosocial disability (13.9 per cent).</w:t>
      </w:r>
    </w:p>
    <w:p w14:paraId="47586E01" w14:textId="77777777" w:rsidR="0048456F" w:rsidRDefault="0048456F" w:rsidP="0048456F">
      <w:pPr>
        <w:pStyle w:val="BodyCopy"/>
      </w:pPr>
      <w:r>
        <w:t xml:space="preserve">Alongside the Scheme rollout, the mental health sector is undergoing significant parallel reform. In particular, the National Mental Health Commission’s </w:t>
      </w:r>
      <w:r>
        <w:rPr>
          <w:rStyle w:val="Lightitalic"/>
        </w:rPr>
        <w:t xml:space="preserve">Review of Mental Health </w:t>
      </w:r>
      <w:proofErr w:type="spellStart"/>
      <w:r>
        <w:rPr>
          <w:rStyle w:val="Lightitalic"/>
        </w:rPr>
        <w:t>Programmes</w:t>
      </w:r>
      <w:proofErr w:type="spellEnd"/>
      <w:r>
        <w:rPr>
          <w:rStyle w:val="Lightitalic"/>
        </w:rPr>
        <w:t xml:space="preserve"> and Services</w:t>
      </w:r>
      <w:r>
        <w:t xml:space="preserve"> (the ‘Review’) produced 25 </w:t>
      </w:r>
      <w:r>
        <w:lastRenderedPageBreak/>
        <w:t xml:space="preserve">recommendations to rebuild the mental health system across nine strategic directions. The Commonwealth response to the Review was released on 26 November 2015 with reforms to be rolled out over a three-year period to 2019. The Commonwealth is working with states and territories to develop the </w:t>
      </w:r>
      <w:r>
        <w:rPr>
          <w:rStyle w:val="Lightitalic"/>
        </w:rPr>
        <w:t>Fifth National Mental Health Plan</w:t>
      </w:r>
      <w:r>
        <w:t xml:space="preserve">. The Agency, through the work of the National Mental Health Sector Reference Group (NMHSRG), has been identified as a key ‘plank’ for consultation on the development of the </w:t>
      </w:r>
      <w:r>
        <w:rPr>
          <w:rStyle w:val="Lightitalic"/>
        </w:rPr>
        <w:t>Fifth National Mental Health Plan</w:t>
      </w:r>
      <w:r>
        <w:t>. The Agency is actively engaged in this process to ensure the smooth integration of reforms.</w:t>
      </w:r>
    </w:p>
    <w:p w14:paraId="2680EC2A" w14:textId="77777777" w:rsidR="0048456F" w:rsidRDefault="0048456F" w:rsidP="00576EDE">
      <w:pPr>
        <w:pStyle w:val="Heading4"/>
      </w:pPr>
      <w:r>
        <w:t>Key points</w:t>
      </w:r>
    </w:p>
    <w:p w14:paraId="3AF0CBE5" w14:textId="77777777" w:rsidR="0048456F" w:rsidRDefault="0048456F" w:rsidP="0048456F">
      <w:pPr>
        <w:pStyle w:val="BodyCopy"/>
      </w:pPr>
      <w:r>
        <w:rPr>
          <w:spacing w:val="-4"/>
        </w:rPr>
        <w:t>People living with psychosocial disability are progressively accessing the Scheme and improved opportunities. As at 30 June 2016, 3615 (10 per cent) of all scheme participants have a psychosocial disability, and 2747 participants (8 per cent) recorded their psychosocial disability as their primary disability. It is important to note that this is based on participants in trial and early launch sites in the scheme. This therefore does not reflect the proportion of participants expected at full Scheme. For example, the South Australian trial site is focused on children so would have very small numbers of psychosocial disability during trial phase compared to full rollout after 1 July 2016.</w:t>
      </w:r>
    </w:p>
    <w:p w14:paraId="42CAD25A" w14:textId="77777777" w:rsidR="0048456F" w:rsidRDefault="0048456F" w:rsidP="0048456F">
      <w:pPr>
        <w:pStyle w:val="BodyCopy"/>
      </w:pPr>
      <w:r>
        <w:t>Although psychosocial disability is still being progressively phased into the Scheme, there is a continuing trend of alignment between emerging trial site data and the Productivity Commission’s initial estimates of overall percentages.</w:t>
      </w:r>
    </w:p>
    <w:p w14:paraId="79F4AF71" w14:textId="77777777" w:rsidR="0048456F" w:rsidRDefault="0048456F" w:rsidP="0048456F">
      <w:pPr>
        <w:pStyle w:val="BodyCopy"/>
      </w:pPr>
      <w:r>
        <w:t>The Agency has established a robust plan (</w:t>
      </w:r>
      <w:r>
        <w:rPr>
          <w:rStyle w:val="Lightitalic"/>
        </w:rPr>
        <w:t>NDIA Mental Health Work Plan 2015-16</w:t>
      </w:r>
      <w:r>
        <w:t xml:space="preserve">) to systematically address emerging policy and operational issues. People with psychosocial disability, their families and </w:t>
      </w:r>
      <w:proofErr w:type="spellStart"/>
      <w:r>
        <w:t>carers</w:t>
      </w:r>
      <w:proofErr w:type="spellEnd"/>
      <w:r>
        <w:t xml:space="preserve"> are a critical reference group in the development and implementation of the plan. The plan includes five overarching streams, addressing:</w:t>
      </w:r>
    </w:p>
    <w:p w14:paraId="3AFB7FB5" w14:textId="77777777" w:rsidR="0048456F" w:rsidRDefault="0048456F" w:rsidP="0048456F">
      <w:pPr>
        <w:pStyle w:val="BodyBullets"/>
        <w:spacing w:after="0"/>
      </w:pPr>
      <w:r>
        <w:t>Scheme access</w:t>
      </w:r>
    </w:p>
    <w:p w14:paraId="5D5F0DC1" w14:textId="77777777" w:rsidR="0048456F" w:rsidRDefault="0048456F" w:rsidP="0048456F">
      <w:pPr>
        <w:pStyle w:val="BodyBullets"/>
        <w:spacing w:after="0"/>
      </w:pPr>
      <w:r>
        <w:t>design of supports</w:t>
      </w:r>
    </w:p>
    <w:p w14:paraId="229F9E80" w14:textId="77777777" w:rsidR="0048456F" w:rsidRDefault="0048456F" w:rsidP="0048456F">
      <w:pPr>
        <w:pStyle w:val="BodyBullets"/>
        <w:spacing w:after="0"/>
      </w:pPr>
      <w:r>
        <w:t>mental health sector engagement</w:t>
      </w:r>
    </w:p>
    <w:p w14:paraId="609051DD" w14:textId="77777777" w:rsidR="0048456F" w:rsidRDefault="0048456F" w:rsidP="0048456F">
      <w:pPr>
        <w:pStyle w:val="BodyBullets"/>
        <w:spacing w:after="0"/>
      </w:pPr>
      <w:r>
        <w:t xml:space="preserve">development of reference packages for people with psychosocial disability </w:t>
      </w:r>
    </w:p>
    <w:p w14:paraId="1BA1826C" w14:textId="77777777" w:rsidR="0048456F" w:rsidRDefault="0048456F" w:rsidP="0048456F">
      <w:pPr>
        <w:pStyle w:val="BodyBullets-last"/>
        <w:spacing w:after="113"/>
      </w:pPr>
      <w:r>
        <w:t>program transition, data, and mainstream interfaces and reforms.</w:t>
      </w:r>
    </w:p>
    <w:p w14:paraId="1E153BBC" w14:textId="77777777" w:rsidR="0048456F" w:rsidRDefault="0048456F" w:rsidP="0048456F">
      <w:pPr>
        <w:pStyle w:val="BodyCopy"/>
      </w:pPr>
      <w:r>
        <w:t xml:space="preserve">Initiatives of the plan aim to enhance the Agency’s administrative arrangements and capacity to respond to people with psychosocial disability, their families and </w:t>
      </w:r>
      <w:proofErr w:type="spellStart"/>
      <w:r>
        <w:t>carers</w:t>
      </w:r>
      <w:proofErr w:type="spellEnd"/>
      <w:r>
        <w:t xml:space="preserve">. As at 30 June, many of these have been completed or are now in the implementation phase, examples include the development of an engagement strategy, communications products and suite of recovery training to be rolled out to all Agency staff. </w:t>
      </w:r>
    </w:p>
    <w:p w14:paraId="2FA14E40" w14:textId="77777777" w:rsidR="0048456F" w:rsidRDefault="0048456F" w:rsidP="00576EDE">
      <w:pPr>
        <w:pStyle w:val="Heading4"/>
      </w:pPr>
      <w:r>
        <w:t>The future</w:t>
      </w:r>
    </w:p>
    <w:p w14:paraId="5A43B481" w14:textId="77777777" w:rsidR="0048456F" w:rsidRDefault="0048456F" w:rsidP="0048456F">
      <w:pPr>
        <w:pStyle w:val="BodyCopy"/>
      </w:pPr>
      <w:r>
        <w:t>The Agency continues commitment to the initiatives identified in the NDIA Mental Health Work Plan. The plan is rigorously reviewed on a yearly basis with expert input from the NMHSRG. Progress of the plan is reported through the Agency’s key governance bodies including the NDIS Independent Advisory Council and the Agency Board. Upcoming work includes:</w:t>
      </w:r>
    </w:p>
    <w:p w14:paraId="7270AF19" w14:textId="77777777" w:rsidR="0048456F" w:rsidRDefault="0048456F" w:rsidP="0048456F">
      <w:pPr>
        <w:pStyle w:val="BodyBulletscopy"/>
      </w:pPr>
      <w:r>
        <w:t>strengthening the links and clarifying the interface between the mental health sector and mainstream services and supports</w:t>
      </w:r>
    </w:p>
    <w:p w14:paraId="67FA440C" w14:textId="77777777" w:rsidR="0048456F" w:rsidRDefault="0048456F" w:rsidP="0048456F">
      <w:pPr>
        <w:pStyle w:val="BodyBulletscopy"/>
      </w:pPr>
      <w:r>
        <w:t>strengthening the links and clarifying the interface between the Scheme and mental health reforms including the establishment of Primary Mental Health Networks (PMHNs)</w:t>
      </w:r>
    </w:p>
    <w:p w14:paraId="071164D8" w14:textId="77777777" w:rsidR="0048456F" w:rsidRDefault="0048456F" w:rsidP="0048456F">
      <w:pPr>
        <w:pStyle w:val="BodyBulletscopy"/>
      </w:pPr>
      <w:r>
        <w:t xml:space="preserve">deepening engagement across the mental health sector. In particular, with Aboriginal and Torres Strait Islander peoples and the Royal Australian and New Zealand College of Psychiatrists (RANZCP) </w:t>
      </w:r>
    </w:p>
    <w:p w14:paraId="415655D6" w14:textId="77777777" w:rsidR="0048456F" w:rsidRDefault="0048456F" w:rsidP="0048456F">
      <w:pPr>
        <w:pStyle w:val="BodyBullets-last"/>
      </w:pPr>
      <w:r>
        <w:lastRenderedPageBreak/>
        <w:t>building a catalogue of accessible products and resources to inform the community about mental health and the Scheme.</w:t>
      </w:r>
    </w:p>
    <w:p w14:paraId="2827C265" w14:textId="77777777" w:rsidR="0048456F" w:rsidRDefault="0048456F" w:rsidP="00A83ADF">
      <w:pPr>
        <w:pStyle w:val="Heading4"/>
        <w:shd w:val="clear" w:color="auto" w:fill="EBE8E2" w:themeFill="background2"/>
      </w:pPr>
      <w:r>
        <w:t xml:space="preserve">National Mental Health Sector Reference Group </w:t>
      </w:r>
    </w:p>
    <w:p w14:paraId="18595364" w14:textId="77777777" w:rsidR="0048456F" w:rsidRDefault="0048456F" w:rsidP="00A83ADF">
      <w:pPr>
        <w:pStyle w:val="BodyCopy"/>
        <w:shd w:val="clear" w:color="auto" w:fill="EBE8E2" w:themeFill="background2"/>
      </w:pPr>
      <w:r>
        <w:t xml:space="preserve">The engagement stream of the plan includes the establishment and continuance of an NDIA National Mental Health Sector Reference Group (NMHSRG). The purpose of the NMHSRG is to ensure a strong working partnership between the mental health sector and the Agency. Members of the NMHSRG provide expert advice from a cross-section of the mental health sector to the Agency about the national work required to integrate mental health into the Scheme. NMHSRG member representatives include: consumers, </w:t>
      </w:r>
      <w:proofErr w:type="spellStart"/>
      <w:r>
        <w:t>carers</w:t>
      </w:r>
      <w:proofErr w:type="spellEnd"/>
      <w:r>
        <w:t>, mental health commissions, Commonwealth Departments of Health and Social Services, the NDIS Independent Advisory Council, Mental Health Australia (MHA), Community Mental Health Australia (CMHA) and the Mental Health Drug and Alcohol Principal Committee (MHDAPC).</w:t>
      </w:r>
    </w:p>
    <w:p w14:paraId="7A91A2B5" w14:textId="3D391BC1" w:rsidR="00490E83" w:rsidRDefault="009402D7" w:rsidP="009402D7">
      <w:pPr>
        <w:pStyle w:val="Heading1"/>
      </w:pPr>
      <w:bookmarkStart w:id="21" w:name="_Toc464482089"/>
      <w:r>
        <w:lastRenderedPageBreak/>
        <w:t>Learning</w:t>
      </w:r>
      <w:r>
        <w:br/>
        <w:t>A process of discovery through trial phase</w:t>
      </w:r>
      <w:bookmarkEnd w:id="21"/>
    </w:p>
    <w:p w14:paraId="160EABD4" w14:textId="793B6998" w:rsidR="002D5D50" w:rsidRDefault="002D5D50" w:rsidP="00F351C7">
      <w:pPr>
        <w:pStyle w:val="Heading2"/>
      </w:pPr>
      <w:bookmarkStart w:id="22" w:name="_Toc464482090"/>
      <w:r>
        <w:lastRenderedPageBreak/>
        <w:t>Market readiness</w:t>
      </w:r>
      <w:bookmarkEnd w:id="22"/>
    </w:p>
    <w:p w14:paraId="4BE2AA39" w14:textId="77777777" w:rsidR="002D5D50" w:rsidRDefault="002D5D50" w:rsidP="002D5D50">
      <w:pPr>
        <w:pStyle w:val="IntroPara"/>
      </w:pPr>
      <w:r>
        <w:t>Alongside work with service providers over the past year, a number of actions have been taken to address a need for a more active approach to market stewardship.</w:t>
      </w:r>
    </w:p>
    <w:p w14:paraId="51A92E1D" w14:textId="77777777" w:rsidR="002D5D50" w:rsidRDefault="002D5D50" w:rsidP="002D5D50">
      <w:pPr>
        <w:pStyle w:val="BodyCopy"/>
      </w:pPr>
      <w:r>
        <w:rPr>
          <w:spacing w:val="-3"/>
        </w:rPr>
        <w:t xml:space="preserve">These actions are supported by the Integrated Market Sector and Workforce strategy, endorsed by the COAG Disability Reform Council (DRC) and released in June 2015. This strategy guides the Agency’s approach to market stewardship and the development of a robust, open, competitive consumer-led market for disability supports that provides value for money for participants. As part of its market stewardship role the Agency oversees the marketplace and its impact on participants and providers, monitors whether markets are working as intended and seeks to identify ways </w:t>
      </w:r>
      <w:r>
        <w:rPr>
          <w:spacing w:val="-3"/>
        </w:rPr>
        <w:br/>
        <w:t>to drive improvements where these are needed.</w:t>
      </w:r>
    </w:p>
    <w:p w14:paraId="625AED78" w14:textId="77777777" w:rsidR="002D5D50" w:rsidRDefault="002D5D50" w:rsidP="002D5D50">
      <w:pPr>
        <w:pStyle w:val="BodyCopy"/>
      </w:pPr>
      <w:r>
        <w:t xml:space="preserve">The actions discussed here are just a few that demonstrate how the objectives of the Integrated Market, Sector, and Workforce strategy are being followed in the field. </w:t>
      </w:r>
    </w:p>
    <w:p w14:paraId="5554F3C0" w14:textId="572A7F8E" w:rsidR="002D5D50" w:rsidRDefault="002D5D50" w:rsidP="00F351C7">
      <w:pPr>
        <w:pStyle w:val="Heading3"/>
      </w:pPr>
      <w:r>
        <w:t xml:space="preserve">Housing Innovation showcases </w:t>
      </w:r>
    </w:p>
    <w:p w14:paraId="371800D1" w14:textId="77777777" w:rsidR="002D5D50" w:rsidRDefault="002D5D50" w:rsidP="002D5D50">
      <w:pPr>
        <w:pStyle w:val="BodyCopy"/>
      </w:pPr>
      <w:r>
        <w:rPr>
          <w:spacing w:val="-4"/>
        </w:rPr>
        <w:t xml:space="preserve">To encourage innovation in housing and attract new suppliers into the housing market—the first Housing Innovation showcase was held in Sydney in April 2016 and a second was held in Victoria in May 2016. Over 1300 people attended these two events. </w:t>
      </w:r>
    </w:p>
    <w:p w14:paraId="2EE41344" w14:textId="2389140E" w:rsidR="002D5D50" w:rsidRDefault="002D5D50" w:rsidP="00F351C7">
      <w:pPr>
        <w:pStyle w:val="Heading3"/>
      </w:pPr>
      <w:r>
        <w:t>Remote disability service provider forum</w:t>
      </w:r>
    </w:p>
    <w:p w14:paraId="7EC3DA29" w14:textId="77777777" w:rsidR="002D5D50" w:rsidRDefault="002D5D50" w:rsidP="002D5D50">
      <w:pPr>
        <w:pStyle w:val="BodyCopy"/>
      </w:pPr>
      <w:r>
        <w:t>As part of the development of the Rural and Remote strategy to improve provision of supports in ‘thin markets’, a remote disability service provider forum was held in Adelaide in March 2016 to share views on the range of disability service delivery models and responses that work best in remote and very remote regions. There is further detail about the Rural and Remote strategy on page 21.</w:t>
      </w:r>
    </w:p>
    <w:p w14:paraId="3A955B85" w14:textId="295949D6" w:rsidR="002D5D50" w:rsidRDefault="002D5D50" w:rsidP="00F351C7">
      <w:pPr>
        <w:pStyle w:val="Heading3"/>
      </w:pPr>
      <w:r>
        <w:t xml:space="preserve">Publication of market position statements </w:t>
      </w:r>
    </w:p>
    <w:p w14:paraId="0EE4C447" w14:textId="77777777" w:rsidR="002D5D50" w:rsidRDefault="002D5D50" w:rsidP="002D5D50">
      <w:pPr>
        <w:pStyle w:val="BodyCopy"/>
      </w:pPr>
      <w:r>
        <w:t>Another important piece of feedback over the trial phase included action by the Agency to provide assurance about the market. This led to the development of market position statements for each state and territory over 2016.</w:t>
      </w:r>
    </w:p>
    <w:p w14:paraId="794A8BCA" w14:textId="77777777" w:rsidR="002D5D50" w:rsidRDefault="002D5D50" w:rsidP="002D5D50">
      <w:pPr>
        <w:pStyle w:val="BodyCopy"/>
      </w:pPr>
      <w:r>
        <w:t xml:space="preserve">The market position statements aim to help providers, as well as participants and intermediaries understand the developing local markets they operate in, so that they can make informed decisions now and identify challenges and opportunities for the future. The market position statements provide information down to regional or local government area level and include information on the estimated demand for supports, a picture of market supply, and incorporate insights from providers operating </w:t>
      </w:r>
      <w:r>
        <w:br/>
        <w:t xml:space="preserve">in these local markets. </w:t>
      </w:r>
    </w:p>
    <w:p w14:paraId="3BE1C6D5" w14:textId="77777777" w:rsidR="002D5D50" w:rsidRDefault="002D5D50" w:rsidP="002D5D50">
      <w:pPr>
        <w:pStyle w:val="BodyCopy"/>
      </w:pPr>
      <w:r>
        <w:t xml:space="preserve">In 2016, market position statements were released for the following states: </w:t>
      </w:r>
    </w:p>
    <w:p w14:paraId="5F95BC5C" w14:textId="77777777" w:rsidR="002D5D50" w:rsidRDefault="002D5D50" w:rsidP="002D5D50">
      <w:pPr>
        <w:pStyle w:val="BodyBulletscopy"/>
        <w:spacing w:after="0"/>
      </w:pPr>
      <w:r>
        <w:t xml:space="preserve">New South Wales 14 March </w:t>
      </w:r>
    </w:p>
    <w:p w14:paraId="0E67ED3E" w14:textId="77777777" w:rsidR="002D5D50" w:rsidRDefault="002D5D50" w:rsidP="002D5D50">
      <w:pPr>
        <w:pStyle w:val="BodyBulletscopy"/>
        <w:spacing w:after="0"/>
      </w:pPr>
      <w:r>
        <w:t>Victoria 22 April</w:t>
      </w:r>
    </w:p>
    <w:p w14:paraId="44051281" w14:textId="77777777" w:rsidR="002D5D50" w:rsidRDefault="002D5D50" w:rsidP="002D5D50">
      <w:pPr>
        <w:pStyle w:val="BodyBulletscopy"/>
        <w:spacing w:after="0"/>
      </w:pPr>
      <w:r>
        <w:t>Queensland 10 May</w:t>
      </w:r>
    </w:p>
    <w:p w14:paraId="11A3B46F" w14:textId="77777777" w:rsidR="002D5D50" w:rsidRDefault="002D5D50" w:rsidP="002D5D50">
      <w:pPr>
        <w:pStyle w:val="BodyBullets-last"/>
      </w:pPr>
      <w:r>
        <w:t>South Australia 16 June</w:t>
      </w:r>
    </w:p>
    <w:p w14:paraId="504DCA6F" w14:textId="60072AA7" w:rsidR="002D5D50" w:rsidRDefault="002D5D50" w:rsidP="002D5D50">
      <w:pPr>
        <w:pStyle w:val="BodyCopy"/>
      </w:pPr>
      <w:r>
        <w:t>Market position statements for other states and territories that have signed bilateral agreements for transition are currently being developed. These can be found on the NDIS website as they are released.</w:t>
      </w:r>
    </w:p>
    <w:p w14:paraId="535BE26F" w14:textId="549F1F09" w:rsidR="002D5D50" w:rsidRDefault="002D5D50" w:rsidP="00026C78">
      <w:pPr>
        <w:pStyle w:val="Heading3"/>
      </w:pPr>
      <w:r>
        <w:lastRenderedPageBreak/>
        <w:t>Pricing</w:t>
      </w:r>
    </w:p>
    <w:p w14:paraId="070A9B90" w14:textId="77777777" w:rsidR="002D5D50" w:rsidRDefault="002D5D50" w:rsidP="002D5D50">
      <w:pPr>
        <w:pStyle w:val="BodyCopy"/>
      </w:pPr>
      <w:r>
        <w:t>In the lead up to 1 July 2016, the Agency reviewed and updated pricing arrangements for supports in four key areas:</w:t>
      </w:r>
    </w:p>
    <w:p w14:paraId="3CFE919E" w14:textId="77777777" w:rsidR="002D5D50" w:rsidRDefault="002D5D50" w:rsidP="002D5D50">
      <w:pPr>
        <w:pStyle w:val="BodyBullets"/>
      </w:pPr>
      <w:r>
        <w:rPr>
          <w:rStyle w:val="Bold"/>
        </w:rPr>
        <w:t>pricing arrangements</w:t>
      </w:r>
      <w:r>
        <w:t xml:space="preserve"> were updated for key supports, including: personal care, community participation and supported independent living </w:t>
      </w:r>
    </w:p>
    <w:p w14:paraId="0D253DFB" w14:textId="77777777" w:rsidR="002D5D50" w:rsidRDefault="002D5D50" w:rsidP="002D5D50">
      <w:pPr>
        <w:pStyle w:val="BodyBullets"/>
      </w:pPr>
      <w:r>
        <w:rPr>
          <w:rStyle w:val="Bold"/>
        </w:rPr>
        <w:t>price loadings</w:t>
      </w:r>
      <w:r>
        <w:t xml:space="preserve"> for remote and very remote locations were also updated: 2016-17 prices will be 18 per cent higher for remote areas and 23 per cent higher for very remote, reflecting the most up-to-date loadings from the Independent Hospital Pricing Authority</w:t>
      </w:r>
    </w:p>
    <w:p w14:paraId="68C78904" w14:textId="77777777" w:rsidR="002D5D50" w:rsidRDefault="002D5D50" w:rsidP="002D5D50">
      <w:pPr>
        <w:pStyle w:val="BodyBullets"/>
      </w:pPr>
      <w:r>
        <w:t xml:space="preserve">new supports and price arrangements are in place for support provided by </w:t>
      </w:r>
      <w:r>
        <w:rPr>
          <w:rStyle w:val="Bold"/>
        </w:rPr>
        <w:t>intermediaries</w:t>
      </w:r>
      <w:r>
        <w:t xml:space="preserve"> - in particular plan managers, support coordinators and other emerging brokerage models</w:t>
      </w:r>
    </w:p>
    <w:p w14:paraId="49E05F8E" w14:textId="77777777" w:rsidR="002D5D50" w:rsidRDefault="002D5D50" w:rsidP="002D5D50">
      <w:pPr>
        <w:pStyle w:val="BodyBullets-last"/>
      </w:pPr>
      <w:r>
        <w:rPr>
          <w:rStyle w:val="Bold"/>
        </w:rPr>
        <w:t>Specialist Disability Accommodation</w:t>
      </w:r>
      <w:r>
        <w:t xml:space="preserve"> (SDA) that will fund SDA providers for the first time under the Scheme.</w:t>
      </w:r>
    </w:p>
    <w:p w14:paraId="3FBEA327" w14:textId="77777777" w:rsidR="002D5D50" w:rsidRDefault="002D5D50" w:rsidP="002D5D50">
      <w:pPr>
        <w:pStyle w:val="BodyCopy"/>
      </w:pPr>
      <w:r>
        <w:t xml:space="preserve">These actions were supported by the publication of a </w:t>
      </w:r>
      <w:r>
        <w:rPr>
          <w:rStyle w:val="Lightitalic"/>
        </w:rPr>
        <w:t>Specialist Disability Accommodation (SDA) Decision Paper</w:t>
      </w:r>
      <w:r>
        <w:t xml:space="preserve"> on Pricing and Payments on 1 June 2016, which sets out the benchmark pricing and payments approach for funding of the land and built elements of SDA under the Scheme. This followed the release of the SDA Pricing and Payments framework in November 2015 and was informed by significant input from market stakeholders through regional forums, targeted workshops, individual discussions and responses to discussion papers. </w:t>
      </w:r>
    </w:p>
    <w:p w14:paraId="0F85DD79" w14:textId="5B2E2B95" w:rsidR="002D5D50" w:rsidRDefault="002D5D50" w:rsidP="00026C78">
      <w:pPr>
        <w:pStyle w:val="Heading3"/>
      </w:pPr>
      <w:r>
        <w:t>A new catalogue of supports</w:t>
      </w:r>
    </w:p>
    <w:p w14:paraId="1D8E1751" w14:textId="77777777" w:rsidR="002D5D50" w:rsidRDefault="002D5D50" w:rsidP="002D5D50">
      <w:pPr>
        <w:pStyle w:val="BodyCopy"/>
      </w:pPr>
      <w:r>
        <w:t>Over the year there was an extensive redesign of the Catalogue of Supports (Support Clusters and Pricing document) which was renamed the NDIS Price Guide. The redesign is supported by a simpler and shorter price list, which will make it easier for providers to claim funds. The new catalogue also aims to reduce confusion amongst participants and providers about the array of supports that can be funded through the Scheme.</w:t>
      </w:r>
    </w:p>
    <w:p w14:paraId="6F214648" w14:textId="5A95EEE8" w:rsidR="002D5D50" w:rsidRDefault="002D5D50" w:rsidP="00026C78">
      <w:pPr>
        <w:pStyle w:val="Heading3"/>
      </w:pPr>
      <w:r>
        <w:t>Introduction of a new Information and Communications Technology system</w:t>
      </w:r>
    </w:p>
    <w:p w14:paraId="6A921969" w14:textId="77777777" w:rsidR="002D5D50" w:rsidRDefault="002D5D50" w:rsidP="002D5D50">
      <w:pPr>
        <w:pStyle w:val="BodyCopy"/>
        <w:rPr>
          <w:spacing w:val="-4"/>
        </w:rPr>
      </w:pPr>
      <w:r>
        <w:rPr>
          <w:spacing w:val="-4"/>
        </w:rPr>
        <w:t xml:space="preserve">Each time the Scheme experiences challenges, it is important that lessons are learnt and findings implemented quickly to reduce any potential impact on people with disability. The Australian Government announced in the </w:t>
      </w:r>
      <w:r>
        <w:rPr>
          <w:spacing w:val="-4"/>
        </w:rPr>
        <w:br/>
        <w:t xml:space="preserve">2015-16 Budget that $143 million will be invested for the Department of Human Services (DHS) to deliver the Agency’s full Scheme Information and Communications Technology (ICT) solution. On 1 July 2016, the Scheme will move from trial to full Scheme transition. </w:t>
      </w:r>
    </w:p>
    <w:p w14:paraId="01E5C8A9" w14:textId="77777777" w:rsidR="002D5D50" w:rsidRDefault="002D5D50" w:rsidP="002D5D50">
      <w:pPr>
        <w:pStyle w:val="BodyCopy"/>
        <w:rPr>
          <w:spacing w:val="-3"/>
        </w:rPr>
      </w:pPr>
      <w:r>
        <w:rPr>
          <w:spacing w:val="-3"/>
        </w:rPr>
        <w:t xml:space="preserve">This will include the introduction of the ICT system to support the roll out of the Scheme over the next three years. The Agency will also be introducing a cross-governments initiative to develop a new NDIS </w:t>
      </w:r>
      <w:proofErr w:type="spellStart"/>
      <w:r>
        <w:rPr>
          <w:spacing w:val="-3"/>
        </w:rPr>
        <w:t>Myplace</w:t>
      </w:r>
      <w:proofErr w:type="spellEnd"/>
      <w:r>
        <w:rPr>
          <w:spacing w:val="-3"/>
        </w:rPr>
        <w:t xml:space="preserve"> online payment portal for stakeholders which will be a significant undertaking for the Agency. The Agency will be working hard to introduce the portal while working closely with participants, providers and partners to ensure they are financially supported and to resolve any issues.</w:t>
      </w:r>
    </w:p>
    <w:p w14:paraId="674FA401" w14:textId="37F1627C" w:rsidR="002D5D50" w:rsidRDefault="002D5D50" w:rsidP="002D5D50">
      <w:pPr>
        <w:pStyle w:val="BodyCopy"/>
      </w:pPr>
      <w:r>
        <w:t xml:space="preserve">The Agency experienced issues with the </w:t>
      </w:r>
      <w:proofErr w:type="spellStart"/>
      <w:r>
        <w:t>Myplace</w:t>
      </w:r>
      <w:proofErr w:type="spellEnd"/>
      <w:r>
        <w:t xml:space="preserve"> Portals post 1 July 2016</w:t>
      </w:r>
      <w:r w:rsidR="0076094F">
        <w:t>.</w:t>
      </w:r>
      <w:r>
        <w:t xml:space="preserve"> </w:t>
      </w:r>
      <w:r w:rsidR="0076094F">
        <w:rPr>
          <w:rFonts w:ascii="Helvetica" w:hAnsi="Helvetica" w:cs="Helvetica"/>
          <w:color w:val="000000"/>
          <w:szCs w:val="20"/>
        </w:rPr>
        <w:t xml:space="preserve">The Agency </w:t>
      </w:r>
      <w:proofErr w:type="spellStart"/>
      <w:r w:rsidR="0076094F">
        <w:rPr>
          <w:rFonts w:ascii="Helvetica" w:hAnsi="Helvetica" w:cs="Helvetica"/>
          <w:color w:val="000000"/>
          <w:szCs w:val="20"/>
        </w:rPr>
        <w:t>apologises</w:t>
      </w:r>
      <w:proofErr w:type="spellEnd"/>
      <w:r w:rsidR="0076094F">
        <w:rPr>
          <w:rFonts w:ascii="Helvetica" w:hAnsi="Helvetica" w:cs="Helvetica"/>
          <w:color w:val="000000"/>
          <w:szCs w:val="20"/>
        </w:rPr>
        <w:t xml:space="preserve"> for any inconvenience to participants and providers. Payments are now being processed successfully</w:t>
      </w:r>
      <w:r>
        <w:t>.</w:t>
      </w:r>
    </w:p>
    <w:p w14:paraId="7553A56F" w14:textId="03721187" w:rsidR="002D5D50" w:rsidRDefault="002D5D50" w:rsidP="00A83ADF">
      <w:pPr>
        <w:pStyle w:val="Heading3"/>
        <w:shd w:val="clear" w:color="auto" w:fill="EBE8E2" w:themeFill="background2"/>
        <w:rPr>
          <w:rStyle w:val="Bold-White"/>
          <w:b/>
          <w:bCs w:val="0"/>
        </w:rPr>
      </w:pPr>
      <w:r>
        <w:t>Phillip Young, father of participant Joshua Young discusses The Junction Project</w:t>
      </w:r>
    </w:p>
    <w:p w14:paraId="24FE99D3" w14:textId="77777777" w:rsidR="002D5D50" w:rsidRDefault="002D5D50" w:rsidP="00A83ADF">
      <w:pPr>
        <w:pStyle w:val="IntroPara"/>
        <w:shd w:val="clear" w:color="auto" w:fill="EBE8E2" w:themeFill="background2"/>
      </w:pPr>
      <w:r>
        <w:t>The Junction Project has been underway for four years providing Josh, Michael and Fraser with shared accommodation.</w:t>
      </w:r>
    </w:p>
    <w:p w14:paraId="565FE8ED" w14:textId="77777777" w:rsidR="002D5D50" w:rsidRDefault="002D5D50" w:rsidP="00A83ADF">
      <w:pPr>
        <w:pStyle w:val="BodyCopy"/>
        <w:shd w:val="clear" w:color="auto" w:fill="EBE8E2" w:themeFill="background2"/>
      </w:pPr>
      <w:r>
        <w:lastRenderedPageBreak/>
        <w:t xml:space="preserve">The Junction started out as a trial project to see how the participants got along together in a rental house and to also track any issues that could occur in such a change. </w:t>
      </w:r>
    </w:p>
    <w:p w14:paraId="3877AB8F" w14:textId="77777777" w:rsidR="002D5D50" w:rsidRDefault="002D5D50" w:rsidP="00A83ADF">
      <w:pPr>
        <w:pStyle w:val="BodyCopy"/>
        <w:shd w:val="clear" w:color="auto" w:fill="EBE8E2" w:themeFill="background2"/>
      </w:pPr>
      <w:r>
        <w:t xml:space="preserve">These three young men amazed their families so much with their skills and ability to learn and grow, that in June of 2015 the project moved to a final stage, with the families looking to buy a house in Newcastle. </w:t>
      </w:r>
    </w:p>
    <w:p w14:paraId="61FD5028" w14:textId="77777777" w:rsidR="002D5D50" w:rsidRDefault="002D5D50" w:rsidP="00A83ADF">
      <w:pPr>
        <w:pStyle w:val="BodyCopy"/>
        <w:shd w:val="clear" w:color="auto" w:fill="EBE8E2" w:themeFill="background2"/>
      </w:pPr>
      <w:r>
        <w:t>‘NDIS have been really wonderful. The project coordinator, Sam, has understood our situation because I think we’re a little bit different to the others. So we’ve got three young men who divide up the funds in equal proportions,’ explains Josh’s father Phillip.</w:t>
      </w:r>
    </w:p>
    <w:p w14:paraId="4DF90C1C" w14:textId="77777777" w:rsidR="002D5D50" w:rsidRDefault="002D5D50" w:rsidP="00A83ADF">
      <w:pPr>
        <w:pStyle w:val="BodyCopy"/>
        <w:shd w:val="clear" w:color="auto" w:fill="EBE8E2" w:themeFill="background2"/>
      </w:pPr>
      <w:r>
        <w:t>‘I think the biggest handicap that any of our sons and daughters have is ourselves. I find it extremely hard when I’m at the gym with Josh, and rather than driving him home myself, which I really loved and enjoyed doing, I now have to pull back and allow a car to take Josh home. Because this is his independence. It’s not up to me. This is for Josh’s life, not my life.</w:t>
      </w:r>
    </w:p>
    <w:p w14:paraId="6652787E" w14:textId="77777777" w:rsidR="002D5D50" w:rsidRDefault="002D5D50" w:rsidP="00A83ADF">
      <w:pPr>
        <w:pStyle w:val="BodyCopy"/>
        <w:shd w:val="clear" w:color="auto" w:fill="EBE8E2" w:themeFill="background2"/>
      </w:pPr>
      <w:r>
        <w:t>‘At some stage, I’m not going to be here. I know that the skills that Josh is developing now, through me withdrawing, will allow him to have a better life when I’m not here. Don’t ever think that they can’t do it, because they can. They only need you to withdraw and allow them to do it.’</w:t>
      </w:r>
    </w:p>
    <w:p w14:paraId="04E57050" w14:textId="77777777" w:rsidR="002D5D50" w:rsidRPr="001C2DF8" w:rsidRDefault="002D5D50" w:rsidP="00A83ADF">
      <w:pPr>
        <w:pStyle w:val="BodyCopy"/>
        <w:shd w:val="clear" w:color="auto" w:fill="EBE8E2" w:themeFill="background2"/>
        <w:rPr>
          <w:rStyle w:val="Italic"/>
        </w:rPr>
      </w:pPr>
      <w:r w:rsidRPr="001C2DF8">
        <w:rPr>
          <w:rStyle w:val="Italic"/>
        </w:rPr>
        <w:t>Story adapted from video Living My Plan 2</w:t>
      </w:r>
    </w:p>
    <w:p w14:paraId="143B2A38" w14:textId="08369557" w:rsidR="004E7E65" w:rsidRDefault="004E7E65" w:rsidP="004E7E65">
      <w:pPr>
        <w:pStyle w:val="Heading2"/>
      </w:pPr>
      <w:bookmarkStart w:id="23" w:name="_Toc464482091"/>
      <w:r>
        <w:lastRenderedPageBreak/>
        <w:t>Assistive Technology</w:t>
      </w:r>
      <w:bookmarkEnd w:id="23"/>
      <w:r>
        <w:t xml:space="preserve"> </w:t>
      </w:r>
    </w:p>
    <w:p w14:paraId="3CCF5E3E" w14:textId="77777777" w:rsidR="004E7E65" w:rsidRDefault="004E7E65" w:rsidP="004E7E65">
      <w:pPr>
        <w:pStyle w:val="IntroPara"/>
      </w:pPr>
      <w:r>
        <w:t xml:space="preserve">Assistive Technology (AT) is an umbrella term for the large and diverse group of products, systems, services, devices and technologies used by people with a disability to support and enhance their economic and social participation. </w:t>
      </w:r>
    </w:p>
    <w:p w14:paraId="7A5F3754" w14:textId="77777777" w:rsidR="004E7E65" w:rsidRDefault="004E7E65" w:rsidP="004E7E65">
      <w:pPr>
        <w:pStyle w:val="BodyCopy"/>
      </w:pPr>
      <w:r>
        <w:t>The Agency has been working hard over the trial period to refine this large area of support to ensure sustainability and equity into the future. Over 2015-16 the Agency has been working on initiatives to support the overarching vision for AT.</w:t>
      </w:r>
    </w:p>
    <w:p w14:paraId="31DA844F" w14:textId="77777777" w:rsidR="004E7E65" w:rsidRDefault="004E7E65" w:rsidP="004E7E65">
      <w:pPr>
        <w:pStyle w:val="BodyCopy"/>
      </w:pPr>
      <w:r>
        <w:t>Assistive technologies cover the full spectrum of technology from new and sophisticated (</w:t>
      </w:r>
      <w:proofErr w:type="spellStart"/>
      <w:r>
        <w:t>specialised</w:t>
      </w:r>
      <w:proofErr w:type="spellEnd"/>
      <w:r>
        <w:t xml:space="preserve"> apps on smartphones) to the simple but effective (tactile maps and walking sticks). Better design and accessibility features are increasingly making universal technologies (e.g. tablet computers) an important assistive technology for people with disability in their daily lives. AT enables people with disability to live a better, more independent and more inclusive life. It enables people with disability to </w:t>
      </w:r>
      <w:proofErr w:type="spellStart"/>
      <w:r>
        <w:t>maximise</w:t>
      </w:r>
      <w:proofErr w:type="spellEnd"/>
      <w:r>
        <w:t xml:space="preserve"> their independence at home, in the community and in the workplace, ensuring greater economic and social participation. </w:t>
      </w:r>
    </w:p>
    <w:p w14:paraId="271288AB" w14:textId="77777777" w:rsidR="004E7E65" w:rsidRDefault="004E7E65" w:rsidP="004E7E65">
      <w:pPr>
        <w:pStyle w:val="BodyCopy"/>
      </w:pPr>
      <w:r>
        <w:t xml:space="preserve">The Agency’s overarching vision for Assistive Technology is: </w:t>
      </w:r>
    </w:p>
    <w:p w14:paraId="0D11C3EB" w14:textId="77777777" w:rsidR="004E7E65" w:rsidRDefault="004E7E65" w:rsidP="004E7E65">
      <w:pPr>
        <w:pStyle w:val="BodyCopy"/>
      </w:pPr>
      <w:r>
        <w:rPr>
          <w:rStyle w:val="Bold"/>
        </w:rPr>
        <w:t xml:space="preserve">‘To build an empowering, sustainable and consistent approach to ensuring Scheme participants have choice in, and access to, </w:t>
      </w:r>
      <w:proofErr w:type="spellStart"/>
      <w:r>
        <w:rPr>
          <w:rStyle w:val="Bold"/>
        </w:rPr>
        <w:t>individualised</w:t>
      </w:r>
      <w:proofErr w:type="spellEnd"/>
      <w:r>
        <w:rPr>
          <w:rStyle w:val="Bold"/>
        </w:rPr>
        <w:t xml:space="preserve"> assistive technology solutions that enable and enhance economic and community participation.’ </w:t>
      </w:r>
    </w:p>
    <w:p w14:paraId="7D95BFE5" w14:textId="77777777" w:rsidR="004E7E65" w:rsidRDefault="004E7E65" w:rsidP="004E7E65">
      <w:pPr>
        <w:pStyle w:val="BodyCopy"/>
      </w:pPr>
      <w:r>
        <w:t xml:space="preserve">In support of the vision, the Agency has outlined the following proposed initiatives: </w:t>
      </w:r>
    </w:p>
    <w:p w14:paraId="74EFB6DD" w14:textId="77777777" w:rsidR="004E7E65" w:rsidRDefault="004E7E65" w:rsidP="004E7E65">
      <w:pPr>
        <w:pStyle w:val="BodyBullets"/>
      </w:pPr>
      <w:r>
        <w:t>support and stimulate a vibrant and innovative supply-side market, by providing a conduit for innovation and promoting the take-up of technology solutions,</w:t>
      </w:r>
    </w:p>
    <w:p w14:paraId="2B473419" w14:textId="77777777" w:rsidR="004E7E65" w:rsidRDefault="004E7E65" w:rsidP="004E7E65">
      <w:pPr>
        <w:pStyle w:val="BodyBullets"/>
      </w:pPr>
      <w:r>
        <w:t>support and stimulate informed, active, participant-led demand by empowering participants to choose technology that best supports their needs,</w:t>
      </w:r>
    </w:p>
    <w:p w14:paraId="65A667A4" w14:textId="77777777" w:rsidR="004E7E65" w:rsidRDefault="004E7E65" w:rsidP="004E7E65">
      <w:pPr>
        <w:pStyle w:val="BodyBullets-last"/>
      </w:pPr>
      <w:r>
        <w:t xml:space="preserve">deliver a financially robust, sustainable Scheme that generates economic and social value with the Agency only intervening to </w:t>
      </w:r>
      <w:proofErr w:type="spellStart"/>
      <w:r>
        <w:t>optimise</w:t>
      </w:r>
      <w:proofErr w:type="spellEnd"/>
      <w:r>
        <w:t xml:space="preserve"> outcomes for participants and economic value for the Scheme. </w:t>
      </w:r>
    </w:p>
    <w:p w14:paraId="3BE2E023" w14:textId="77777777" w:rsidR="004E7E65" w:rsidRDefault="004E7E65" w:rsidP="004E7E65">
      <w:pPr>
        <w:pStyle w:val="BodyCopy"/>
      </w:pPr>
      <w:r>
        <w:t xml:space="preserve">It is important to note that strong evidence of need and the benefit that will be delivered will still be required for AT to be supplied, like any other support, in participant plans and applications for </w:t>
      </w:r>
      <w:proofErr w:type="spellStart"/>
      <w:r>
        <w:t>individualised</w:t>
      </w:r>
      <w:proofErr w:type="spellEnd"/>
      <w:r>
        <w:t xml:space="preserve"> support packages.</w:t>
      </w:r>
    </w:p>
    <w:p w14:paraId="09BD653A" w14:textId="46330BD9" w:rsidR="004E7E65" w:rsidRDefault="004E7E65" w:rsidP="004E7E65">
      <w:pPr>
        <w:pStyle w:val="Heading3"/>
      </w:pPr>
      <w:r>
        <w:t>The release of the Assistive Technology strategy</w:t>
      </w:r>
    </w:p>
    <w:p w14:paraId="41E112A0" w14:textId="77777777" w:rsidR="004E7E65" w:rsidRDefault="004E7E65" w:rsidP="004E7E65">
      <w:pPr>
        <w:pStyle w:val="BodyCopy"/>
      </w:pPr>
      <w:r>
        <w:t xml:space="preserve">The AT strategy was released in October 2015 to support the development of an empowering, sustainable and consistent approach to ensure Scheme participants have choice in, and access to, </w:t>
      </w:r>
      <w:proofErr w:type="spellStart"/>
      <w:r>
        <w:t>individualised</w:t>
      </w:r>
      <w:proofErr w:type="spellEnd"/>
      <w:r>
        <w:t xml:space="preserve"> assistive technology solutions that enable and enhance their economic and community participation.</w:t>
      </w:r>
    </w:p>
    <w:p w14:paraId="4A2BCF94" w14:textId="202DCDFA" w:rsidR="004E7E65" w:rsidRDefault="004E7E65" w:rsidP="004E7E65">
      <w:pPr>
        <w:pStyle w:val="Heading3"/>
      </w:pPr>
      <w:r>
        <w:t>The Agency’s investment in Assistive Technology</w:t>
      </w:r>
    </w:p>
    <w:p w14:paraId="0DC72A59" w14:textId="77777777" w:rsidR="004E7E65" w:rsidRDefault="004E7E65" w:rsidP="004E7E65">
      <w:pPr>
        <w:pStyle w:val="BodyCopy"/>
      </w:pPr>
      <w:r>
        <w:rPr>
          <w:spacing w:val="-3"/>
        </w:rPr>
        <w:t>Spending on AT will be considerable as the Scheme is fully rolled out in 2019-20.</w:t>
      </w:r>
      <w:r>
        <w:rPr>
          <w:spacing w:val="-3"/>
          <w:vertAlign w:val="superscript"/>
        </w:rPr>
        <w:footnoteReference w:id="2"/>
      </w:r>
      <w:r>
        <w:rPr>
          <w:spacing w:val="-3"/>
        </w:rPr>
        <w:t xml:space="preserve"> It is anticipated that the Scheme’s rollout will stimulate the AT market in Australia, encouraging investment and the development of emerging technology solutions. </w:t>
      </w:r>
    </w:p>
    <w:p w14:paraId="2CB05A0C" w14:textId="77777777" w:rsidR="004E7E65" w:rsidRDefault="004E7E65" w:rsidP="004E7E65">
      <w:pPr>
        <w:pStyle w:val="BodyCopy"/>
      </w:pPr>
      <w:r>
        <w:lastRenderedPageBreak/>
        <w:t>As knowledge of this increasing demand filters through the Australian and global technology community, the expectation is that Australia could become a hub of AT innovation.</w:t>
      </w:r>
    </w:p>
    <w:p w14:paraId="047B3D4E" w14:textId="697DBCA6" w:rsidR="004E7E65" w:rsidRDefault="004E7E65" w:rsidP="00A94686">
      <w:pPr>
        <w:pStyle w:val="Heading3"/>
      </w:pPr>
      <w:r>
        <w:t>Demonstrated importance of Assistive Technology in trial sites</w:t>
      </w:r>
    </w:p>
    <w:p w14:paraId="06EB7CA2" w14:textId="77777777" w:rsidR="004E7E65" w:rsidRDefault="004E7E65" w:rsidP="004E7E65">
      <w:pPr>
        <w:pStyle w:val="BodyCopy"/>
      </w:pPr>
      <w:r>
        <w:t xml:space="preserve">As AT evolves it will provide more opportunities for people with disability. Experiences from the trial sites indicated that AT will be very important as the Scheme rolls out nationally from July 2016. </w:t>
      </w:r>
    </w:p>
    <w:p w14:paraId="1318F52C" w14:textId="77777777" w:rsidR="004E7E65" w:rsidRDefault="004E7E65" w:rsidP="004E7E65">
      <w:pPr>
        <w:pStyle w:val="BodyCopy"/>
      </w:pPr>
      <w:r>
        <w:t xml:space="preserve">At the Scheme trial sites by the end of May 2016, AT is included in 35 per cent of participants’ broader plans, rising to over 55 per cent for participants who are over 45 years old. Of over 400 AT support item types, the two largest value clusters coming out of the trial sites are assistive products for personal care and safety, and for personal mobility (Figure 5, page 33). Personal care and safety products include consumables such as home enteral nutrition (HEN) and continence products, as well as capital items such as bathroom and bedroom equipment. Personal mobility equipment includes capital items such as wheelchairs, walkers, hoists and transfer equipment. </w:t>
      </w:r>
    </w:p>
    <w:p w14:paraId="3F8253CE" w14:textId="77777777" w:rsidR="004E7E65" w:rsidRDefault="004E7E65" w:rsidP="004E7E65">
      <w:pPr>
        <w:pStyle w:val="BodyCopy"/>
      </w:pPr>
      <w:r>
        <w:t xml:space="preserve">The highest committed AT expenditure is for participants with ‘other neurological disability’ (approx. $15.6m), followed by ‘cerebral palsy’ (approx. $11.7m), ‘other physical’ (approx. $7.6m), and ‘intellectual disability’ (approx. $4.4m). People with intellectual disability and autism combined make up over 50 per cent of Scheme participants. AT spend in this area has historically been low, but new technologies—many used in the mainstream, such as tablet and smartphone applications—are offering opportunities to enhance independence, confidence and participation outcomes for this group. </w:t>
      </w:r>
    </w:p>
    <w:p w14:paraId="05D5CFDE" w14:textId="5D654D2C" w:rsidR="004E7E65" w:rsidRDefault="004E7E65" w:rsidP="00A94686">
      <w:pPr>
        <w:pStyle w:val="Heading3"/>
      </w:pPr>
      <w:r>
        <w:t>NDIS New World Conference: Disability in the 21st Century</w:t>
      </w:r>
    </w:p>
    <w:p w14:paraId="76943CCE" w14:textId="77777777" w:rsidR="004E7E65" w:rsidRDefault="004E7E65" w:rsidP="004E7E65">
      <w:pPr>
        <w:pStyle w:val="BodyCopy"/>
      </w:pPr>
      <w:r>
        <w:t xml:space="preserve">There is already evidence of interest about the Scheme’s AT potential from global technology companies. </w:t>
      </w:r>
    </w:p>
    <w:p w14:paraId="2FED9DC7" w14:textId="77777777" w:rsidR="004E7E65" w:rsidRDefault="004E7E65" w:rsidP="004E7E65">
      <w:pPr>
        <w:pStyle w:val="BodyCopy"/>
      </w:pPr>
      <w:r>
        <w:t xml:space="preserve">Attendants at the </w:t>
      </w:r>
      <w:r>
        <w:rPr>
          <w:rStyle w:val="Lightitalic"/>
        </w:rPr>
        <w:t>NDIS New World Conference: Disability in the 21st Century</w:t>
      </w:r>
      <w:r>
        <w:t xml:space="preserve">­—which focused on the role of technology in bettering the lives of people with disability—included representatives and Chief Accessibility Officers from leading technology companies such as Apple, Microsoft, and IBM. The global AT market will increasingly see the Australian market as a potential incubator for new technologies and will explore the market opportunities presented by the Scheme. </w:t>
      </w:r>
    </w:p>
    <w:p w14:paraId="49CAA758" w14:textId="77777777" w:rsidR="004E7E65" w:rsidRDefault="004E7E65" w:rsidP="004E7E65">
      <w:pPr>
        <w:pStyle w:val="CalloutmediumCallouts"/>
        <w:spacing w:before="227" w:after="227"/>
      </w:pPr>
      <w:proofErr w:type="gramStart"/>
      <w:r>
        <w:t>‘..</w:t>
      </w:r>
      <w:proofErr w:type="gramEnd"/>
      <w:r>
        <w:t xml:space="preserve">technological advancements, digital disruption and innovation are already transforming the lives of people with disability and creating a world with unlimited possibilities and opportunities.’ </w:t>
      </w:r>
    </w:p>
    <w:p w14:paraId="7E82C2D1" w14:textId="45E63069" w:rsidR="004E7E65" w:rsidRDefault="004E7E65" w:rsidP="004E7E65">
      <w:pPr>
        <w:pStyle w:val="BodyCopy"/>
      </w:pPr>
      <w:r>
        <w:rPr>
          <w:rStyle w:val="Bold"/>
        </w:rPr>
        <w:t>Bruce Bonyhady AM, Chairman, National Disability Insurance Agency</w:t>
      </w:r>
      <w:r>
        <w:br/>
        <w:t>NDIS New World Conference – Brisbane</w:t>
      </w:r>
      <w:r w:rsidR="00A94686">
        <w:t xml:space="preserve"> </w:t>
      </w:r>
      <w:r>
        <w:t>27 October 2015</w:t>
      </w:r>
    </w:p>
    <w:p w14:paraId="7978C2AF" w14:textId="77777777" w:rsidR="004E7E65" w:rsidRDefault="004E7E65" w:rsidP="004E7E65">
      <w:pPr>
        <w:pStyle w:val="BodyCopy"/>
      </w:pPr>
      <w:r>
        <w:t xml:space="preserve">Agency Chairman, Bruce Bonyhady AM, opened the conference and spoke about how technology has a leading role in the Scheme. </w:t>
      </w:r>
    </w:p>
    <w:p w14:paraId="28D1B008" w14:textId="77777777" w:rsidR="004E7E65" w:rsidRDefault="004E7E65" w:rsidP="004E7E65">
      <w:pPr>
        <w:pStyle w:val="BodyCopy"/>
      </w:pPr>
      <w:r>
        <w:t>At full Scheme, the Agency expects participants in the Scheme will spend $1 billion a year on AT, so it was important for the Agency to bring together people with disability, disability service providers, technology experts, entrepreneurs and policy makers at the conference in Brisbane.</w:t>
      </w:r>
    </w:p>
    <w:p w14:paraId="0F5AF182" w14:textId="77777777" w:rsidR="004E7E65" w:rsidRDefault="004E7E65" w:rsidP="007563B3">
      <w:pPr>
        <w:pStyle w:val="Heading4"/>
      </w:pPr>
      <w:r>
        <w:t>Conference highlights include:</w:t>
      </w:r>
    </w:p>
    <w:p w14:paraId="2EEFD075" w14:textId="77777777" w:rsidR="004E7E65" w:rsidRDefault="004E7E65" w:rsidP="004E7E65">
      <w:pPr>
        <w:pStyle w:val="BodyBullets"/>
      </w:pPr>
      <w:proofErr w:type="spellStart"/>
      <w:r>
        <w:t>Dr</w:t>
      </w:r>
      <w:proofErr w:type="spellEnd"/>
      <w:r>
        <w:t xml:space="preserve"> Jeffrey Cole, Director of the Centre for the Digital Future, University of Southern California, delivered a keynote address at the conference. </w:t>
      </w:r>
      <w:proofErr w:type="spellStart"/>
      <w:r>
        <w:t>Dr</w:t>
      </w:r>
      <w:proofErr w:type="spellEnd"/>
      <w:r>
        <w:t xml:space="preserve"> Cole is a world authority on technology and the influence it has on our attitudes and </w:t>
      </w:r>
      <w:proofErr w:type="spellStart"/>
      <w:r>
        <w:t>behaviour</w:t>
      </w:r>
      <w:proofErr w:type="spellEnd"/>
      <w:r>
        <w:t>. He has been at the forefront of media and communication technology policy issues in the United States and internationally for the past 25 years.</w:t>
      </w:r>
    </w:p>
    <w:p w14:paraId="411CF63D" w14:textId="77777777" w:rsidR="004E7E65" w:rsidRDefault="004E7E65" w:rsidP="004E7E65">
      <w:pPr>
        <w:pStyle w:val="BodyBullets"/>
      </w:pPr>
      <w:r>
        <w:t>‘Digital dreams’ – people with disability explained their technology needs and presented their technology ‘dreams’ to the technology vendors and service providers.</w:t>
      </w:r>
    </w:p>
    <w:p w14:paraId="0F1F64EB" w14:textId="77777777" w:rsidR="004E7E65" w:rsidRDefault="004E7E65" w:rsidP="004E7E65">
      <w:pPr>
        <w:pStyle w:val="BodyBullets"/>
      </w:pPr>
      <w:r>
        <w:lastRenderedPageBreak/>
        <w:t>Christopher Hills, an Apple ‘Accessibility Ambassador’, impressed the audience with his story about how Assistive Technology (or as he likes to call it ‘inclusive’ technology) has made his career possible. Christopher is a highly regarded editor and video producer who lives with cerebral palsy and quadriplegia.</w:t>
      </w:r>
    </w:p>
    <w:p w14:paraId="426F4E48" w14:textId="77777777" w:rsidR="004E7E65" w:rsidRDefault="004E7E65" w:rsidP="004E7E65">
      <w:pPr>
        <w:pStyle w:val="BodyBullets"/>
      </w:pPr>
      <w:r>
        <w:t xml:space="preserve">Top accessibility officers from IBM, Apple and Microsoft giving an outline of their future plans for assistive technology and how this will enable people with disability to participate in a more inclusive community and access an ordinary life. </w:t>
      </w:r>
    </w:p>
    <w:p w14:paraId="431B01DD" w14:textId="4405C90C" w:rsidR="004E7E65" w:rsidRPr="00B33222" w:rsidRDefault="004E7E65" w:rsidP="004E7E65">
      <w:pPr>
        <w:pStyle w:val="CalloutmediumCallouts"/>
        <w:spacing w:before="170"/>
        <w:rPr>
          <w:sz w:val="24"/>
          <w:szCs w:val="24"/>
        </w:rPr>
      </w:pPr>
      <w:r w:rsidRPr="00B33222">
        <w:rPr>
          <w:sz w:val="24"/>
          <w:szCs w:val="24"/>
        </w:rPr>
        <w:t>Academy Award winner, Dr Mark </w:t>
      </w:r>
      <w:proofErr w:type="spellStart"/>
      <w:r w:rsidRPr="00B33222">
        <w:rPr>
          <w:sz w:val="24"/>
          <w:szCs w:val="24"/>
        </w:rPr>
        <w:t>Sagar</w:t>
      </w:r>
      <w:proofErr w:type="spellEnd"/>
      <w:r w:rsidRPr="00B33222">
        <w:rPr>
          <w:sz w:val="24"/>
          <w:szCs w:val="24"/>
        </w:rPr>
        <w:t xml:space="preserve"> who developed the technology for characters in </w:t>
      </w:r>
      <w:r w:rsidRPr="00B33222">
        <w:rPr>
          <w:rStyle w:val="Italic"/>
          <w:sz w:val="24"/>
          <w:szCs w:val="24"/>
        </w:rPr>
        <w:t>Avatar, King Kong</w:t>
      </w:r>
      <w:r w:rsidRPr="00B33222">
        <w:rPr>
          <w:spacing w:val="-5"/>
          <w:w w:val="99"/>
          <w:sz w:val="24"/>
          <w:szCs w:val="24"/>
        </w:rPr>
        <w:t xml:space="preserve"> and </w:t>
      </w:r>
      <w:r w:rsidRPr="00B33222">
        <w:rPr>
          <w:rStyle w:val="Italic"/>
          <w:sz w:val="24"/>
          <w:szCs w:val="24"/>
        </w:rPr>
        <w:t>Spiderman 2</w:t>
      </w:r>
      <w:r w:rsidR="00B33222" w:rsidRPr="00B33222">
        <w:rPr>
          <w:rStyle w:val="Italic"/>
          <w:sz w:val="24"/>
          <w:szCs w:val="24"/>
        </w:rPr>
        <w:t xml:space="preserve"> </w:t>
      </w:r>
      <w:r w:rsidRPr="00B33222">
        <w:rPr>
          <w:sz w:val="24"/>
          <w:szCs w:val="24"/>
        </w:rPr>
        <w:t>discussed developing an artificial nervous system and further future developments that will directly impact the lives of people with disability.</w:t>
      </w:r>
    </w:p>
    <w:p w14:paraId="7E234FBA" w14:textId="77777777" w:rsidR="004E7E65" w:rsidRDefault="004E7E65" w:rsidP="004E7E65">
      <w:pPr>
        <w:pStyle w:val="BodyCopy"/>
      </w:pPr>
      <w:r>
        <w:t>More than 1500 delegates attended and there was a great sense of optimism and hope throughout the three days.</w:t>
      </w:r>
    </w:p>
    <w:p w14:paraId="2BB6879C" w14:textId="77777777" w:rsidR="004E7E65" w:rsidRDefault="004E7E65" w:rsidP="004E7E65">
      <w:pPr>
        <w:pStyle w:val="BodyCopy"/>
      </w:pPr>
      <w:r>
        <w:t xml:space="preserve">The Agency collaborated with Social Traders to create the Pitch Competition at the conference to uncover Australia’s top technology start-ups that are inspired to improve the lives of people with disability. Shortlisted start-ups pitched their ideas in less than one minute. The competition winner was </w:t>
      </w:r>
      <w:proofErr w:type="spellStart"/>
      <w:r>
        <w:t>AbilityMate</w:t>
      </w:r>
      <w:proofErr w:type="spellEnd"/>
      <w:r>
        <w:t>, entrepreneurs behind 3D-printable assistive devices.</w:t>
      </w:r>
    </w:p>
    <w:p w14:paraId="0417B300" w14:textId="273978E2" w:rsidR="004E0D86" w:rsidRDefault="00BF0BAC" w:rsidP="00BF0BAC">
      <w:pPr>
        <w:pStyle w:val="Heading1"/>
      </w:pPr>
      <w:bookmarkStart w:id="24" w:name="_Toc464482092"/>
      <w:r>
        <w:lastRenderedPageBreak/>
        <w:t>Building</w:t>
      </w:r>
      <w:r>
        <w:br/>
        <w:t>Setting the scene through trial phase</w:t>
      </w:r>
      <w:bookmarkEnd w:id="24"/>
    </w:p>
    <w:p w14:paraId="4D300B5A" w14:textId="177FC73A" w:rsidR="00C70875" w:rsidRDefault="00C70875" w:rsidP="00C70875">
      <w:pPr>
        <w:pStyle w:val="Heading2"/>
      </w:pPr>
      <w:bookmarkStart w:id="25" w:name="_Toc464482093"/>
      <w:r>
        <w:lastRenderedPageBreak/>
        <w:t>From trial to transition</w:t>
      </w:r>
      <w:bookmarkEnd w:id="25"/>
    </w:p>
    <w:p w14:paraId="47306425" w14:textId="77777777" w:rsidR="00C70875" w:rsidRDefault="00C70875" w:rsidP="00C70875">
      <w:pPr>
        <w:pStyle w:val="BodyCopy"/>
      </w:pPr>
      <w:r>
        <w:t xml:space="preserve">The past three years have provided insights and time for the Agency, participants and providers to listen, learn and build through real life experience. Significant relationships and agreements have been established and grown throughout the Scheme trial, culminating in a broad and enthusiastic readiness for full Scheme rollout from July 2016. </w:t>
      </w:r>
    </w:p>
    <w:p w14:paraId="1B528F78" w14:textId="267EC13A" w:rsidR="00C70875" w:rsidRDefault="00C70875" w:rsidP="00C70875">
      <w:r>
        <w:t>This section describes some of those significant relationships, the activities carried out across the nation during this time and many of the performance highlights per region.</w:t>
      </w:r>
    </w:p>
    <w:p w14:paraId="582F8604" w14:textId="21E48C81" w:rsidR="00201499" w:rsidRDefault="00201499" w:rsidP="00201499">
      <w:pPr>
        <w:pStyle w:val="Heading2"/>
      </w:pPr>
      <w:bookmarkStart w:id="26" w:name="_Toc464482094"/>
      <w:r>
        <w:lastRenderedPageBreak/>
        <w:t>Trial and early transition sites key dates</w:t>
      </w:r>
      <w:bookmarkEnd w:id="26"/>
    </w:p>
    <w:p w14:paraId="32353B12" w14:textId="22365567" w:rsidR="00201499" w:rsidRDefault="00201499" w:rsidP="00201499">
      <w:pPr>
        <w:pStyle w:val="Heading3"/>
      </w:pPr>
      <w:r>
        <w:t>Trial sites</w:t>
      </w:r>
    </w:p>
    <w:p w14:paraId="3F27DF6E" w14:textId="4257FFF5" w:rsidR="00201499" w:rsidRDefault="00201499" w:rsidP="00201499">
      <w:pPr>
        <w:pStyle w:val="Heading3"/>
      </w:pPr>
      <w:r>
        <w:t>Year one from 1 July 2013</w:t>
      </w:r>
    </w:p>
    <w:p w14:paraId="77B35A25" w14:textId="77777777" w:rsidR="00201499" w:rsidRDefault="00201499" w:rsidP="00201499">
      <w:pPr>
        <w:pStyle w:val="BodyCopy"/>
      </w:pPr>
      <w:r>
        <w:t>The Scheme trial sites in New South Wales (NSW), Victoria, South Australia (SA) and Tasmania have been operating since 1 July 2013.</w:t>
      </w:r>
    </w:p>
    <w:p w14:paraId="36963FD1" w14:textId="77777777" w:rsidR="00201499" w:rsidRDefault="00201499" w:rsidP="00201499">
      <w:pPr>
        <w:pStyle w:val="BodyBullets"/>
      </w:pPr>
      <w:r>
        <w:t>the Hunter trial site – Newcastle, Lake Macquarie, and Maitland Local Government Areas in NSW</w:t>
      </w:r>
    </w:p>
    <w:p w14:paraId="3D1B10DD" w14:textId="77777777" w:rsidR="00201499" w:rsidRDefault="00201499" w:rsidP="00201499">
      <w:pPr>
        <w:pStyle w:val="BodyBullets"/>
      </w:pPr>
      <w:r>
        <w:t xml:space="preserve">the </w:t>
      </w:r>
      <w:proofErr w:type="spellStart"/>
      <w:r>
        <w:t>Barwon</w:t>
      </w:r>
      <w:proofErr w:type="spellEnd"/>
      <w:r>
        <w:t xml:space="preserve"> trial site – Greater Geelong, Surf Coast, </w:t>
      </w:r>
      <w:proofErr w:type="spellStart"/>
      <w:r>
        <w:t>Queenscliffe</w:t>
      </w:r>
      <w:proofErr w:type="spellEnd"/>
      <w:r>
        <w:t xml:space="preserve"> and </w:t>
      </w:r>
      <w:proofErr w:type="spellStart"/>
      <w:r>
        <w:t>Colac</w:t>
      </w:r>
      <w:proofErr w:type="spellEnd"/>
      <w:r>
        <w:t>-Otway Local Government Areas in Victoria</w:t>
      </w:r>
    </w:p>
    <w:p w14:paraId="5262C341" w14:textId="77777777" w:rsidR="00201499" w:rsidRDefault="00201499" w:rsidP="00201499">
      <w:pPr>
        <w:pStyle w:val="BodyBullets"/>
      </w:pPr>
      <w:r>
        <w:rPr>
          <w:spacing w:val="-4"/>
        </w:rPr>
        <w:t>the SA trial site for 0 to 14 year olds</w:t>
      </w:r>
    </w:p>
    <w:p w14:paraId="31E96DB4" w14:textId="77777777" w:rsidR="00201499" w:rsidRDefault="00201499" w:rsidP="00201499">
      <w:pPr>
        <w:pStyle w:val="BodyBullets-last"/>
      </w:pPr>
      <w:r>
        <w:t xml:space="preserve">the Tasmanian trial site for 15 to 24 year olds. </w:t>
      </w:r>
    </w:p>
    <w:p w14:paraId="63226B1B" w14:textId="24CA2771" w:rsidR="00201499" w:rsidRDefault="00201499" w:rsidP="00201499">
      <w:pPr>
        <w:pStyle w:val="Heading3"/>
      </w:pPr>
      <w:r>
        <w:t>Year two from 1 July 2014</w:t>
      </w:r>
    </w:p>
    <w:p w14:paraId="3A73C70C" w14:textId="77777777" w:rsidR="00201499" w:rsidRDefault="00201499" w:rsidP="00201499">
      <w:pPr>
        <w:pStyle w:val="BodyCopy"/>
      </w:pPr>
      <w:r>
        <w:t>The trial sites in the Northern Territory (NT), Western Australia (WA) and the Australian Capital Territory (ACT) have been operating since 1 July 2014:</w:t>
      </w:r>
    </w:p>
    <w:p w14:paraId="06A7E1D8" w14:textId="77777777" w:rsidR="00201499" w:rsidRDefault="00201499" w:rsidP="00201499">
      <w:pPr>
        <w:pStyle w:val="BodyBullets"/>
      </w:pPr>
      <w:r>
        <w:t xml:space="preserve">all of the ACT, based on ‘ages and stages’. This means that people with disability enter the Scheme according to either their date of birth or, for school-age children, their academic year. </w:t>
      </w:r>
    </w:p>
    <w:p w14:paraId="718FBDB5" w14:textId="77777777" w:rsidR="00201499" w:rsidRDefault="00201499" w:rsidP="00201499">
      <w:pPr>
        <w:pStyle w:val="BodyBullets"/>
      </w:pPr>
      <w:r>
        <w:t xml:space="preserve">the Perth Hills trial site – Swan, </w:t>
      </w:r>
      <w:proofErr w:type="spellStart"/>
      <w:r>
        <w:t>Kalamunda</w:t>
      </w:r>
      <w:proofErr w:type="spellEnd"/>
      <w:r>
        <w:t xml:space="preserve"> and </w:t>
      </w:r>
      <w:proofErr w:type="spellStart"/>
      <w:r>
        <w:t>Mundaring</w:t>
      </w:r>
      <w:proofErr w:type="spellEnd"/>
      <w:r>
        <w:t xml:space="preserve"> local government areas in WA. </w:t>
      </w:r>
    </w:p>
    <w:p w14:paraId="326DC955" w14:textId="77777777" w:rsidR="00201499" w:rsidRDefault="00201499" w:rsidP="00201499">
      <w:pPr>
        <w:pStyle w:val="BodyBullets-last"/>
      </w:pPr>
      <w:r>
        <w:t xml:space="preserve">the Barkly region trial site in the NT. </w:t>
      </w:r>
    </w:p>
    <w:p w14:paraId="5A8F47B0" w14:textId="7BF146F6" w:rsidR="00201499" w:rsidRDefault="00201499" w:rsidP="00201499">
      <w:pPr>
        <w:pStyle w:val="Heading3"/>
      </w:pPr>
      <w:r>
        <w:t>Early transition sites</w:t>
      </w:r>
    </w:p>
    <w:p w14:paraId="45BE2166" w14:textId="77777777" w:rsidR="00201499" w:rsidRDefault="00201499" w:rsidP="00201499">
      <w:pPr>
        <w:pStyle w:val="BodyCopy"/>
      </w:pPr>
      <w:r>
        <w:t>Based on the positive experience in trial sites, both the NSW Government and the Queensland Government decided to transition into the full Scheme before the end of the trial phase in certain locations</w:t>
      </w:r>
    </w:p>
    <w:p w14:paraId="2A142690" w14:textId="77777777" w:rsidR="00201499" w:rsidRDefault="00201499" w:rsidP="00201499">
      <w:pPr>
        <w:pStyle w:val="BodyCopy"/>
      </w:pPr>
      <w:r>
        <w:t xml:space="preserve">The early transition of the Scheme in NSW Nepean Blue Mountains commenced in four local government areas on 1 July 2015; the Blue Mountains, Hawkesbury, Lithgow and </w:t>
      </w:r>
      <w:proofErr w:type="spellStart"/>
      <w:r>
        <w:t>Penrith</w:t>
      </w:r>
      <w:proofErr w:type="spellEnd"/>
      <w:r>
        <w:t>; for up to 2000 children and young people under 18 years of age who met Scheme eligibility criteria.</w:t>
      </w:r>
    </w:p>
    <w:p w14:paraId="62183A5A" w14:textId="77777777" w:rsidR="00201499" w:rsidRDefault="00201499" w:rsidP="00201499">
      <w:pPr>
        <w:pStyle w:val="BodyCopy"/>
      </w:pPr>
      <w:r>
        <w:t>Also in year three, on 27 October 2015, the Commonwealth and the Queensland Government signed the Memorandum of Understanding (MoU) for the early transition of the Scheme for children and young people in the Townsville City and Charters Towers Regional Council Local Government Area and all participants in the Palm Island Aboriginal Shire Local Government Area. Planning commenced from 1 April 2016 for up to 600 participants in the early transition sites in Queensland.</w:t>
      </w:r>
    </w:p>
    <w:p w14:paraId="5BD22BF5" w14:textId="11DD6275" w:rsidR="0083526C" w:rsidRDefault="0083526C" w:rsidP="00F12F3A">
      <w:pPr>
        <w:pStyle w:val="Heading2"/>
      </w:pPr>
      <w:bookmarkStart w:id="27" w:name="_Toc464482095"/>
      <w:r>
        <w:lastRenderedPageBreak/>
        <w:t>Bilateral agreements</w:t>
      </w:r>
      <w:bookmarkEnd w:id="27"/>
    </w:p>
    <w:p w14:paraId="3CE76526" w14:textId="77777777" w:rsidR="00503437" w:rsidRDefault="00503437" w:rsidP="00503437">
      <w:pPr>
        <w:pStyle w:val="Heading4"/>
      </w:pPr>
      <w:r>
        <w:t xml:space="preserve">What are bilateral agreements? </w:t>
      </w:r>
    </w:p>
    <w:p w14:paraId="142041E4" w14:textId="77777777" w:rsidR="00503437" w:rsidRDefault="00503437" w:rsidP="00503437">
      <w:pPr>
        <w:pStyle w:val="BodyCopy"/>
      </w:pPr>
      <w:r>
        <w:t xml:space="preserve">Bilateral agreements outline roles and responsibilities between state governments and the Agency, as well as high-level arrangements for the transition to full Scheme. </w:t>
      </w:r>
    </w:p>
    <w:p w14:paraId="6E41A857" w14:textId="348C8E90" w:rsidR="00503437" w:rsidRDefault="00503437" w:rsidP="00503437">
      <w:pPr>
        <w:pStyle w:val="BodyCopy"/>
      </w:pPr>
      <w:r>
        <w:t>The bilateral agreements will support the transition from 35 000 participants in the Scheme trial sites to the full rollout and an estimated 460 000 eligible people.</w:t>
      </w:r>
    </w:p>
    <w:p w14:paraId="2F53F781" w14:textId="77777777" w:rsidR="0083526C" w:rsidRDefault="0083526C" w:rsidP="00FC25AE">
      <w:pPr>
        <w:pStyle w:val="IntroPara"/>
        <w:spacing w:before="360" w:after="240"/>
      </w:pPr>
      <w:r>
        <w:t xml:space="preserve">Bilateral negotiations have focused on a range of key issues including participant phasing aligned with the agreed funding envelope, workforce transition, continuity of support and market and sector issues. </w:t>
      </w:r>
    </w:p>
    <w:p w14:paraId="434ACFA1" w14:textId="77777777" w:rsidR="0083526C" w:rsidRDefault="0083526C" w:rsidP="0083526C">
      <w:pPr>
        <w:pStyle w:val="BodyCopy"/>
      </w:pPr>
      <w:r>
        <w:t>The bilateral agreements are a critical requirement for the Agency as they underpin a range of service delivery issues, including office locations, recruitment of Agency staff, and communications and engagement.</w:t>
      </w:r>
    </w:p>
    <w:p w14:paraId="280C1D12" w14:textId="77777777" w:rsidR="0083526C" w:rsidRDefault="0083526C" w:rsidP="0083526C">
      <w:pPr>
        <w:pStyle w:val="BodyCopy"/>
      </w:pPr>
      <w:r>
        <w:t xml:space="preserve">The Agency’s Perth Hills trial site opened on 1 July 2014 for people with disability aged up to 65 living in the local government areas of Swan, </w:t>
      </w:r>
      <w:proofErr w:type="spellStart"/>
      <w:r>
        <w:t>Kalamunda</w:t>
      </w:r>
      <w:proofErr w:type="spellEnd"/>
      <w:r>
        <w:t xml:space="preserve"> and </w:t>
      </w:r>
      <w:proofErr w:type="spellStart"/>
      <w:r>
        <w:t>Mundaring</w:t>
      </w:r>
      <w:proofErr w:type="spellEnd"/>
      <w:r>
        <w:t>.</w:t>
      </w:r>
    </w:p>
    <w:p w14:paraId="73C3FD40" w14:textId="77777777" w:rsidR="0083526C" w:rsidRDefault="0083526C" w:rsidP="0083526C">
      <w:pPr>
        <w:pStyle w:val="BodyCopy"/>
      </w:pPr>
      <w:r>
        <w:t xml:space="preserve">On 16 September 2015, both New South Wales (NSW) and Victoria signed bilateral agreements for the rollout of the Scheme. The agreements give certainty to around 140 000 people with disability in NSW and around 105 000 people with disability in Victoria. They also give certainty to their families and </w:t>
      </w:r>
      <w:proofErr w:type="spellStart"/>
      <w:r>
        <w:t>carers</w:t>
      </w:r>
      <w:proofErr w:type="spellEnd"/>
      <w:r>
        <w:t>. NSW and Victoria transition will occur on a geographic rollout.</w:t>
      </w:r>
    </w:p>
    <w:p w14:paraId="40D7658E" w14:textId="77777777" w:rsidR="0083526C" w:rsidRDefault="0083526C" w:rsidP="0083526C">
      <w:pPr>
        <w:pStyle w:val="BodyCopy"/>
      </w:pPr>
      <w:r>
        <w:t xml:space="preserve">The Tasmanian and South Australian (SA) bilateral agreements were signed on 11 December 2015. Both transition arrangements build on the extensive lessons learned from the same approach taken during trial of the Scheme, with SA moving to a geographic rollout. </w:t>
      </w:r>
    </w:p>
    <w:p w14:paraId="225FC23E" w14:textId="02ACEA21" w:rsidR="0083526C" w:rsidRDefault="0083526C" w:rsidP="0083526C">
      <w:pPr>
        <w:pStyle w:val="BodyCopy"/>
      </w:pPr>
      <w:r>
        <w:t>The Queensland bilateral agreement was signed on 16 March 2016, and supports a total of 91 000 people with disability, also based on a geographic rollout.</w:t>
      </w:r>
    </w:p>
    <w:p w14:paraId="4EAB8D34" w14:textId="4981FCA0" w:rsidR="0083526C" w:rsidRDefault="0083526C" w:rsidP="0083526C">
      <w:pPr>
        <w:pStyle w:val="BodyCopy"/>
      </w:pPr>
      <w:r>
        <w:t>On 28 April 2016, the Commonwealth Government announced the Perth Hills trial site would be extended by 12 months to 30 June 2017.</w:t>
      </w:r>
      <w:r w:rsidR="000C0A37" w:rsidRPr="000C0A37">
        <w:rPr>
          <w:rFonts w:ascii="Helvetica" w:hAnsi="Helvetica" w:cs="Helvetica"/>
          <w:color w:val="000000"/>
          <w:sz w:val="24"/>
        </w:rPr>
        <w:t xml:space="preserve"> </w:t>
      </w:r>
      <w:r w:rsidR="000C0A37" w:rsidRPr="000C0A37">
        <w:t xml:space="preserve">The trial area is also being expanded from 1 January 2017 to the local government areas of </w:t>
      </w:r>
      <w:proofErr w:type="spellStart"/>
      <w:r w:rsidR="000C0A37" w:rsidRPr="000C0A37">
        <w:t>Bayswater</w:t>
      </w:r>
      <w:proofErr w:type="spellEnd"/>
      <w:r w:rsidR="000C0A37" w:rsidRPr="000C0A37">
        <w:t xml:space="preserve">, </w:t>
      </w:r>
      <w:proofErr w:type="spellStart"/>
      <w:r w:rsidR="000C0A37" w:rsidRPr="000C0A37">
        <w:t>Bassendean</w:t>
      </w:r>
      <w:proofErr w:type="spellEnd"/>
      <w:r w:rsidR="000C0A37" w:rsidRPr="000C0A37">
        <w:t xml:space="preserve">, </w:t>
      </w:r>
      <w:proofErr w:type="spellStart"/>
      <w:r w:rsidR="000C0A37" w:rsidRPr="000C0A37">
        <w:t>Chittering</w:t>
      </w:r>
      <w:proofErr w:type="spellEnd"/>
      <w:r w:rsidR="000C0A37" w:rsidRPr="000C0A37">
        <w:t xml:space="preserve">, </w:t>
      </w:r>
      <w:proofErr w:type="spellStart"/>
      <w:r w:rsidR="000C0A37" w:rsidRPr="000C0A37">
        <w:t>Toodyay</w:t>
      </w:r>
      <w:proofErr w:type="spellEnd"/>
      <w:r w:rsidR="000C0A37" w:rsidRPr="000C0A37">
        <w:t>, York and Northam, covering more th</w:t>
      </w:r>
      <w:r w:rsidR="000C0A37">
        <w:t>an 1200 people by 30 June 2017.</w:t>
      </w:r>
    </w:p>
    <w:p w14:paraId="2654E513" w14:textId="77777777" w:rsidR="0083526C" w:rsidRDefault="0083526C" w:rsidP="0083526C">
      <w:pPr>
        <w:pStyle w:val="BodyCopy"/>
      </w:pPr>
      <w:r>
        <w:t xml:space="preserve">The Northern Territory (NT) bilateral agreement was signed on 16 May 2016. The rollout for NT will also be geographic with initial focus on continuing to build experience in remote communities. </w:t>
      </w:r>
    </w:p>
    <w:p w14:paraId="21E4D3EF" w14:textId="77777777" w:rsidR="0083526C" w:rsidRDefault="0083526C" w:rsidP="0083526C">
      <w:pPr>
        <w:pStyle w:val="BodyCopy"/>
      </w:pPr>
      <w:r>
        <w:t>Negotiations are continuing between the Commonwealth and Western Australian (WA) government on full transition arrangements.</w:t>
      </w:r>
    </w:p>
    <w:p w14:paraId="62A33CFB" w14:textId="77777777" w:rsidR="0083526C" w:rsidRDefault="0083526C" w:rsidP="0083526C">
      <w:pPr>
        <w:pStyle w:val="BodyCopy"/>
      </w:pPr>
      <w:r>
        <w:t xml:space="preserve">Governments have agreed that operational plans will be signed off shortly after signing of the bilateral agreement for each respective jurisdiction. </w:t>
      </w:r>
    </w:p>
    <w:p w14:paraId="2B675C20" w14:textId="77777777" w:rsidR="0083526C" w:rsidRDefault="0083526C" w:rsidP="0083526C">
      <w:pPr>
        <w:pStyle w:val="BodyCopy"/>
      </w:pPr>
      <w:r>
        <w:t>The operational plans for NSW, Victoria, SA and Tasmania have all been signed. The Queensland and NT operational plans are progressing well and are expected to be signed shortly. Operational plans are also discussed in Section 2 Performance.</w:t>
      </w:r>
    </w:p>
    <w:p w14:paraId="37460387" w14:textId="77777777" w:rsidR="0083526C" w:rsidRDefault="0083526C" w:rsidP="0083526C">
      <w:pPr>
        <w:pStyle w:val="BodyCopy"/>
      </w:pPr>
      <w:r>
        <w:t>The Agency’s Chief Executive Officer (CEO) has facilitated meetings with senior officials of state and territory governments to provide oversight of the Agency’s preparedness for operational plan implementation.</w:t>
      </w:r>
    </w:p>
    <w:p w14:paraId="14022BF6" w14:textId="4EC1656D" w:rsidR="0083526C" w:rsidRDefault="0083526C" w:rsidP="00076942">
      <w:pPr>
        <w:pStyle w:val="Heading3Tables"/>
      </w:pPr>
      <w:bookmarkStart w:id="28" w:name="_Toc464481223"/>
      <w:r>
        <w:lastRenderedPageBreak/>
        <w:t>Table 1: Full Scheme Status Report – June 2016</w:t>
      </w:r>
      <w:bookmarkEnd w:id="28"/>
    </w:p>
    <w:tbl>
      <w:tblPr>
        <w:tblW w:w="0" w:type="auto"/>
        <w:tblInd w:w="-8" w:type="dxa"/>
        <w:tblLayout w:type="fixed"/>
        <w:tblCellMar>
          <w:left w:w="0" w:type="dxa"/>
          <w:right w:w="0" w:type="dxa"/>
        </w:tblCellMar>
        <w:tblLook w:val="0000" w:firstRow="0" w:lastRow="0" w:firstColumn="0" w:lastColumn="0" w:noHBand="0" w:noVBand="0"/>
      </w:tblPr>
      <w:tblGrid>
        <w:gridCol w:w="1233"/>
        <w:gridCol w:w="3522"/>
        <w:gridCol w:w="3522"/>
      </w:tblGrid>
      <w:tr w:rsidR="0083526C" w14:paraId="79A2E792" w14:textId="77777777">
        <w:trPr>
          <w:trHeight w:val="60"/>
        </w:trPr>
        <w:tc>
          <w:tcPr>
            <w:tcW w:w="1233" w:type="dxa"/>
            <w:tcBorders>
              <w:top w:val="single" w:sz="6" w:space="0" w:color="FFFFFF"/>
              <w:left w:val="single" w:sz="6" w:space="0" w:color="FFFFFF"/>
              <w:bottom w:val="single" w:sz="6" w:space="0" w:color="8A8A84"/>
              <w:right w:val="single" w:sz="6" w:space="0" w:color="FFFFFF"/>
            </w:tcBorders>
            <w:shd w:val="solid" w:color="000000" w:fill="auto"/>
            <w:tcMar>
              <w:top w:w="113" w:type="dxa"/>
              <w:left w:w="113" w:type="dxa"/>
              <w:bottom w:w="113" w:type="dxa"/>
              <w:right w:w="80" w:type="dxa"/>
            </w:tcMar>
          </w:tcPr>
          <w:p w14:paraId="325D2EA5" w14:textId="77777777" w:rsidR="0083526C" w:rsidRDefault="0083526C">
            <w:pPr>
              <w:pStyle w:val="Tableheader"/>
            </w:pPr>
            <w:bookmarkStart w:id="29" w:name="RowTitle_Table1" w:colFirst="0" w:colLast="0"/>
            <w:r>
              <w:t>ACT</w:t>
            </w:r>
          </w:p>
        </w:tc>
        <w:tc>
          <w:tcPr>
            <w:tcW w:w="3522" w:type="dxa"/>
            <w:tcBorders>
              <w:top w:val="single" w:sz="2" w:space="0" w:color="8A8A84"/>
              <w:left w:val="single" w:sz="6" w:space="0" w:color="FFFFFF"/>
              <w:bottom w:val="single" w:sz="2" w:space="0" w:color="8A8A84"/>
              <w:right w:val="single" w:sz="6" w:space="0" w:color="FFFFFF"/>
            </w:tcBorders>
            <w:shd w:val="solid" w:color="EBE7E2" w:fill="auto"/>
            <w:tcMar>
              <w:top w:w="113" w:type="dxa"/>
              <w:left w:w="113" w:type="dxa"/>
              <w:bottom w:w="113" w:type="dxa"/>
              <w:right w:w="80" w:type="dxa"/>
            </w:tcMar>
          </w:tcPr>
          <w:p w14:paraId="3BD34536" w14:textId="77777777" w:rsidR="0083526C" w:rsidRDefault="0083526C">
            <w:pPr>
              <w:pStyle w:val="Graphtext"/>
            </w:pPr>
            <w:r>
              <w:t>Bilateral agreements – signed</w:t>
            </w:r>
          </w:p>
        </w:tc>
        <w:tc>
          <w:tcPr>
            <w:tcW w:w="3522" w:type="dxa"/>
            <w:tcBorders>
              <w:top w:val="single" w:sz="2" w:space="0" w:color="8A8A84"/>
              <w:left w:val="single" w:sz="6" w:space="0" w:color="FFFFFF"/>
              <w:bottom w:val="single" w:sz="2" w:space="0" w:color="8A8A84"/>
              <w:right w:val="single" w:sz="6" w:space="0" w:color="000000"/>
            </w:tcBorders>
            <w:shd w:val="solid" w:color="EBE7E2" w:fill="auto"/>
            <w:tcMar>
              <w:top w:w="113" w:type="dxa"/>
              <w:left w:w="113" w:type="dxa"/>
              <w:bottom w:w="113" w:type="dxa"/>
              <w:right w:w="80" w:type="dxa"/>
            </w:tcMar>
          </w:tcPr>
          <w:p w14:paraId="3312F738" w14:textId="77777777" w:rsidR="0083526C" w:rsidRDefault="0083526C">
            <w:pPr>
              <w:pStyle w:val="Graphtext"/>
            </w:pPr>
            <w:r>
              <w:t>Operational plans – signed</w:t>
            </w:r>
          </w:p>
        </w:tc>
      </w:tr>
      <w:tr w:rsidR="0083526C" w14:paraId="7EA73D1D" w14:textId="77777777">
        <w:trPr>
          <w:trHeight w:val="60"/>
        </w:trPr>
        <w:tc>
          <w:tcPr>
            <w:tcW w:w="1233" w:type="dxa"/>
            <w:tcBorders>
              <w:top w:val="single" w:sz="6" w:space="0" w:color="8A8A84"/>
              <w:left w:val="single" w:sz="6" w:space="0" w:color="FFFFFF"/>
              <w:bottom w:val="single" w:sz="6" w:space="0" w:color="8A8A84"/>
              <w:right w:val="single" w:sz="6" w:space="0" w:color="FFFFFF"/>
            </w:tcBorders>
            <w:shd w:val="solid" w:color="000000" w:fill="auto"/>
            <w:tcMar>
              <w:top w:w="113" w:type="dxa"/>
              <w:left w:w="113" w:type="dxa"/>
              <w:bottom w:w="113" w:type="dxa"/>
              <w:right w:w="80" w:type="dxa"/>
            </w:tcMar>
          </w:tcPr>
          <w:p w14:paraId="799AD022" w14:textId="77777777" w:rsidR="0083526C" w:rsidRDefault="0083526C">
            <w:pPr>
              <w:pStyle w:val="Tableheader"/>
            </w:pPr>
            <w:r>
              <w:t>NSW</w:t>
            </w:r>
          </w:p>
        </w:tc>
        <w:tc>
          <w:tcPr>
            <w:tcW w:w="3522" w:type="dxa"/>
            <w:tcBorders>
              <w:top w:val="single" w:sz="2" w:space="0" w:color="8A8A84"/>
              <w:left w:val="single" w:sz="6" w:space="0" w:color="FFFFFF"/>
              <w:bottom w:val="single" w:sz="2" w:space="0" w:color="8A8A84"/>
              <w:right w:val="single" w:sz="6" w:space="0" w:color="FFFFFF"/>
            </w:tcBorders>
            <w:shd w:val="solid" w:color="EBE7E2" w:fill="auto"/>
            <w:tcMar>
              <w:top w:w="113" w:type="dxa"/>
              <w:left w:w="113" w:type="dxa"/>
              <w:bottom w:w="113" w:type="dxa"/>
              <w:right w:w="80" w:type="dxa"/>
            </w:tcMar>
          </w:tcPr>
          <w:p w14:paraId="432FB18C" w14:textId="77777777" w:rsidR="0083526C" w:rsidRDefault="0083526C">
            <w:pPr>
              <w:pStyle w:val="Graphtext"/>
            </w:pPr>
            <w:r>
              <w:t>Bilateral agreements – signed</w:t>
            </w:r>
          </w:p>
        </w:tc>
        <w:tc>
          <w:tcPr>
            <w:tcW w:w="3522" w:type="dxa"/>
            <w:tcBorders>
              <w:top w:val="single" w:sz="2" w:space="0" w:color="8A8A84"/>
              <w:left w:val="single" w:sz="6" w:space="0" w:color="FFFFFF"/>
              <w:bottom w:val="single" w:sz="2" w:space="0" w:color="8A8A84"/>
              <w:right w:val="single" w:sz="6" w:space="0" w:color="000000"/>
            </w:tcBorders>
            <w:shd w:val="solid" w:color="EBE7E2" w:fill="auto"/>
            <w:tcMar>
              <w:top w:w="113" w:type="dxa"/>
              <w:left w:w="113" w:type="dxa"/>
              <w:bottom w:w="113" w:type="dxa"/>
              <w:right w:w="80" w:type="dxa"/>
            </w:tcMar>
          </w:tcPr>
          <w:p w14:paraId="17BB11D1" w14:textId="77777777" w:rsidR="0083526C" w:rsidRDefault="0083526C">
            <w:pPr>
              <w:pStyle w:val="Graphtext"/>
            </w:pPr>
            <w:r>
              <w:t>Operational plans – signed</w:t>
            </w:r>
          </w:p>
        </w:tc>
      </w:tr>
      <w:tr w:rsidR="0083526C" w14:paraId="169D7D65" w14:textId="77777777">
        <w:trPr>
          <w:trHeight w:val="60"/>
        </w:trPr>
        <w:tc>
          <w:tcPr>
            <w:tcW w:w="1233" w:type="dxa"/>
            <w:tcBorders>
              <w:top w:val="single" w:sz="6" w:space="0" w:color="8A8A84"/>
              <w:left w:val="single" w:sz="6" w:space="0" w:color="FFFFFF"/>
              <w:bottom w:val="single" w:sz="6" w:space="0" w:color="8A8A84"/>
              <w:right w:val="single" w:sz="6" w:space="0" w:color="FFFFFF"/>
            </w:tcBorders>
            <w:shd w:val="solid" w:color="000000" w:fill="auto"/>
            <w:tcMar>
              <w:top w:w="113" w:type="dxa"/>
              <w:left w:w="113" w:type="dxa"/>
              <w:bottom w:w="113" w:type="dxa"/>
              <w:right w:w="80" w:type="dxa"/>
            </w:tcMar>
          </w:tcPr>
          <w:p w14:paraId="70E07898" w14:textId="77777777" w:rsidR="0083526C" w:rsidRDefault="0083526C">
            <w:pPr>
              <w:pStyle w:val="Tableheader"/>
            </w:pPr>
            <w:r>
              <w:t>NT</w:t>
            </w:r>
          </w:p>
        </w:tc>
        <w:tc>
          <w:tcPr>
            <w:tcW w:w="3522" w:type="dxa"/>
            <w:tcBorders>
              <w:top w:val="single" w:sz="2" w:space="0" w:color="8A8A84"/>
              <w:left w:val="single" w:sz="6" w:space="0" w:color="FFFFFF"/>
              <w:bottom w:val="single" w:sz="2" w:space="0" w:color="8A8A84"/>
              <w:right w:val="single" w:sz="6" w:space="0" w:color="FFFFFF"/>
            </w:tcBorders>
            <w:shd w:val="solid" w:color="EBE7E2" w:fill="auto"/>
            <w:tcMar>
              <w:top w:w="113" w:type="dxa"/>
              <w:left w:w="113" w:type="dxa"/>
              <w:bottom w:w="113" w:type="dxa"/>
              <w:right w:w="80" w:type="dxa"/>
            </w:tcMar>
          </w:tcPr>
          <w:p w14:paraId="6E7F512F" w14:textId="77777777" w:rsidR="0083526C" w:rsidRDefault="0083526C">
            <w:pPr>
              <w:pStyle w:val="Graphtext"/>
            </w:pPr>
            <w:r>
              <w:t>Bilateral agreements – signed</w:t>
            </w:r>
          </w:p>
        </w:tc>
        <w:tc>
          <w:tcPr>
            <w:tcW w:w="3522" w:type="dxa"/>
            <w:tcBorders>
              <w:top w:val="single" w:sz="2" w:space="0" w:color="8A8A84"/>
              <w:left w:val="single" w:sz="6" w:space="0" w:color="FFFFFF"/>
              <w:bottom w:val="single" w:sz="2" w:space="0" w:color="8A8A84"/>
              <w:right w:val="single" w:sz="6" w:space="0" w:color="000000"/>
            </w:tcBorders>
            <w:shd w:val="solid" w:color="EBE7E2" w:fill="auto"/>
            <w:tcMar>
              <w:top w:w="113" w:type="dxa"/>
              <w:left w:w="113" w:type="dxa"/>
              <w:bottom w:w="113" w:type="dxa"/>
              <w:right w:w="80" w:type="dxa"/>
            </w:tcMar>
          </w:tcPr>
          <w:p w14:paraId="255A5C8E" w14:textId="77777777" w:rsidR="0083526C" w:rsidRDefault="0083526C">
            <w:pPr>
              <w:pStyle w:val="Graphtext"/>
            </w:pPr>
            <w:r>
              <w:t>Operational plans – developing</w:t>
            </w:r>
          </w:p>
        </w:tc>
      </w:tr>
      <w:tr w:rsidR="0083526C" w14:paraId="0C8796B9" w14:textId="77777777">
        <w:trPr>
          <w:trHeight w:val="60"/>
        </w:trPr>
        <w:tc>
          <w:tcPr>
            <w:tcW w:w="1233" w:type="dxa"/>
            <w:tcBorders>
              <w:top w:val="single" w:sz="6" w:space="0" w:color="8A8A84"/>
              <w:left w:val="single" w:sz="6" w:space="0" w:color="FFFFFF"/>
              <w:bottom w:val="single" w:sz="6" w:space="0" w:color="8A8A84"/>
              <w:right w:val="single" w:sz="6" w:space="0" w:color="FFFFFF"/>
            </w:tcBorders>
            <w:shd w:val="solid" w:color="000000" w:fill="auto"/>
            <w:tcMar>
              <w:top w:w="113" w:type="dxa"/>
              <w:left w:w="113" w:type="dxa"/>
              <w:bottom w:w="113" w:type="dxa"/>
              <w:right w:w="80" w:type="dxa"/>
            </w:tcMar>
          </w:tcPr>
          <w:p w14:paraId="32E03BF2" w14:textId="77777777" w:rsidR="0083526C" w:rsidRDefault="0083526C">
            <w:pPr>
              <w:pStyle w:val="Tableheader"/>
            </w:pPr>
            <w:r>
              <w:t>QLD</w:t>
            </w:r>
          </w:p>
        </w:tc>
        <w:tc>
          <w:tcPr>
            <w:tcW w:w="3522" w:type="dxa"/>
            <w:tcBorders>
              <w:top w:val="single" w:sz="2" w:space="0" w:color="8A8A84"/>
              <w:left w:val="single" w:sz="6" w:space="0" w:color="FFFFFF"/>
              <w:bottom w:val="single" w:sz="2" w:space="0" w:color="8A8A84"/>
              <w:right w:val="single" w:sz="6" w:space="0" w:color="FFFFFF"/>
            </w:tcBorders>
            <w:shd w:val="solid" w:color="EBE7E2" w:fill="auto"/>
            <w:tcMar>
              <w:top w:w="113" w:type="dxa"/>
              <w:left w:w="113" w:type="dxa"/>
              <w:bottom w:w="113" w:type="dxa"/>
              <w:right w:w="80" w:type="dxa"/>
            </w:tcMar>
          </w:tcPr>
          <w:p w14:paraId="5F688BDA" w14:textId="77777777" w:rsidR="0083526C" w:rsidRDefault="0083526C">
            <w:pPr>
              <w:pStyle w:val="Graphtext"/>
            </w:pPr>
            <w:r>
              <w:t>Bilateral agreements – signed</w:t>
            </w:r>
          </w:p>
        </w:tc>
        <w:tc>
          <w:tcPr>
            <w:tcW w:w="3522" w:type="dxa"/>
            <w:tcBorders>
              <w:top w:val="single" w:sz="2" w:space="0" w:color="8A8A84"/>
              <w:left w:val="single" w:sz="6" w:space="0" w:color="FFFFFF"/>
              <w:bottom w:val="single" w:sz="2" w:space="0" w:color="8A8A84"/>
              <w:right w:val="single" w:sz="6" w:space="0" w:color="000000"/>
            </w:tcBorders>
            <w:shd w:val="solid" w:color="EBE7E2" w:fill="auto"/>
            <w:tcMar>
              <w:top w:w="113" w:type="dxa"/>
              <w:left w:w="113" w:type="dxa"/>
              <w:bottom w:w="113" w:type="dxa"/>
              <w:right w:w="80" w:type="dxa"/>
            </w:tcMar>
          </w:tcPr>
          <w:p w14:paraId="48CA1B56" w14:textId="77777777" w:rsidR="0083526C" w:rsidRDefault="0083526C">
            <w:pPr>
              <w:pStyle w:val="Graphtext"/>
            </w:pPr>
            <w:r>
              <w:t>Operational plans – negotiating</w:t>
            </w:r>
          </w:p>
        </w:tc>
      </w:tr>
      <w:tr w:rsidR="0083526C" w14:paraId="16B1953E" w14:textId="77777777">
        <w:trPr>
          <w:trHeight w:val="60"/>
        </w:trPr>
        <w:tc>
          <w:tcPr>
            <w:tcW w:w="1233" w:type="dxa"/>
            <w:tcBorders>
              <w:top w:val="single" w:sz="6" w:space="0" w:color="8A8A84"/>
              <w:left w:val="single" w:sz="6" w:space="0" w:color="FFFFFF"/>
              <w:bottom w:val="single" w:sz="6" w:space="0" w:color="8A8A84"/>
              <w:right w:val="single" w:sz="6" w:space="0" w:color="FFFFFF"/>
            </w:tcBorders>
            <w:shd w:val="solid" w:color="000000" w:fill="auto"/>
            <w:tcMar>
              <w:top w:w="113" w:type="dxa"/>
              <w:left w:w="113" w:type="dxa"/>
              <w:bottom w:w="113" w:type="dxa"/>
              <w:right w:w="80" w:type="dxa"/>
            </w:tcMar>
          </w:tcPr>
          <w:p w14:paraId="48AE00F0" w14:textId="77777777" w:rsidR="0083526C" w:rsidRDefault="0083526C">
            <w:pPr>
              <w:pStyle w:val="Tableheader"/>
            </w:pPr>
            <w:r>
              <w:t>SA</w:t>
            </w:r>
          </w:p>
        </w:tc>
        <w:tc>
          <w:tcPr>
            <w:tcW w:w="3522" w:type="dxa"/>
            <w:tcBorders>
              <w:top w:val="single" w:sz="2" w:space="0" w:color="8A8A84"/>
              <w:left w:val="single" w:sz="6" w:space="0" w:color="FFFFFF"/>
              <w:bottom w:val="single" w:sz="2" w:space="0" w:color="8A8A84"/>
              <w:right w:val="single" w:sz="6" w:space="0" w:color="FFFFFF"/>
            </w:tcBorders>
            <w:shd w:val="solid" w:color="EBE7E2" w:fill="auto"/>
            <w:tcMar>
              <w:top w:w="113" w:type="dxa"/>
              <w:left w:w="113" w:type="dxa"/>
              <w:bottom w:w="113" w:type="dxa"/>
              <w:right w:w="80" w:type="dxa"/>
            </w:tcMar>
          </w:tcPr>
          <w:p w14:paraId="5666C6D6" w14:textId="77777777" w:rsidR="0083526C" w:rsidRDefault="0083526C">
            <w:pPr>
              <w:pStyle w:val="Graphtext"/>
            </w:pPr>
            <w:r>
              <w:t>Bilateral agreements – signed</w:t>
            </w:r>
          </w:p>
        </w:tc>
        <w:tc>
          <w:tcPr>
            <w:tcW w:w="3522" w:type="dxa"/>
            <w:tcBorders>
              <w:top w:val="single" w:sz="2" w:space="0" w:color="8A8A84"/>
              <w:left w:val="single" w:sz="6" w:space="0" w:color="FFFFFF"/>
              <w:bottom w:val="single" w:sz="2" w:space="0" w:color="8A8A84"/>
              <w:right w:val="single" w:sz="6" w:space="0" w:color="000000"/>
            </w:tcBorders>
            <w:shd w:val="solid" w:color="EBE7E2" w:fill="auto"/>
            <w:tcMar>
              <w:top w:w="113" w:type="dxa"/>
              <w:left w:w="113" w:type="dxa"/>
              <w:bottom w:w="113" w:type="dxa"/>
              <w:right w:w="80" w:type="dxa"/>
            </w:tcMar>
          </w:tcPr>
          <w:p w14:paraId="3FE6DCCE" w14:textId="77777777" w:rsidR="0083526C" w:rsidRDefault="0083526C">
            <w:pPr>
              <w:pStyle w:val="Graphtext"/>
            </w:pPr>
            <w:r>
              <w:t>Operational plans – signed</w:t>
            </w:r>
          </w:p>
        </w:tc>
      </w:tr>
      <w:tr w:rsidR="0083526C" w14:paraId="6F500CEC" w14:textId="77777777">
        <w:trPr>
          <w:trHeight w:val="60"/>
        </w:trPr>
        <w:tc>
          <w:tcPr>
            <w:tcW w:w="1233" w:type="dxa"/>
            <w:tcBorders>
              <w:top w:val="single" w:sz="6" w:space="0" w:color="8A8A84"/>
              <w:left w:val="single" w:sz="6" w:space="0" w:color="FFFFFF"/>
              <w:bottom w:val="single" w:sz="6" w:space="0" w:color="8A8A84"/>
              <w:right w:val="single" w:sz="6" w:space="0" w:color="FFFFFF"/>
            </w:tcBorders>
            <w:shd w:val="solid" w:color="000000" w:fill="auto"/>
            <w:tcMar>
              <w:top w:w="113" w:type="dxa"/>
              <w:left w:w="113" w:type="dxa"/>
              <w:bottom w:w="113" w:type="dxa"/>
              <w:right w:w="80" w:type="dxa"/>
            </w:tcMar>
          </w:tcPr>
          <w:p w14:paraId="35B72D29" w14:textId="77777777" w:rsidR="0083526C" w:rsidRDefault="0083526C">
            <w:pPr>
              <w:pStyle w:val="Tableheader"/>
            </w:pPr>
            <w:r>
              <w:t>TAS</w:t>
            </w:r>
          </w:p>
        </w:tc>
        <w:tc>
          <w:tcPr>
            <w:tcW w:w="3522" w:type="dxa"/>
            <w:tcBorders>
              <w:top w:val="single" w:sz="2" w:space="0" w:color="8A8A84"/>
              <w:left w:val="single" w:sz="6" w:space="0" w:color="FFFFFF"/>
              <w:bottom w:val="single" w:sz="2" w:space="0" w:color="8A8A84"/>
              <w:right w:val="single" w:sz="6" w:space="0" w:color="FFFFFF"/>
            </w:tcBorders>
            <w:shd w:val="solid" w:color="EBE7E2" w:fill="auto"/>
            <w:tcMar>
              <w:top w:w="113" w:type="dxa"/>
              <w:left w:w="113" w:type="dxa"/>
              <w:bottom w:w="113" w:type="dxa"/>
              <w:right w:w="80" w:type="dxa"/>
            </w:tcMar>
          </w:tcPr>
          <w:p w14:paraId="4F4C5C3B" w14:textId="77777777" w:rsidR="0083526C" w:rsidRDefault="0083526C">
            <w:pPr>
              <w:pStyle w:val="Graphtext"/>
            </w:pPr>
            <w:r>
              <w:t>Bilateral agreements – signed</w:t>
            </w:r>
          </w:p>
        </w:tc>
        <w:tc>
          <w:tcPr>
            <w:tcW w:w="3522" w:type="dxa"/>
            <w:tcBorders>
              <w:top w:val="single" w:sz="2" w:space="0" w:color="8A8A84"/>
              <w:left w:val="single" w:sz="6" w:space="0" w:color="FFFFFF"/>
              <w:bottom w:val="single" w:sz="2" w:space="0" w:color="8A8A84"/>
              <w:right w:val="single" w:sz="6" w:space="0" w:color="000000"/>
            </w:tcBorders>
            <w:shd w:val="solid" w:color="EBE7E2" w:fill="auto"/>
            <w:tcMar>
              <w:top w:w="113" w:type="dxa"/>
              <w:left w:w="113" w:type="dxa"/>
              <w:bottom w:w="113" w:type="dxa"/>
              <w:right w:w="80" w:type="dxa"/>
            </w:tcMar>
          </w:tcPr>
          <w:p w14:paraId="3F7B1136" w14:textId="77777777" w:rsidR="0083526C" w:rsidRDefault="0083526C">
            <w:pPr>
              <w:pStyle w:val="Graphtext"/>
            </w:pPr>
            <w:r>
              <w:t>Operational plans – signed</w:t>
            </w:r>
          </w:p>
        </w:tc>
      </w:tr>
      <w:tr w:rsidR="0083526C" w14:paraId="2F1C42BF" w14:textId="77777777">
        <w:trPr>
          <w:trHeight w:val="60"/>
        </w:trPr>
        <w:tc>
          <w:tcPr>
            <w:tcW w:w="1233" w:type="dxa"/>
            <w:tcBorders>
              <w:top w:val="single" w:sz="6" w:space="0" w:color="8A8A84"/>
              <w:left w:val="single" w:sz="6" w:space="0" w:color="FFFFFF"/>
              <w:bottom w:val="single" w:sz="6" w:space="0" w:color="8A8A84"/>
              <w:right w:val="single" w:sz="6" w:space="0" w:color="FFFFFF"/>
            </w:tcBorders>
            <w:shd w:val="solid" w:color="000000" w:fill="auto"/>
            <w:tcMar>
              <w:top w:w="113" w:type="dxa"/>
              <w:left w:w="113" w:type="dxa"/>
              <w:bottom w:w="113" w:type="dxa"/>
              <w:right w:w="80" w:type="dxa"/>
            </w:tcMar>
          </w:tcPr>
          <w:p w14:paraId="6D0C9E70" w14:textId="77777777" w:rsidR="0083526C" w:rsidRDefault="0083526C">
            <w:pPr>
              <w:pStyle w:val="Tableheader"/>
            </w:pPr>
            <w:r>
              <w:t>VIC</w:t>
            </w:r>
          </w:p>
        </w:tc>
        <w:tc>
          <w:tcPr>
            <w:tcW w:w="3522" w:type="dxa"/>
            <w:tcBorders>
              <w:top w:val="single" w:sz="2" w:space="0" w:color="8A8A84"/>
              <w:left w:val="single" w:sz="6" w:space="0" w:color="FFFFFF"/>
              <w:bottom w:val="single" w:sz="2" w:space="0" w:color="8A8A84"/>
              <w:right w:val="single" w:sz="6" w:space="0" w:color="FFFFFF"/>
            </w:tcBorders>
            <w:shd w:val="solid" w:color="EBE7E2" w:fill="auto"/>
            <w:tcMar>
              <w:top w:w="113" w:type="dxa"/>
              <w:left w:w="113" w:type="dxa"/>
              <w:bottom w:w="113" w:type="dxa"/>
              <w:right w:w="80" w:type="dxa"/>
            </w:tcMar>
          </w:tcPr>
          <w:p w14:paraId="18270D53" w14:textId="77777777" w:rsidR="0083526C" w:rsidRDefault="0083526C">
            <w:pPr>
              <w:pStyle w:val="Graphtext"/>
            </w:pPr>
            <w:r>
              <w:t>Bilateral agreements – signed</w:t>
            </w:r>
          </w:p>
        </w:tc>
        <w:tc>
          <w:tcPr>
            <w:tcW w:w="3522" w:type="dxa"/>
            <w:tcBorders>
              <w:top w:val="single" w:sz="2" w:space="0" w:color="8A8A84"/>
              <w:left w:val="single" w:sz="6" w:space="0" w:color="FFFFFF"/>
              <w:bottom w:val="single" w:sz="2" w:space="0" w:color="8A8A84"/>
              <w:right w:val="single" w:sz="6" w:space="0" w:color="000000"/>
            </w:tcBorders>
            <w:shd w:val="solid" w:color="EBE7E2" w:fill="auto"/>
            <w:tcMar>
              <w:top w:w="113" w:type="dxa"/>
              <w:left w:w="113" w:type="dxa"/>
              <w:bottom w:w="113" w:type="dxa"/>
              <w:right w:w="80" w:type="dxa"/>
            </w:tcMar>
          </w:tcPr>
          <w:p w14:paraId="2D36EC84" w14:textId="77777777" w:rsidR="0083526C" w:rsidRDefault="0083526C">
            <w:pPr>
              <w:pStyle w:val="Graphtext"/>
            </w:pPr>
            <w:r>
              <w:t>Operational plans – signed</w:t>
            </w:r>
          </w:p>
        </w:tc>
      </w:tr>
      <w:tr w:rsidR="0083526C" w14:paraId="4E49DA38" w14:textId="77777777">
        <w:trPr>
          <w:trHeight w:val="60"/>
        </w:trPr>
        <w:tc>
          <w:tcPr>
            <w:tcW w:w="1233" w:type="dxa"/>
            <w:tcBorders>
              <w:top w:val="single" w:sz="6" w:space="0" w:color="8A8A84"/>
              <w:left w:val="single" w:sz="6" w:space="0" w:color="FFFFFF"/>
              <w:bottom w:val="single" w:sz="6" w:space="0" w:color="8A8A84"/>
              <w:right w:val="single" w:sz="6" w:space="0" w:color="FFFFFF"/>
            </w:tcBorders>
            <w:shd w:val="solid" w:color="000000" w:fill="auto"/>
            <w:tcMar>
              <w:top w:w="113" w:type="dxa"/>
              <w:left w:w="113" w:type="dxa"/>
              <w:bottom w:w="113" w:type="dxa"/>
              <w:right w:w="80" w:type="dxa"/>
            </w:tcMar>
          </w:tcPr>
          <w:p w14:paraId="6A39551A" w14:textId="77777777" w:rsidR="0083526C" w:rsidRDefault="0083526C">
            <w:pPr>
              <w:pStyle w:val="Tableheader"/>
            </w:pPr>
            <w:r>
              <w:t>WA</w:t>
            </w:r>
          </w:p>
        </w:tc>
        <w:tc>
          <w:tcPr>
            <w:tcW w:w="3522" w:type="dxa"/>
            <w:tcBorders>
              <w:top w:val="single" w:sz="2" w:space="0" w:color="8A8A84"/>
              <w:left w:val="single" w:sz="6" w:space="0" w:color="FFFFFF"/>
              <w:bottom w:val="single" w:sz="2" w:space="0" w:color="8A8A84"/>
              <w:right w:val="single" w:sz="6" w:space="0" w:color="FFFFFF"/>
            </w:tcBorders>
            <w:shd w:val="solid" w:color="EBE7E2" w:fill="auto"/>
            <w:tcMar>
              <w:top w:w="113" w:type="dxa"/>
              <w:left w:w="113" w:type="dxa"/>
              <w:bottom w:w="113" w:type="dxa"/>
              <w:right w:w="80" w:type="dxa"/>
            </w:tcMar>
          </w:tcPr>
          <w:p w14:paraId="3482BDBB" w14:textId="77777777" w:rsidR="0083526C" w:rsidRDefault="0083526C">
            <w:pPr>
              <w:pStyle w:val="Graphtext"/>
            </w:pPr>
            <w:r>
              <w:t>Bilateral agreements – not started</w:t>
            </w:r>
          </w:p>
        </w:tc>
        <w:tc>
          <w:tcPr>
            <w:tcW w:w="3522" w:type="dxa"/>
            <w:tcBorders>
              <w:top w:val="single" w:sz="2" w:space="0" w:color="8A8A84"/>
              <w:left w:val="single" w:sz="6" w:space="0" w:color="FFFFFF"/>
              <w:bottom w:val="single" w:sz="2" w:space="0" w:color="8A8A84"/>
              <w:right w:val="single" w:sz="6" w:space="0" w:color="000000"/>
            </w:tcBorders>
            <w:shd w:val="solid" w:color="EBE7E2" w:fill="auto"/>
            <w:tcMar>
              <w:top w:w="113" w:type="dxa"/>
              <w:left w:w="113" w:type="dxa"/>
              <w:bottom w:w="113" w:type="dxa"/>
              <w:right w:w="80" w:type="dxa"/>
            </w:tcMar>
          </w:tcPr>
          <w:p w14:paraId="16B58F5F" w14:textId="77777777" w:rsidR="0083526C" w:rsidRDefault="0083526C">
            <w:pPr>
              <w:pStyle w:val="Graphtext"/>
            </w:pPr>
            <w:r>
              <w:t>Operational plans – not started</w:t>
            </w:r>
          </w:p>
        </w:tc>
      </w:tr>
      <w:bookmarkEnd w:id="29"/>
    </w:tbl>
    <w:p w14:paraId="024584B8" w14:textId="77777777" w:rsidR="0083526C" w:rsidRDefault="0083526C" w:rsidP="0083526C">
      <w:pPr>
        <w:pStyle w:val="BodyCopy"/>
        <w:rPr>
          <w:sz w:val="30"/>
          <w:szCs w:val="30"/>
        </w:rPr>
      </w:pPr>
    </w:p>
    <w:p w14:paraId="40012950" w14:textId="3CB924FD" w:rsidR="0083526C" w:rsidRDefault="0083526C" w:rsidP="009A2F9E">
      <w:pPr>
        <w:pStyle w:val="Heading2"/>
        <w:rPr>
          <w:rFonts w:ascii="FSMePro-Light" w:hAnsi="FSMePro-Light" w:cs="FSMePro-Light"/>
          <w:bCs/>
          <w:spacing w:val="-2"/>
          <w:sz w:val="18"/>
          <w:szCs w:val="18"/>
        </w:rPr>
      </w:pPr>
      <w:bookmarkStart w:id="30" w:name="_Toc464482096"/>
      <w:r>
        <w:lastRenderedPageBreak/>
        <w:t>Headline figures from trial and early transition sites</w:t>
      </w:r>
      <w:bookmarkEnd w:id="30"/>
      <w:r>
        <w:t xml:space="preserve"> </w:t>
      </w:r>
    </w:p>
    <w:p w14:paraId="079AAAD3" w14:textId="55A263A0" w:rsidR="0083526C" w:rsidRDefault="0083526C" w:rsidP="003D449C">
      <w:pPr>
        <w:pStyle w:val="Heading3"/>
      </w:pPr>
      <w:r>
        <w:t>National performance</w:t>
      </w:r>
    </w:p>
    <w:p w14:paraId="53981314" w14:textId="77777777" w:rsidR="0083526C" w:rsidRDefault="0083526C" w:rsidP="0083526C">
      <w:pPr>
        <w:pStyle w:val="BodyLarge"/>
      </w:pPr>
      <w:r>
        <w:rPr>
          <w:rStyle w:val="Bold"/>
          <w:color w:val="6A2875"/>
          <w:sz w:val="26"/>
          <w:szCs w:val="26"/>
        </w:rPr>
        <w:t>36 307</w:t>
      </w:r>
      <w:r>
        <w:t xml:space="preserve"> </w:t>
      </w:r>
      <w:r>
        <w:br/>
        <w:t>expected participants</w:t>
      </w:r>
    </w:p>
    <w:p w14:paraId="0C20C979" w14:textId="77777777" w:rsidR="0083526C" w:rsidRDefault="0083526C" w:rsidP="0083526C">
      <w:pPr>
        <w:pStyle w:val="BodyLarge"/>
      </w:pPr>
      <w:r>
        <w:rPr>
          <w:rStyle w:val="Bold"/>
          <w:color w:val="6A2875"/>
          <w:sz w:val="26"/>
          <w:szCs w:val="26"/>
        </w:rPr>
        <w:t>35 695 (98%)</w:t>
      </w:r>
      <w:r>
        <w:t xml:space="preserve"> </w:t>
      </w:r>
      <w:r>
        <w:br/>
        <w:t>participants</w:t>
      </w:r>
    </w:p>
    <w:p w14:paraId="60DDED50" w14:textId="77777777" w:rsidR="0083526C" w:rsidRDefault="0083526C" w:rsidP="0083526C">
      <w:pPr>
        <w:pStyle w:val="BodyLarge"/>
      </w:pPr>
      <w:r>
        <w:rPr>
          <w:rStyle w:val="Bold"/>
          <w:color w:val="6A2875"/>
          <w:sz w:val="26"/>
          <w:szCs w:val="26"/>
        </w:rPr>
        <w:t>30 281 (83%)</w:t>
      </w:r>
      <w:r>
        <w:t xml:space="preserve"> </w:t>
      </w:r>
      <w:r>
        <w:br/>
        <w:t>participants with approved plans</w:t>
      </w:r>
    </w:p>
    <w:p w14:paraId="3CE60568" w14:textId="77777777" w:rsidR="0083526C" w:rsidRDefault="0083526C" w:rsidP="0083526C">
      <w:pPr>
        <w:pStyle w:val="BodyLarge"/>
      </w:pPr>
      <w:r>
        <w:rPr>
          <w:rStyle w:val="Bold"/>
          <w:color w:val="6A2875"/>
          <w:sz w:val="26"/>
          <w:szCs w:val="26"/>
        </w:rPr>
        <w:t>$36 049</w:t>
      </w:r>
      <w:r>
        <w:t xml:space="preserve"> annualised average package cost (excluding large residential centres (LRC))</w:t>
      </w:r>
    </w:p>
    <w:p w14:paraId="5F6A3D79" w14:textId="77777777" w:rsidR="0083526C" w:rsidRDefault="0083526C" w:rsidP="0083526C">
      <w:pPr>
        <w:pStyle w:val="BodyLarge"/>
      </w:pPr>
      <w:r>
        <w:rPr>
          <w:rStyle w:val="Bold"/>
          <w:color w:val="6A2875"/>
          <w:sz w:val="26"/>
          <w:szCs w:val="26"/>
        </w:rPr>
        <w:t>$39 065</w:t>
      </w:r>
      <w:r>
        <w:t xml:space="preserve"> annualised average package cost (including LRCs)</w:t>
      </w:r>
    </w:p>
    <w:p w14:paraId="09C52ADE" w14:textId="6F268E2A" w:rsidR="0083526C" w:rsidRDefault="0083526C" w:rsidP="0083526C">
      <w:pPr>
        <w:pStyle w:val="Heading3"/>
        <w:spacing w:before="794" w:after="283"/>
        <w:rPr>
          <w:rStyle w:val="White"/>
        </w:rPr>
      </w:pPr>
      <w:r>
        <w:rPr>
          <w:rStyle w:val="White"/>
        </w:rPr>
        <w:t>Northern Territory</w:t>
      </w:r>
    </w:p>
    <w:p w14:paraId="6C0A4D4E" w14:textId="04051AFD" w:rsidR="0083526C" w:rsidRDefault="0083526C" w:rsidP="0083526C">
      <w:pPr>
        <w:pStyle w:val="BodyCopy"/>
        <w:spacing w:before="57"/>
      </w:pPr>
      <w:r>
        <w:t>Trial commenced July 2014 in the Barkly region.</w:t>
      </w:r>
    </w:p>
    <w:p w14:paraId="62448E30" w14:textId="77777777" w:rsidR="0083526C" w:rsidRDefault="0083526C" w:rsidP="003E2119">
      <w:pPr>
        <w:pStyle w:val="Heading4"/>
      </w:pPr>
      <w:r>
        <w:t>Performance to date</w:t>
      </w:r>
    </w:p>
    <w:p w14:paraId="7B0FB428" w14:textId="77777777" w:rsidR="0083526C" w:rsidRDefault="0083526C" w:rsidP="0083526C">
      <w:pPr>
        <w:pStyle w:val="BodyCopy"/>
        <w:spacing w:before="57" w:after="0"/>
      </w:pPr>
      <w:r>
        <w:t>154 expected participants</w:t>
      </w:r>
    </w:p>
    <w:p w14:paraId="247F51E0" w14:textId="77777777" w:rsidR="0083526C" w:rsidRDefault="0083526C" w:rsidP="0083526C">
      <w:pPr>
        <w:pStyle w:val="BodyCopy"/>
        <w:spacing w:before="57" w:after="0"/>
      </w:pPr>
      <w:r>
        <w:t>161 (105%) participants</w:t>
      </w:r>
    </w:p>
    <w:p w14:paraId="4374D538" w14:textId="77777777" w:rsidR="0083526C" w:rsidRDefault="0083526C" w:rsidP="0083526C">
      <w:pPr>
        <w:pStyle w:val="BodyCopy"/>
        <w:spacing w:before="57" w:after="0"/>
      </w:pPr>
      <w:r>
        <w:t>155 (101%) participants with approved plans</w:t>
      </w:r>
    </w:p>
    <w:p w14:paraId="74248CD3" w14:textId="77777777" w:rsidR="0083526C" w:rsidRDefault="0083526C" w:rsidP="0083526C">
      <w:pPr>
        <w:pStyle w:val="BodyCopy"/>
        <w:spacing w:before="57"/>
      </w:pPr>
      <w:r>
        <w:t xml:space="preserve">$39 894 </w:t>
      </w:r>
      <w:proofErr w:type="spellStart"/>
      <w:r>
        <w:t>annualised</w:t>
      </w:r>
      <w:proofErr w:type="spellEnd"/>
      <w:r>
        <w:t xml:space="preserve"> average package cost</w:t>
      </w:r>
    </w:p>
    <w:p w14:paraId="393B5F6F" w14:textId="19920EA6" w:rsidR="0083526C" w:rsidRDefault="0083526C" w:rsidP="003E2119">
      <w:pPr>
        <w:pStyle w:val="Heading3"/>
        <w:spacing w:before="680" w:after="283"/>
        <w:rPr>
          <w:rStyle w:val="White"/>
          <w:spacing w:val="-2"/>
        </w:rPr>
      </w:pPr>
      <w:r>
        <w:rPr>
          <w:rStyle w:val="White"/>
          <w:spacing w:val="-2"/>
        </w:rPr>
        <w:t>Western Australia - NDIS</w:t>
      </w:r>
    </w:p>
    <w:p w14:paraId="35C8E4A4" w14:textId="77777777" w:rsidR="0083526C" w:rsidRDefault="0083526C" w:rsidP="0083526C">
      <w:pPr>
        <w:pStyle w:val="BodyCopy"/>
        <w:spacing w:before="57" w:after="0"/>
      </w:pPr>
      <w:r>
        <w:t xml:space="preserve">Trial commenced July 2014 in the </w:t>
      </w:r>
      <w:r>
        <w:br/>
        <w:t xml:space="preserve">Perth Hills region. </w:t>
      </w:r>
    </w:p>
    <w:p w14:paraId="76F82DB5" w14:textId="77777777" w:rsidR="0083526C" w:rsidRDefault="0083526C" w:rsidP="003E2119">
      <w:pPr>
        <w:pStyle w:val="Heading4"/>
      </w:pPr>
      <w:r>
        <w:t>Performance to date</w:t>
      </w:r>
    </w:p>
    <w:p w14:paraId="29FE798F" w14:textId="77777777" w:rsidR="0083526C" w:rsidRDefault="0083526C" w:rsidP="0083526C">
      <w:pPr>
        <w:pStyle w:val="BodyCopy"/>
        <w:spacing w:before="57" w:after="0"/>
      </w:pPr>
      <w:r>
        <w:t>4250 expected participants</w:t>
      </w:r>
    </w:p>
    <w:p w14:paraId="228A1FB8" w14:textId="77777777" w:rsidR="0083526C" w:rsidRDefault="0083526C" w:rsidP="0083526C">
      <w:pPr>
        <w:pStyle w:val="BodyCopy"/>
        <w:spacing w:before="57" w:after="0"/>
      </w:pPr>
      <w:r>
        <w:t>2681 (63%) participants</w:t>
      </w:r>
    </w:p>
    <w:p w14:paraId="27EF953C" w14:textId="77777777" w:rsidR="0083526C" w:rsidRDefault="0083526C" w:rsidP="0083526C">
      <w:pPr>
        <w:pStyle w:val="BodyCopy"/>
        <w:spacing w:before="57" w:after="0"/>
      </w:pPr>
      <w:r>
        <w:t>2494 (59%) participants with approved plans</w:t>
      </w:r>
    </w:p>
    <w:p w14:paraId="2D3CEBE6" w14:textId="77777777" w:rsidR="0083526C" w:rsidRDefault="0083526C" w:rsidP="0083526C">
      <w:pPr>
        <w:pStyle w:val="BodyCopy"/>
        <w:spacing w:before="57"/>
      </w:pPr>
      <w:r>
        <w:t xml:space="preserve">$51 276 </w:t>
      </w:r>
      <w:proofErr w:type="spellStart"/>
      <w:r>
        <w:t>annualised</w:t>
      </w:r>
      <w:proofErr w:type="spellEnd"/>
      <w:r>
        <w:t xml:space="preserve"> average package cost</w:t>
      </w:r>
    </w:p>
    <w:p w14:paraId="1532ACE0" w14:textId="22BC301E" w:rsidR="0083526C" w:rsidRDefault="0083526C" w:rsidP="00AF35F9">
      <w:pPr>
        <w:pStyle w:val="Heading3"/>
        <w:spacing w:before="680" w:after="340"/>
        <w:rPr>
          <w:rStyle w:val="White"/>
          <w:spacing w:val="-2"/>
        </w:rPr>
      </w:pPr>
      <w:r>
        <w:rPr>
          <w:rStyle w:val="White"/>
          <w:spacing w:val="-2"/>
        </w:rPr>
        <w:lastRenderedPageBreak/>
        <w:t>South Australia</w:t>
      </w:r>
    </w:p>
    <w:p w14:paraId="541ECA71" w14:textId="77777777" w:rsidR="0083526C" w:rsidRDefault="0083526C" w:rsidP="0083526C">
      <w:pPr>
        <w:pStyle w:val="BodyCopy"/>
        <w:spacing w:before="57"/>
      </w:pPr>
      <w:r>
        <w:t xml:space="preserve">Trial commenced July 2013 </w:t>
      </w:r>
      <w:r>
        <w:rPr>
          <w:spacing w:val="-3"/>
        </w:rPr>
        <w:t>state-wide.</w:t>
      </w:r>
    </w:p>
    <w:p w14:paraId="3C492C50" w14:textId="77777777" w:rsidR="0083526C" w:rsidRDefault="0083526C" w:rsidP="00AF35F9">
      <w:pPr>
        <w:pStyle w:val="Heading4"/>
      </w:pPr>
      <w:r>
        <w:t>Performance to date</w:t>
      </w:r>
    </w:p>
    <w:p w14:paraId="5E35DC0B" w14:textId="77777777" w:rsidR="0083526C" w:rsidRDefault="0083526C" w:rsidP="0083526C">
      <w:pPr>
        <w:pStyle w:val="BodyCopy"/>
        <w:spacing w:before="57" w:after="0"/>
      </w:pPr>
      <w:r>
        <w:t>8500 expected participants</w:t>
      </w:r>
    </w:p>
    <w:p w14:paraId="534769D0" w14:textId="77777777" w:rsidR="0083526C" w:rsidRDefault="0083526C" w:rsidP="0083526C">
      <w:pPr>
        <w:pStyle w:val="BodyCopy"/>
        <w:spacing w:before="57" w:after="0"/>
      </w:pPr>
      <w:r>
        <w:t>9482 (112%) participants</w:t>
      </w:r>
    </w:p>
    <w:p w14:paraId="75B325E7" w14:textId="77777777" w:rsidR="0083526C" w:rsidRDefault="0083526C" w:rsidP="0083526C">
      <w:pPr>
        <w:pStyle w:val="BodyCopy"/>
        <w:spacing w:before="57" w:after="0"/>
      </w:pPr>
      <w:r>
        <w:t>7118 (84%) participants with approved plans</w:t>
      </w:r>
    </w:p>
    <w:p w14:paraId="74C20AD9" w14:textId="77777777" w:rsidR="0083526C" w:rsidRDefault="0083526C" w:rsidP="0083526C">
      <w:pPr>
        <w:pStyle w:val="BodyCopy"/>
        <w:spacing w:before="57"/>
      </w:pPr>
      <w:r>
        <w:t xml:space="preserve">$17 742 </w:t>
      </w:r>
      <w:proofErr w:type="spellStart"/>
      <w:r>
        <w:t>annualised</w:t>
      </w:r>
      <w:proofErr w:type="spellEnd"/>
      <w:r>
        <w:t xml:space="preserve"> average package cost</w:t>
      </w:r>
    </w:p>
    <w:p w14:paraId="53271174" w14:textId="2F276B76" w:rsidR="0083526C" w:rsidRDefault="0083526C" w:rsidP="00AF35F9">
      <w:pPr>
        <w:pStyle w:val="Heading3"/>
        <w:spacing w:before="680" w:after="227"/>
      </w:pPr>
      <w:r>
        <w:rPr>
          <w:rStyle w:val="White"/>
          <w:spacing w:val="-2"/>
        </w:rPr>
        <w:t>Victoria</w:t>
      </w:r>
    </w:p>
    <w:p w14:paraId="1CD57B44" w14:textId="77777777" w:rsidR="0083526C" w:rsidRDefault="0083526C" w:rsidP="0083526C">
      <w:pPr>
        <w:pStyle w:val="BodyCopy"/>
        <w:spacing w:before="57"/>
      </w:pPr>
      <w:r>
        <w:rPr>
          <w:spacing w:val="-4"/>
        </w:rPr>
        <w:t xml:space="preserve">Trial commenced July 2013 in the </w:t>
      </w:r>
      <w:proofErr w:type="spellStart"/>
      <w:r>
        <w:rPr>
          <w:spacing w:val="-4"/>
        </w:rPr>
        <w:t>Barwon</w:t>
      </w:r>
      <w:proofErr w:type="spellEnd"/>
      <w:r>
        <w:rPr>
          <w:spacing w:val="-4"/>
        </w:rPr>
        <w:t> region.</w:t>
      </w:r>
    </w:p>
    <w:p w14:paraId="44E6974D" w14:textId="77777777" w:rsidR="0083526C" w:rsidRDefault="0083526C" w:rsidP="00AF35F9">
      <w:pPr>
        <w:pStyle w:val="Heading4"/>
      </w:pPr>
      <w:r>
        <w:t>Performance to date</w:t>
      </w:r>
    </w:p>
    <w:p w14:paraId="5D473645" w14:textId="77777777" w:rsidR="0083526C" w:rsidRDefault="0083526C" w:rsidP="0083526C">
      <w:pPr>
        <w:pStyle w:val="BodyCopy"/>
        <w:spacing w:before="57" w:after="0"/>
      </w:pPr>
      <w:r>
        <w:t>5289 expected participants</w:t>
      </w:r>
    </w:p>
    <w:p w14:paraId="0FF9D1FB" w14:textId="77777777" w:rsidR="0083526C" w:rsidRDefault="0083526C" w:rsidP="0083526C">
      <w:pPr>
        <w:pStyle w:val="BodyCopy"/>
        <w:spacing w:before="57" w:after="0"/>
      </w:pPr>
      <w:r>
        <w:t>5884 (111%) participants</w:t>
      </w:r>
    </w:p>
    <w:p w14:paraId="7DF946A6" w14:textId="77777777" w:rsidR="0083526C" w:rsidRDefault="0083526C" w:rsidP="0083526C">
      <w:pPr>
        <w:pStyle w:val="BodyCopy"/>
        <w:spacing w:before="57" w:after="0"/>
      </w:pPr>
      <w:r>
        <w:t>5284 (100%) participants with approved plans</w:t>
      </w:r>
    </w:p>
    <w:p w14:paraId="5F183E8C" w14:textId="77777777" w:rsidR="0083526C" w:rsidRDefault="0083526C" w:rsidP="0083526C">
      <w:pPr>
        <w:pStyle w:val="BodyCopy"/>
        <w:spacing w:before="57"/>
      </w:pPr>
      <w:r>
        <w:t xml:space="preserve">$35 655 </w:t>
      </w:r>
      <w:proofErr w:type="spellStart"/>
      <w:r>
        <w:t>annualised</w:t>
      </w:r>
      <w:proofErr w:type="spellEnd"/>
      <w:r>
        <w:t xml:space="preserve"> average package cost (excluding </w:t>
      </w:r>
      <w:proofErr w:type="spellStart"/>
      <w:r>
        <w:t>Colanda</w:t>
      </w:r>
      <w:proofErr w:type="spellEnd"/>
      <w:r>
        <w:t xml:space="preserve"> large residential </w:t>
      </w:r>
      <w:proofErr w:type="spellStart"/>
      <w:r>
        <w:t>centre</w:t>
      </w:r>
      <w:proofErr w:type="spellEnd"/>
    </w:p>
    <w:p w14:paraId="40245E98" w14:textId="7C9A5104" w:rsidR="0083526C" w:rsidRDefault="0083526C" w:rsidP="00AF35F9">
      <w:pPr>
        <w:pStyle w:val="Heading3"/>
        <w:spacing w:before="680" w:after="227"/>
      </w:pPr>
      <w:r>
        <w:rPr>
          <w:rStyle w:val="White"/>
          <w:spacing w:val="-2"/>
        </w:rPr>
        <w:t>Tasmania</w:t>
      </w:r>
    </w:p>
    <w:p w14:paraId="4E4DCFF9" w14:textId="77777777" w:rsidR="0083526C" w:rsidRDefault="0083526C" w:rsidP="0083526C">
      <w:pPr>
        <w:pStyle w:val="BodyCopy"/>
        <w:spacing w:before="57"/>
      </w:pPr>
      <w:r>
        <w:t xml:space="preserve">Trial commenced July 2013 </w:t>
      </w:r>
      <w:r>
        <w:rPr>
          <w:spacing w:val="-3"/>
        </w:rPr>
        <w:t>state-wide.</w:t>
      </w:r>
    </w:p>
    <w:p w14:paraId="1A306CBC" w14:textId="77777777" w:rsidR="0083526C" w:rsidRDefault="0083526C" w:rsidP="00AF35F9">
      <w:pPr>
        <w:pStyle w:val="Heading4"/>
      </w:pPr>
      <w:r>
        <w:t>Performance to date</w:t>
      </w:r>
    </w:p>
    <w:p w14:paraId="4EC823A4" w14:textId="77777777" w:rsidR="0083526C" w:rsidRDefault="0083526C" w:rsidP="0083526C">
      <w:pPr>
        <w:pStyle w:val="BodyCopy"/>
        <w:spacing w:before="57" w:after="0"/>
      </w:pPr>
      <w:r>
        <w:t>1125 expected participants</w:t>
      </w:r>
    </w:p>
    <w:p w14:paraId="6F0C1F05" w14:textId="77777777" w:rsidR="0083526C" w:rsidRDefault="0083526C" w:rsidP="0083526C">
      <w:pPr>
        <w:pStyle w:val="BodyCopy"/>
        <w:spacing w:before="57" w:after="0"/>
      </w:pPr>
      <w:r>
        <w:t>1358 (121%) participants</w:t>
      </w:r>
    </w:p>
    <w:p w14:paraId="3F0EF7DB" w14:textId="77777777" w:rsidR="0083526C" w:rsidRDefault="0083526C" w:rsidP="0083526C">
      <w:pPr>
        <w:pStyle w:val="BodyCopy"/>
        <w:spacing w:before="57" w:after="0"/>
      </w:pPr>
      <w:r>
        <w:t>1162 (103%) participants with approved plans</w:t>
      </w:r>
    </w:p>
    <w:p w14:paraId="3C475BE9" w14:textId="77777777" w:rsidR="0083526C" w:rsidRDefault="0083526C" w:rsidP="0083526C">
      <w:pPr>
        <w:pStyle w:val="BodyCopy"/>
        <w:spacing w:before="57"/>
      </w:pPr>
      <w:r>
        <w:t xml:space="preserve">$58 744 </w:t>
      </w:r>
      <w:proofErr w:type="spellStart"/>
      <w:r>
        <w:t>annualised</w:t>
      </w:r>
      <w:proofErr w:type="spellEnd"/>
      <w:r>
        <w:t xml:space="preserve"> average package cost</w:t>
      </w:r>
    </w:p>
    <w:p w14:paraId="189DBAD6" w14:textId="2E01F680" w:rsidR="0083526C" w:rsidRDefault="0083526C" w:rsidP="00AF35F9">
      <w:pPr>
        <w:pStyle w:val="Heading3"/>
        <w:spacing w:before="680" w:after="340"/>
      </w:pPr>
      <w:r>
        <w:rPr>
          <w:rStyle w:val="White"/>
          <w:spacing w:val="-2"/>
        </w:rPr>
        <w:t>Queensland</w:t>
      </w:r>
    </w:p>
    <w:p w14:paraId="76155844" w14:textId="77777777" w:rsidR="0083526C" w:rsidRDefault="0083526C" w:rsidP="0083526C">
      <w:pPr>
        <w:pStyle w:val="BodyCopy"/>
        <w:spacing w:before="57"/>
      </w:pPr>
      <w:r>
        <w:t>Trial commenced April 2016 in Townsville, Charters Towers and Palm Island.</w:t>
      </w:r>
    </w:p>
    <w:p w14:paraId="2BE80F35" w14:textId="77777777" w:rsidR="0083526C" w:rsidRDefault="0083526C" w:rsidP="00AF35F9">
      <w:pPr>
        <w:pStyle w:val="Heading4"/>
      </w:pPr>
      <w:r>
        <w:t>Performance to date</w:t>
      </w:r>
    </w:p>
    <w:p w14:paraId="009C2A51" w14:textId="77777777" w:rsidR="0083526C" w:rsidRDefault="0083526C" w:rsidP="0083526C">
      <w:pPr>
        <w:pStyle w:val="BodyCopy"/>
        <w:spacing w:before="57" w:after="0"/>
      </w:pPr>
      <w:r>
        <w:t>600 expected participants</w:t>
      </w:r>
    </w:p>
    <w:p w14:paraId="02101289" w14:textId="77777777" w:rsidR="0083526C" w:rsidRDefault="0083526C" w:rsidP="0083526C">
      <w:pPr>
        <w:pStyle w:val="BodyCopy"/>
        <w:spacing w:before="57" w:after="0"/>
      </w:pPr>
      <w:r>
        <w:t>537 (90%) participants</w:t>
      </w:r>
    </w:p>
    <w:p w14:paraId="3DA3D296" w14:textId="77777777" w:rsidR="0083526C" w:rsidRDefault="0083526C" w:rsidP="0083526C">
      <w:pPr>
        <w:pStyle w:val="BodyCopy"/>
        <w:spacing w:before="57" w:after="0"/>
      </w:pPr>
      <w:r>
        <w:t>361 (60%) participants with approved plans</w:t>
      </w:r>
    </w:p>
    <w:p w14:paraId="50D28809" w14:textId="77777777" w:rsidR="0083526C" w:rsidRDefault="0083526C" w:rsidP="0083526C">
      <w:pPr>
        <w:pStyle w:val="BodyCopy"/>
        <w:spacing w:before="57"/>
      </w:pPr>
      <w:r>
        <w:t xml:space="preserve">$24 983 </w:t>
      </w:r>
      <w:proofErr w:type="spellStart"/>
      <w:r>
        <w:t>annualised</w:t>
      </w:r>
      <w:proofErr w:type="spellEnd"/>
      <w:r>
        <w:t xml:space="preserve"> average package cost</w:t>
      </w:r>
    </w:p>
    <w:p w14:paraId="37B9B40F" w14:textId="238DA7EA" w:rsidR="0083526C" w:rsidRDefault="0083526C" w:rsidP="00AF35F9">
      <w:pPr>
        <w:pStyle w:val="Heading3"/>
        <w:spacing w:after="227"/>
        <w:rPr>
          <w:rStyle w:val="White"/>
        </w:rPr>
      </w:pPr>
      <w:r>
        <w:rPr>
          <w:rStyle w:val="White"/>
          <w:spacing w:val="-8"/>
        </w:rPr>
        <w:lastRenderedPageBreak/>
        <w:t>New South Wales – the Hunter Region</w:t>
      </w:r>
    </w:p>
    <w:p w14:paraId="6A3D87C7" w14:textId="77777777" w:rsidR="0083526C" w:rsidRDefault="0083526C" w:rsidP="0083526C">
      <w:pPr>
        <w:pStyle w:val="BodyCopy"/>
        <w:spacing w:before="57"/>
      </w:pPr>
      <w:r>
        <w:rPr>
          <w:spacing w:val="-6"/>
        </w:rPr>
        <w:t>Trial commenced July 2013 in the Hunter region.</w:t>
      </w:r>
    </w:p>
    <w:p w14:paraId="558EBF73" w14:textId="77777777" w:rsidR="0083526C" w:rsidRDefault="0083526C" w:rsidP="00AF35F9">
      <w:pPr>
        <w:pStyle w:val="Heading4"/>
      </w:pPr>
      <w:r>
        <w:t>Performance to date</w:t>
      </w:r>
    </w:p>
    <w:p w14:paraId="605376AB" w14:textId="77777777" w:rsidR="0083526C" w:rsidRDefault="0083526C" w:rsidP="0083526C">
      <w:pPr>
        <w:pStyle w:val="BodyCopy"/>
        <w:spacing w:before="57" w:after="0"/>
      </w:pPr>
      <w:r>
        <w:t>10 111 expected participants</w:t>
      </w:r>
    </w:p>
    <w:p w14:paraId="7CFC5A6E" w14:textId="77777777" w:rsidR="0083526C" w:rsidRDefault="0083526C" w:rsidP="0083526C">
      <w:pPr>
        <w:pStyle w:val="BodyCopy"/>
        <w:spacing w:before="57" w:after="0"/>
      </w:pPr>
      <w:r>
        <w:t>8348 (83%) participants</w:t>
      </w:r>
    </w:p>
    <w:p w14:paraId="782625C5" w14:textId="77777777" w:rsidR="0083526C" w:rsidRDefault="0083526C" w:rsidP="0083526C">
      <w:pPr>
        <w:pStyle w:val="BodyCopy"/>
        <w:spacing w:before="57" w:after="0"/>
      </w:pPr>
      <w:r>
        <w:t>7805 (77%) participants with approved plans</w:t>
      </w:r>
    </w:p>
    <w:p w14:paraId="6A83E17D" w14:textId="77777777" w:rsidR="0083526C" w:rsidRDefault="0083526C" w:rsidP="0083526C">
      <w:pPr>
        <w:pStyle w:val="BodyCopy"/>
        <w:spacing w:before="57"/>
      </w:pPr>
      <w:r>
        <w:t xml:space="preserve">$43 400 </w:t>
      </w:r>
      <w:proofErr w:type="spellStart"/>
      <w:r>
        <w:t>annualised</w:t>
      </w:r>
      <w:proofErr w:type="spellEnd"/>
      <w:r>
        <w:t xml:space="preserve"> average package cost (excluding Stockton and </w:t>
      </w:r>
      <w:proofErr w:type="spellStart"/>
      <w:r>
        <w:t>Kanangra</w:t>
      </w:r>
      <w:proofErr w:type="spellEnd"/>
      <w:r>
        <w:t xml:space="preserve"> LRC)</w:t>
      </w:r>
    </w:p>
    <w:p w14:paraId="606E5A0A" w14:textId="722AA4F4" w:rsidR="0083526C" w:rsidRDefault="0083526C" w:rsidP="00AF35F9">
      <w:pPr>
        <w:pStyle w:val="Heading3"/>
        <w:spacing w:before="595" w:after="170"/>
      </w:pPr>
      <w:r>
        <w:rPr>
          <w:rStyle w:val="White"/>
          <w:spacing w:val="-4"/>
        </w:rPr>
        <w:t xml:space="preserve">New South Wales – </w:t>
      </w:r>
      <w:r>
        <w:rPr>
          <w:rStyle w:val="White"/>
          <w:spacing w:val="-4"/>
        </w:rPr>
        <w:br/>
        <w:t>Nepean Blue Mountains</w:t>
      </w:r>
    </w:p>
    <w:p w14:paraId="0481257A" w14:textId="77777777" w:rsidR="0083526C" w:rsidRDefault="0083526C" w:rsidP="0083526C">
      <w:pPr>
        <w:pStyle w:val="BodyCopy"/>
        <w:spacing w:before="57"/>
      </w:pPr>
      <w:r>
        <w:t>Trial commenced September 2015 in the Western Sydney region.</w:t>
      </w:r>
    </w:p>
    <w:p w14:paraId="698765C0" w14:textId="77777777" w:rsidR="0083526C" w:rsidRDefault="0083526C" w:rsidP="00AF35F9">
      <w:pPr>
        <w:pStyle w:val="Heading4"/>
      </w:pPr>
      <w:r>
        <w:t>Performance to date</w:t>
      </w:r>
    </w:p>
    <w:p w14:paraId="0A576BF1" w14:textId="77777777" w:rsidR="0083526C" w:rsidRDefault="0083526C" w:rsidP="0083526C">
      <w:pPr>
        <w:pStyle w:val="BodyCopy"/>
        <w:spacing w:before="57" w:after="0"/>
      </w:pPr>
      <w:r>
        <w:t>2000 expected participants</w:t>
      </w:r>
    </w:p>
    <w:p w14:paraId="56D4B353" w14:textId="77777777" w:rsidR="0083526C" w:rsidRDefault="0083526C" w:rsidP="0083526C">
      <w:pPr>
        <w:pStyle w:val="BodyCopy"/>
        <w:spacing w:before="57" w:after="0"/>
      </w:pPr>
      <w:r>
        <w:t>2015 (101%) participants</w:t>
      </w:r>
    </w:p>
    <w:p w14:paraId="38F04886" w14:textId="77777777" w:rsidR="0083526C" w:rsidRDefault="0083526C" w:rsidP="0083526C">
      <w:pPr>
        <w:pStyle w:val="BodyCopy"/>
        <w:spacing w:before="57" w:after="0"/>
      </w:pPr>
      <w:r>
        <w:t>1804 (90%) participants with approved plans</w:t>
      </w:r>
    </w:p>
    <w:p w14:paraId="751B208E" w14:textId="77777777" w:rsidR="0083526C" w:rsidRDefault="0083526C" w:rsidP="0083526C">
      <w:pPr>
        <w:pStyle w:val="BodyCopy"/>
        <w:spacing w:before="57"/>
      </w:pPr>
      <w:r>
        <w:t xml:space="preserve">$19 231 </w:t>
      </w:r>
      <w:proofErr w:type="spellStart"/>
      <w:r>
        <w:t>annualised</w:t>
      </w:r>
      <w:proofErr w:type="spellEnd"/>
      <w:r>
        <w:t xml:space="preserve"> average package cost</w:t>
      </w:r>
    </w:p>
    <w:p w14:paraId="2CBCECA9" w14:textId="514EE1CF" w:rsidR="0083526C" w:rsidRDefault="0083526C" w:rsidP="00AF35F9">
      <w:pPr>
        <w:pStyle w:val="Heading3"/>
        <w:spacing w:before="595" w:after="227"/>
        <w:rPr>
          <w:rStyle w:val="White"/>
          <w:spacing w:val="-2"/>
        </w:rPr>
      </w:pPr>
      <w:r>
        <w:rPr>
          <w:rStyle w:val="White"/>
          <w:spacing w:val="-2"/>
        </w:rPr>
        <w:t>Australian Capital Territory</w:t>
      </w:r>
    </w:p>
    <w:p w14:paraId="66CFD9A5" w14:textId="77777777" w:rsidR="0083526C" w:rsidRDefault="0083526C" w:rsidP="0083526C">
      <w:pPr>
        <w:pStyle w:val="BodyCopy"/>
        <w:spacing w:before="57"/>
      </w:pPr>
      <w:r>
        <w:t>Trial commenced July 2014 territory-wide.</w:t>
      </w:r>
    </w:p>
    <w:p w14:paraId="4EDD8F5E" w14:textId="77777777" w:rsidR="0083526C" w:rsidRDefault="0083526C" w:rsidP="00AF35F9">
      <w:pPr>
        <w:pStyle w:val="Heading4"/>
      </w:pPr>
      <w:r>
        <w:t>Performance to date</w:t>
      </w:r>
    </w:p>
    <w:p w14:paraId="24D1EFBA" w14:textId="77777777" w:rsidR="0083526C" w:rsidRDefault="0083526C" w:rsidP="0083526C">
      <w:pPr>
        <w:pStyle w:val="BodyCopy"/>
        <w:spacing w:before="57" w:after="0"/>
      </w:pPr>
      <w:r>
        <w:t>4278 expected participants</w:t>
      </w:r>
    </w:p>
    <w:p w14:paraId="24E67F99" w14:textId="77777777" w:rsidR="0083526C" w:rsidRDefault="0083526C" w:rsidP="0083526C">
      <w:pPr>
        <w:pStyle w:val="BodyCopy"/>
        <w:spacing w:before="57" w:after="0"/>
      </w:pPr>
      <w:r>
        <w:t>5229 (122%) participants</w:t>
      </w:r>
    </w:p>
    <w:p w14:paraId="39B9DFEF" w14:textId="77777777" w:rsidR="0083526C" w:rsidRDefault="0083526C" w:rsidP="0083526C">
      <w:pPr>
        <w:pStyle w:val="BodyCopy"/>
        <w:spacing w:before="57" w:after="0"/>
      </w:pPr>
      <w:r>
        <w:t>4098 (96%) participants with approved plans</w:t>
      </w:r>
    </w:p>
    <w:p w14:paraId="2AD09503" w14:textId="77777777" w:rsidR="0083526C" w:rsidRDefault="0083526C" w:rsidP="0083526C">
      <w:pPr>
        <w:pStyle w:val="BodyCopy"/>
        <w:spacing w:before="57"/>
      </w:pPr>
      <w:r>
        <w:t xml:space="preserve">$47 992 </w:t>
      </w:r>
      <w:proofErr w:type="spellStart"/>
      <w:r>
        <w:t>annualised</w:t>
      </w:r>
      <w:proofErr w:type="spellEnd"/>
      <w:r>
        <w:t xml:space="preserve"> average package cost</w:t>
      </w:r>
    </w:p>
    <w:p w14:paraId="2EB61FD7" w14:textId="5EECC65A" w:rsidR="005620BF" w:rsidRDefault="005620BF" w:rsidP="005620BF">
      <w:pPr>
        <w:pStyle w:val="Heading2"/>
      </w:pPr>
      <w:bookmarkStart w:id="31" w:name="_Toc464482097"/>
      <w:r>
        <w:lastRenderedPageBreak/>
        <w:t>Highlights across trial and early transition sites in 2015-16</w:t>
      </w:r>
      <w:bookmarkEnd w:id="31"/>
      <w:r>
        <w:t xml:space="preserve"> </w:t>
      </w:r>
    </w:p>
    <w:p w14:paraId="1BF041B1" w14:textId="77777777" w:rsidR="005620BF" w:rsidRDefault="005620BF" w:rsidP="005620BF">
      <w:pPr>
        <w:pStyle w:val="IntroPara"/>
      </w:pPr>
      <w:r>
        <w:t xml:space="preserve">The Agency has continued to listen and learn from feedback about real life experiences from participants, partners and providers. There is no doubt that 2015-16 has been a year of innovation and discovery across many parts of the Scheme, as the Agency prepares for full Scheme rollout. </w:t>
      </w:r>
    </w:p>
    <w:p w14:paraId="6B14DAD2" w14:textId="77777777" w:rsidR="005620BF" w:rsidRDefault="005620BF" w:rsidP="005620BF">
      <w:pPr>
        <w:pStyle w:val="BodyCopy"/>
      </w:pPr>
      <w:r>
        <w:t>The following information provides more detailed insight into some of the highlights across all trial and early transition sites for 2015-16.</w:t>
      </w:r>
    </w:p>
    <w:p w14:paraId="1A1B9AFC" w14:textId="062F1651" w:rsidR="005620BF" w:rsidRDefault="005620BF" w:rsidP="005620BF">
      <w:pPr>
        <w:pStyle w:val="Heading3"/>
      </w:pPr>
      <w:r>
        <w:t>Trial sites</w:t>
      </w:r>
    </w:p>
    <w:p w14:paraId="30157038" w14:textId="77777777" w:rsidR="005620BF" w:rsidRDefault="005620BF" w:rsidP="005620BF">
      <w:pPr>
        <w:pStyle w:val="Heading4"/>
      </w:pPr>
      <w:r>
        <w:t>South Australia (SA)</w:t>
      </w:r>
    </w:p>
    <w:p w14:paraId="417ED070" w14:textId="77777777" w:rsidR="005620BF" w:rsidRDefault="005620BF" w:rsidP="005620BF">
      <w:pPr>
        <w:pStyle w:val="BodyCopy"/>
      </w:pPr>
      <w:r>
        <w:t xml:space="preserve">With Scheme participants across the whole of SA, the Agency continues to work closely with the SA Government regarding transition arrangements, and working through a range of mainstream interface arrangements. </w:t>
      </w:r>
    </w:p>
    <w:p w14:paraId="390F2617" w14:textId="77777777" w:rsidR="005620BF" w:rsidRDefault="005620BF" w:rsidP="005620BF">
      <w:pPr>
        <w:pStyle w:val="BodyCopy"/>
      </w:pPr>
      <w:r>
        <w:t xml:space="preserve">The SA Youth Advisory Group was established in 2015 and continues to listen to young people with disability in SA, to understand how the Agency can improve access, information and engagement for children and young people. </w:t>
      </w:r>
    </w:p>
    <w:p w14:paraId="15350C30" w14:textId="77777777" w:rsidR="005620BF" w:rsidRDefault="005620BF" w:rsidP="005620BF">
      <w:pPr>
        <w:pStyle w:val="BodyCopy"/>
      </w:pPr>
      <w:r>
        <w:rPr>
          <w:spacing w:val="-3"/>
        </w:rPr>
        <w:t xml:space="preserve">The Agency hosted the inaugural Remote Disability Service Provider reference group in Adelaide in April 2016. This brought together experienced service providers from remote regions across Australia. </w:t>
      </w:r>
    </w:p>
    <w:p w14:paraId="2F213A05" w14:textId="77777777" w:rsidR="005620BF" w:rsidRDefault="005620BF" w:rsidP="005620BF">
      <w:pPr>
        <w:pStyle w:val="BodyCopy"/>
      </w:pPr>
      <w:r>
        <w:t xml:space="preserve">Consultation workshops regarding Information, Linkage and Capacity Building (ILC) and the Specialist Disability Accommodation (SDA) pricing and payment framework also took place in SA during April and May 2016. </w:t>
      </w:r>
    </w:p>
    <w:p w14:paraId="28BBAE94" w14:textId="77777777" w:rsidR="005620BF" w:rsidRDefault="005620BF" w:rsidP="005620BF">
      <w:pPr>
        <w:pStyle w:val="BodyCopy"/>
      </w:pPr>
      <w:r>
        <w:t xml:space="preserve">The Agency in SA provided </w:t>
      </w:r>
      <w:r>
        <w:rPr>
          <w:rStyle w:val="Lightitalic"/>
        </w:rPr>
        <w:t>Accessing the NDIS workshops</w:t>
      </w:r>
      <w:r>
        <w:t xml:space="preserve"> to support families with the access process as a priority. The Agency is working to develop a network of access partners nationally. </w:t>
      </w:r>
    </w:p>
    <w:p w14:paraId="432538A9" w14:textId="77777777" w:rsidR="005620BF" w:rsidRDefault="005620BF" w:rsidP="005620BF">
      <w:pPr>
        <w:pStyle w:val="BodyCopy"/>
      </w:pPr>
      <w:r>
        <w:t xml:space="preserve">In 2016 an Early Childhood Early Intervention (ECEI) team has been established in SA. The Scheme’s ECEI approach will be implemented progressively as the Agency works with families to determine the supports required to ensure that the best outcomes are achieved for children. In </w:t>
      </w:r>
      <w:proofErr w:type="gramStart"/>
      <w:r>
        <w:t>addition</w:t>
      </w:r>
      <w:proofErr w:type="gramEnd"/>
      <w:r>
        <w:t xml:space="preserve"> the Agency has identified staff with early childhood experience in identifying and determining supports for young children.</w:t>
      </w:r>
    </w:p>
    <w:p w14:paraId="05FB7D85" w14:textId="77777777" w:rsidR="005620BF" w:rsidRDefault="005620BF" w:rsidP="005620BF">
      <w:pPr>
        <w:pStyle w:val="BodyCopy"/>
      </w:pPr>
      <w:r>
        <w:t>Read how the SA trial site worked with Indigenous stakeholders on page 23.</w:t>
      </w:r>
    </w:p>
    <w:p w14:paraId="1C0B0DCB" w14:textId="77777777" w:rsidR="005620BF" w:rsidRDefault="005620BF" w:rsidP="000C5E97">
      <w:pPr>
        <w:pStyle w:val="Heading4"/>
      </w:pPr>
      <w:r>
        <w:t>Northern Territory (NT)</w:t>
      </w:r>
    </w:p>
    <w:p w14:paraId="6F1CDA3E" w14:textId="77777777" w:rsidR="005620BF" w:rsidRDefault="005620BF" w:rsidP="005620BF">
      <w:pPr>
        <w:pStyle w:val="BodyCopy"/>
      </w:pPr>
      <w:r>
        <w:t xml:space="preserve">One major activity in the NT this year was the </w:t>
      </w:r>
      <w:proofErr w:type="spellStart"/>
      <w:r>
        <w:t>set up</w:t>
      </w:r>
      <w:proofErr w:type="spellEnd"/>
      <w:r>
        <w:t xml:space="preserve"> of a Project Officer role as part of the </w:t>
      </w:r>
      <w:proofErr w:type="spellStart"/>
      <w:r>
        <w:t>Anyinginyi</w:t>
      </w:r>
      <w:proofErr w:type="spellEnd"/>
      <w:r>
        <w:t xml:space="preserve"> Health Aboriginal Corporation Community Inclusion and Capacity Development (CICD) initiative. </w:t>
      </w:r>
    </w:p>
    <w:p w14:paraId="40ED70E3" w14:textId="77777777" w:rsidR="005620BF" w:rsidRDefault="005620BF" w:rsidP="005620BF">
      <w:pPr>
        <w:pStyle w:val="BodyCopy"/>
      </w:pPr>
      <w:r>
        <w:t xml:space="preserve">This role was designed to promote awareness of the Scheme and to support </w:t>
      </w:r>
      <w:proofErr w:type="spellStart"/>
      <w:r>
        <w:t>Anyinginyi</w:t>
      </w:r>
      <w:proofErr w:type="spellEnd"/>
      <w:r>
        <w:t xml:space="preserve"> build its capability around the provision of additional Allied Health services - both quantity of Allied Health services and the range of Allied Health services. </w:t>
      </w:r>
    </w:p>
    <w:p w14:paraId="701091BF" w14:textId="77777777" w:rsidR="005620BF" w:rsidRDefault="005620BF" w:rsidP="005620BF">
      <w:pPr>
        <w:pStyle w:val="BodyCopy"/>
      </w:pPr>
      <w:r>
        <w:t>The Agency awarded a CICD grant to fund the renowned Barkly Desert Harmony Festival, held from 31 July to 5 August 2015. The theme for the 2015 Festival was ‘Let NDIS Be Light’, with a focus on the skills and capabilities of people with disability. The events curated all displayed a strong recognition of the capability of people with disability, including the feature event of the festival, a performance by the Australian Opera.</w:t>
      </w:r>
    </w:p>
    <w:p w14:paraId="46B4520F" w14:textId="77777777" w:rsidR="005620BF" w:rsidRDefault="005620BF" w:rsidP="005620BF">
      <w:pPr>
        <w:pStyle w:val="BodyCopy"/>
      </w:pPr>
      <w:r>
        <w:t xml:space="preserve">Another major event was hosted on International Day of People with Disability on 3 December 2015 with local participants invited to discuss the progress of the Scheme in the Barkly region. Local service providers also attended to display their services which included a large display of Assistive Technology (AT) products. Local Elders were also invited and the day </w:t>
      </w:r>
      <w:r>
        <w:lastRenderedPageBreak/>
        <w:t>included a luncheon and local entertainment. Messages about disability were also provided in local language (</w:t>
      </w:r>
      <w:proofErr w:type="spellStart"/>
      <w:r>
        <w:t>Warrumungu</w:t>
      </w:r>
      <w:proofErr w:type="spellEnd"/>
      <w:r>
        <w:t xml:space="preserve">). </w:t>
      </w:r>
    </w:p>
    <w:p w14:paraId="0EBCE517" w14:textId="77777777" w:rsidR="005620BF" w:rsidRDefault="005620BF" w:rsidP="005620BF">
      <w:pPr>
        <w:pStyle w:val="BodyCopy"/>
      </w:pPr>
      <w:r>
        <w:t xml:space="preserve">The Agency supported two local football matches in the local Barkly AFL competition on 2 August 2015 and 25 June 2016. The first match in 2015 was so successful that a follow up game was held again in 2016. Local radio broadcast the events live, interspersed with promotion about the Scheme and the impact it has already had on many people across the Barkly region, and their families and </w:t>
      </w:r>
      <w:proofErr w:type="spellStart"/>
      <w:r>
        <w:t>carers</w:t>
      </w:r>
      <w:proofErr w:type="spellEnd"/>
      <w:r>
        <w:t>. Scheme participants attended the events as VIPs. Participating players and officials also played in purple socks and with a special Scheme branded match day football.</w:t>
      </w:r>
    </w:p>
    <w:p w14:paraId="7FAD5C73" w14:textId="77777777" w:rsidR="005620BF" w:rsidRDefault="005620BF" w:rsidP="005620BF">
      <w:pPr>
        <w:pStyle w:val="BodyCopy"/>
      </w:pPr>
      <w:r>
        <w:t xml:space="preserve">The Barkly trial site continued to focus on people who have chosen not to enter the Scheme and worked with providers to jointly reach out to encourage testing their eligibility to access the Scheme. A project is currently being developed with a local Indigenous community-controlled </w:t>
      </w:r>
      <w:proofErr w:type="spellStart"/>
      <w:r>
        <w:t>organisation</w:t>
      </w:r>
      <w:proofErr w:type="spellEnd"/>
      <w:r>
        <w:t xml:space="preserve"> to specifically work with these people.</w:t>
      </w:r>
    </w:p>
    <w:p w14:paraId="38C0915A" w14:textId="77777777" w:rsidR="005620BF" w:rsidRDefault="005620BF" w:rsidP="005620BF">
      <w:pPr>
        <w:pStyle w:val="BodyCopy"/>
      </w:pPr>
      <w:r>
        <w:rPr>
          <w:spacing w:val="-3"/>
        </w:rPr>
        <w:t>A CICD funded project is currently being negotiated to develop, trial and evaluate an accredited training package to support building skills and capabilities in remote Indigenous communities to support the delivery of the Scheme.</w:t>
      </w:r>
    </w:p>
    <w:p w14:paraId="4E9500FC" w14:textId="77777777" w:rsidR="005620BF" w:rsidRDefault="005620BF" w:rsidP="005620BF">
      <w:pPr>
        <w:pStyle w:val="BodyCopy"/>
        <w:rPr>
          <w:spacing w:val="-3"/>
        </w:rPr>
      </w:pPr>
      <w:r>
        <w:rPr>
          <w:spacing w:val="-3"/>
        </w:rPr>
        <w:t xml:space="preserve">While the trial continued across the Barkly region, with the office located in Tennant Creek, the Darwin Regional Hub was also established in preparation for the rollout of the Scheme in the NT. </w:t>
      </w:r>
    </w:p>
    <w:p w14:paraId="4553B4D7" w14:textId="77777777" w:rsidR="005620BF" w:rsidRDefault="005620BF" w:rsidP="000C5E97">
      <w:pPr>
        <w:pStyle w:val="Heading4"/>
      </w:pPr>
      <w:r>
        <w:t>Victoria West (</w:t>
      </w:r>
      <w:proofErr w:type="spellStart"/>
      <w:r>
        <w:t>Barwon</w:t>
      </w:r>
      <w:proofErr w:type="spellEnd"/>
      <w:r>
        <w:t>)</w:t>
      </w:r>
    </w:p>
    <w:p w14:paraId="374D6829" w14:textId="77777777" w:rsidR="005620BF" w:rsidRDefault="005620BF" w:rsidP="005620BF">
      <w:pPr>
        <w:pStyle w:val="BodyCopy"/>
      </w:pPr>
      <w:r>
        <w:t xml:space="preserve">With many participants now on their second and third plans, the </w:t>
      </w:r>
      <w:proofErr w:type="spellStart"/>
      <w:r>
        <w:t>Barwon</w:t>
      </w:r>
      <w:proofErr w:type="spellEnd"/>
      <w:r>
        <w:t xml:space="preserve"> trial site represents an opportunity for the Agency to assess how the Scheme works in ‘business as usual’ mode. </w:t>
      </w:r>
    </w:p>
    <w:p w14:paraId="2FA1AE62" w14:textId="77777777" w:rsidR="005620BF" w:rsidRDefault="005620BF" w:rsidP="005620BF">
      <w:pPr>
        <w:pStyle w:val="BodyCopy"/>
      </w:pPr>
      <w:r>
        <w:t xml:space="preserve">The </w:t>
      </w:r>
      <w:proofErr w:type="spellStart"/>
      <w:r>
        <w:t>Barwon</w:t>
      </w:r>
      <w:proofErr w:type="spellEnd"/>
      <w:r>
        <w:t xml:space="preserve"> trial site has also implemented a local engagement strategy to ensure participants are invited to explore mainstream and community options, prior to their planning appointment. </w:t>
      </w:r>
    </w:p>
    <w:p w14:paraId="68ABB5FF" w14:textId="77777777" w:rsidR="005620BF" w:rsidRDefault="005620BF" w:rsidP="005620BF">
      <w:pPr>
        <w:pStyle w:val="BodyCopy"/>
      </w:pPr>
      <w:r>
        <w:t xml:space="preserve">The </w:t>
      </w:r>
      <w:proofErr w:type="spellStart"/>
      <w:r>
        <w:t>Barwon</w:t>
      </w:r>
      <w:proofErr w:type="spellEnd"/>
      <w:r>
        <w:t xml:space="preserve"> trial site is establishing a number of local initiatives to better understand the efficiency of interventions with specific cohorts. These include working with therapists and providers to support participants with complex </w:t>
      </w:r>
      <w:proofErr w:type="spellStart"/>
      <w:r>
        <w:t>behaviours</w:t>
      </w:r>
      <w:proofErr w:type="spellEnd"/>
      <w:r>
        <w:t xml:space="preserve"> in supported decision-making, youth transition, shared planning for young children in school, employment and volunteering. The site has made a significant contribution to formal strategies created for Assistive Technology (AT), the Rural and Remote strategy, the Aboriginal and Torres Strait Islander Engagement strategy, and the Culturally and Linguistically Diverse (CALD) strategy.</w:t>
      </w:r>
    </w:p>
    <w:p w14:paraId="1E71F405" w14:textId="77777777" w:rsidR="005620BF" w:rsidRDefault="005620BF" w:rsidP="005620BF">
      <w:pPr>
        <w:pStyle w:val="BodyCopy"/>
      </w:pPr>
      <w:r>
        <w:t xml:space="preserve">The national Service Delivery Operating Model (SDOM) underwent a design and validation exercise in </w:t>
      </w:r>
      <w:proofErr w:type="spellStart"/>
      <w:r>
        <w:t>Barwon</w:t>
      </w:r>
      <w:proofErr w:type="spellEnd"/>
      <w:r>
        <w:t xml:space="preserve"> with local partner The Australian Centre for Social Innovation (TACSI) engaged to conduct research and workshops for this initiative. See page 9 for more information about this exercise.</w:t>
      </w:r>
    </w:p>
    <w:p w14:paraId="14AB2B60" w14:textId="77777777" w:rsidR="005620BF" w:rsidRDefault="005620BF" w:rsidP="005620BF">
      <w:pPr>
        <w:pStyle w:val="BodyCopy"/>
      </w:pPr>
      <w:proofErr w:type="spellStart"/>
      <w:r>
        <w:t>Barwon</w:t>
      </w:r>
      <w:proofErr w:type="spellEnd"/>
      <w:r>
        <w:t xml:space="preserve"> Agency staff also contributed to the local region by volunteering at the Having a Say Conference conducted by Valid, bringing together self-advocates and adults with disability from all over Australia and overseas.</w:t>
      </w:r>
    </w:p>
    <w:p w14:paraId="05ABC743" w14:textId="77777777" w:rsidR="005620BF" w:rsidRDefault="005620BF" w:rsidP="005620BF">
      <w:pPr>
        <w:pStyle w:val="BodyCopy"/>
      </w:pPr>
      <w:r>
        <w:t xml:space="preserve">International Day of People with Disability 2015 was celebrated over a ten-day period involving many community partners, initiated by </w:t>
      </w:r>
      <w:proofErr w:type="spellStart"/>
      <w:r>
        <w:t>Barwon</w:t>
      </w:r>
      <w:proofErr w:type="spellEnd"/>
      <w:r>
        <w:t xml:space="preserve"> Agency staff. </w:t>
      </w:r>
    </w:p>
    <w:p w14:paraId="2A081076" w14:textId="77777777" w:rsidR="005620BF" w:rsidRDefault="005620BF" w:rsidP="005620BF">
      <w:pPr>
        <w:pStyle w:val="BodyCopy"/>
      </w:pPr>
      <w:proofErr w:type="spellStart"/>
      <w:r>
        <w:t>Barwon</w:t>
      </w:r>
      <w:proofErr w:type="spellEnd"/>
      <w:r>
        <w:t xml:space="preserve"> Agency staff volunteered for </w:t>
      </w:r>
      <w:r>
        <w:rPr>
          <w:rStyle w:val="Lightitalic"/>
        </w:rPr>
        <w:t>Give Where You Live</w:t>
      </w:r>
      <w:r>
        <w:t xml:space="preserve">, an initiative designed to raise awareness within government and business of the importance of contributing to the work of local not for profit </w:t>
      </w:r>
      <w:proofErr w:type="spellStart"/>
      <w:r>
        <w:t>organisations</w:t>
      </w:r>
      <w:proofErr w:type="spellEnd"/>
      <w:r>
        <w:t xml:space="preserve"> that support socially disadvantaged members of our community.</w:t>
      </w:r>
    </w:p>
    <w:p w14:paraId="126C3E69" w14:textId="77777777" w:rsidR="005620BF" w:rsidRDefault="005620BF" w:rsidP="000C5E97">
      <w:pPr>
        <w:pStyle w:val="Heading4"/>
      </w:pPr>
      <w:r>
        <w:t>Tasmania</w:t>
      </w:r>
    </w:p>
    <w:p w14:paraId="5DA2F6D1" w14:textId="77777777" w:rsidR="005620BF" w:rsidRDefault="005620BF" w:rsidP="005620BF">
      <w:pPr>
        <w:pStyle w:val="BodyCopy"/>
      </w:pPr>
      <w:r>
        <w:t xml:space="preserve">Tasmania was the first region to have outsourced arrangements for Local Area Coordination (LAC) and many lessons from this have informed the national approach. </w:t>
      </w:r>
    </w:p>
    <w:p w14:paraId="4FE3A45D" w14:textId="77777777" w:rsidR="005620BF" w:rsidRDefault="005620BF" w:rsidP="005620BF">
      <w:pPr>
        <w:pStyle w:val="BodyCopy"/>
      </w:pPr>
      <w:r>
        <w:t>The Tasmanian trial site has also had ongoing rounds of forums for providers. These sessions were to update providers on Scheme developments and also targeted providers in rural and regional areas of the state. The forums were well attended and provided an opportunity for providers to discuss information and raise issues related to the delivery of service. At the commencement of the trial in Tasmania there were 86 registered providers. This number has now increased to approximately 260.</w:t>
      </w:r>
    </w:p>
    <w:p w14:paraId="6B2567F6" w14:textId="77777777" w:rsidR="005620BF" w:rsidRDefault="005620BF" w:rsidP="005620BF">
      <w:pPr>
        <w:pStyle w:val="BodyCopy"/>
      </w:pPr>
      <w:r>
        <w:lastRenderedPageBreak/>
        <w:t xml:space="preserve">Tasmania has </w:t>
      </w:r>
      <w:proofErr w:type="spellStart"/>
      <w:r>
        <w:t>trialled</w:t>
      </w:r>
      <w:proofErr w:type="spellEnd"/>
      <w:r>
        <w:t xml:space="preserve"> three approaches of national significance in relation to integrated planning in education and employment: Into Work pilot, which resulted in two young adults finding permanent work in the community; Integrated Planning in high schools; and the School Leaver Employment Supports (SLES).</w:t>
      </w:r>
    </w:p>
    <w:p w14:paraId="151242F4" w14:textId="77777777" w:rsidR="005620BF" w:rsidRDefault="005620BF" w:rsidP="005620BF">
      <w:pPr>
        <w:pStyle w:val="BodyCopy"/>
      </w:pPr>
      <w:r>
        <w:t>Read how the Agency in Tasmania worked with LAC partners to conduct information sessions on page 15.</w:t>
      </w:r>
    </w:p>
    <w:p w14:paraId="789F4468" w14:textId="77777777" w:rsidR="005620BF" w:rsidRDefault="005620BF" w:rsidP="001468AA">
      <w:pPr>
        <w:pStyle w:val="Heading4"/>
        <w:shd w:val="clear" w:color="auto" w:fill="EBE8E2" w:themeFill="background2"/>
      </w:pPr>
      <w:r>
        <w:t>The Hub in Launceston, Tasmania</w:t>
      </w:r>
    </w:p>
    <w:p w14:paraId="11104BB6" w14:textId="77777777" w:rsidR="005620BF" w:rsidRDefault="005620BF" w:rsidP="001468AA">
      <w:pPr>
        <w:pStyle w:val="BodyCopy"/>
        <w:shd w:val="clear" w:color="auto" w:fill="EBE8E2" w:themeFill="background2"/>
      </w:pPr>
      <w:r>
        <w:t>The Hub in Launceston is a place where young men, most on the autism spectrum, meet, learn and laugh. It is a place that is building confidence and friendships.</w:t>
      </w:r>
    </w:p>
    <w:p w14:paraId="39353765" w14:textId="77777777" w:rsidR="005620BF" w:rsidRDefault="005620BF" w:rsidP="001468AA">
      <w:pPr>
        <w:pStyle w:val="BodyCopy"/>
        <w:shd w:val="clear" w:color="auto" w:fill="EBE8E2" w:themeFill="background2"/>
      </w:pPr>
      <w:r>
        <w:t>The Hub came to life when a coordinator of support groups, David Hammersley, saw a common thread in the young men he worked with; severe isolation.</w:t>
      </w:r>
    </w:p>
    <w:p w14:paraId="499AF2F6" w14:textId="77777777" w:rsidR="005620BF" w:rsidRDefault="005620BF" w:rsidP="001468AA">
      <w:pPr>
        <w:pStyle w:val="BodyCopy"/>
        <w:shd w:val="clear" w:color="auto" w:fill="EBE8E2" w:themeFill="background2"/>
      </w:pPr>
      <w:r>
        <w:t>‘To see them really come alive and come out of their shell has been really great. We have roughly 12 guys, give or take, on a Monday, Wednesday and Friday that we work with. We run group sessions that help them prepare for gaining more independence. These people who are supporting these young fellows are mentors. They support them not only in activity-based things but also they help them emotionally. They educate, they provide opportunities for social skills and engagement and they bring people together.</w:t>
      </w:r>
    </w:p>
    <w:p w14:paraId="586795F7" w14:textId="77777777" w:rsidR="005620BF" w:rsidRDefault="005620BF" w:rsidP="001468AA">
      <w:pPr>
        <w:pStyle w:val="BodyCopy"/>
        <w:shd w:val="clear" w:color="auto" w:fill="EBE8E2" w:themeFill="background2"/>
      </w:pPr>
      <w:r>
        <w:t>I think this works because a lot of these guys were in the situation where they don’t really view themselves as having a disability but they also still need some form of support. So it is really cool to see that little gap where we might be able to step in and help them out in that way and it’s been really great.</w:t>
      </w:r>
    </w:p>
    <w:p w14:paraId="18F11354" w14:textId="77777777" w:rsidR="005620BF" w:rsidRDefault="005620BF" w:rsidP="001468AA">
      <w:pPr>
        <w:pStyle w:val="BodyCopy"/>
        <w:shd w:val="clear" w:color="auto" w:fill="EBE8E2" w:themeFill="background2"/>
      </w:pPr>
      <w:r>
        <w:t>The Hub wouldn’t have happened without the NDIS, absolutely no way. The NDIS has had a massive impact for us as a provider. It’s given us a great lot of scope in the work we are able to provide to young people in the community. We’ve developed a lot of programs out of that’.</w:t>
      </w:r>
    </w:p>
    <w:p w14:paraId="737F34E3" w14:textId="77777777" w:rsidR="005620BF" w:rsidRDefault="005620BF" w:rsidP="001468AA">
      <w:pPr>
        <w:pStyle w:val="BodyCopy"/>
        <w:shd w:val="clear" w:color="auto" w:fill="EBE8E2" w:themeFill="background2"/>
        <w:rPr>
          <w:rStyle w:val="Bolditalic"/>
        </w:rPr>
      </w:pPr>
      <w:r>
        <w:rPr>
          <w:rStyle w:val="Bolditalic"/>
        </w:rPr>
        <w:t>An extract from a video created about a group of young men in Launceston, Tasmania. It was one of the Agency’s most viewed, shared and liked videos on social media. By the end of June 2016 about 25 000 people watched this video and the Facebook post reached more than 105 000 people.</w:t>
      </w:r>
    </w:p>
    <w:p w14:paraId="721CCB38" w14:textId="77777777" w:rsidR="005620BF" w:rsidRDefault="005620BF" w:rsidP="00F52D8B">
      <w:pPr>
        <w:pStyle w:val="Heading4"/>
      </w:pPr>
      <w:r>
        <w:t>Australian Capital Territory (ACT)</w:t>
      </w:r>
    </w:p>
    <w:p w14:paraId="55AD0CC4" w14:textId="77777777" w:rsidR="005620BF" w:rsidRDefault="005620BF" w:rsidP="005620BF">
      <w:pPr>
        <w:pStyle w:val="BodyCopy"/>
      </w:pPr>
      <w:r>
        <w:t>The ACT region continues to have the highest level of self-managed participants in the Scheme. The finance team and Local Area Coordination (LAC) team work closely with these participants to support their choice and control over their individual funding plans.</w:t>
      </w:r>
    </w:p>
    <w:p w14:paraId="6ACFAAEB" w14:textId="77777777" w:rsidR="005620BF" w:rsidRDefault="005620BF" w:rsidP="005620BF">
      <w:pPr>
        <w:pStyle w:val="BodyCopy"/>
      </w:pPr>
      <w:r>
        <w:t xml:space="preserve">The Agency office in the ACT has worked closely with a range of providers funded through the Sector Development Fund to raise awareness of the Scheme in the ACT as well as support hard-to-engage groups to engage in the planning process. Joint engagement in the community is undertaken including joint stalls at events and regular meetings to progress access and planning for individuals and families. This includes working with </w:t>
      </w:r>
      <w:proofErr w:type="spellStart"/>
      <w:r>
        <w:t>Gugan</w:t>
      </w:r>
      <w:proofErr w:type="spellEnd"/>
      <w:r>
        <w:t xml:space="preserve"> </w:t>
      </w:r>
      <w:proofErr w:type="spellStart"/>
      <w:r>
        <w:t>Gulwan</w:t>
      </w:r>
      <w:proofErr w:type="spellEnd"/>
      <w:r>
        <w:t xml:space="preserve">, an Aboriginal Youth Corporation which provides an outreach service to promote understanding and awareness about the Scheme among Aboriginal and Torres Strait Islander people across the ACT community; </w:t>
      </w:r>
      <w:r>
        <w:rPr>
          <w:rStyle w:val="Lightitalic"/>
        </w:rPr>
        <w:t>Your Voice Your Choice</w:t>
      </w:r>
      <w:r>
        <w:t xml:space="preserve">, a partnership of </w:t>
      </w:r>
      <w:proofErr w:type="spellStart"/>
      <w:r>
        <w:rPr>
          <w:rStyle w:val="Lightitalic"/>
        </w:rPr>
        <w:t>Wellways</w:t>
      </w:r>
      <w:proofErr w:type="spellEnd"/>
      <w:r>
        <w:t xml:space="preserve"> (Mental Illness Fellowship), </w:t>
      </w:r>
      <w:r>
        <w:rPr>
          <w:rStyle w:val="Lightitalic"/>
        </w:rPr>
        <w:t>Imagine More</w:t>
      </w:r>
      <w:r>
        <w:t xml:space="preserve"> and </w:t>
      </w:r>
      <w:r>
        <w:rPr>
          <w:rStyle w:val="Lightitalic"/>
        </w:rPr>
        <w:t>Community Connections</w:t>
      </w:r>
      <w:r>
        <w:t xml:space="preserve">. </w:t>
      </w:r>
    </w:p>
    <w:p w14:paraId="3BDCF2E8" w14:textId="77777777" w:rsidR="005620BF" w:rsidRDefault="005620BF" w:rsidP="005620BF">
      <w:pPr>
        <w:pStyle w:val="BodyCopy"/>
      </w:pPr>
      <w:r>
        <w:rPr>
          <w:rStyle w:val="Lightitalic"/>
        </w:rPr>
        <w:t>Your Voice Your Choice</w:t>
      </w:r>
      <w:r>
        <w:t xml:space="preserve"> offers targeted and innovative support to communities and individuals that might find it difficult to access information about the Scheme and supports them to navigate the process, including Aboriginal and Torres Strait Islander peoples, Culturally and Linguistically Diverse (CALD) communities, members of the gay, lesbian, bisexual, transgender and intersex (LGBTI) communities, families with young children and those that speak English as a second language. </w:t>
      </w:r>
    </w:p>
    <w:p w14:paraId="265F79BC" w14:textId="77777777" w:rsidR="005620BF" w:rsidRDefault="005620BF" w:rsidP="005620BF">
      <w:pPr>
        <w:pStyle w:val="BodyCopy"/>
      </w:pPr>
      <w:r>
        <w:t>The ACT has also successfully piloted the SLES program contributing to the development of the initiative for it to roll out across the country in 2015-16. The SLES program has supported many young people to think differently about their life after school and brought new providers to the employment arena in the ACT.</w:t>
      </w:r>
    </w:p>
    <w:p w14:paraId="37CDF7C4" w14:textId="77777777" w:rsidR="005620BF" w:rsidRDefault="005620BF" w:rsidP="00F52D8B">
      <w:pPr>
        <w:pStyle w:val="Heading4"/>
      </w:pPr>
      <w:r>
        <w:lastRenderedPageBreak/>
        <w:t>Western Australia (WA)</w:t>
      </w:r>
    </w:p>
    <w:p w14:paraId="73A6E534" w14:textId="77777777" w:rsidR="005620BF" w:rsidRDefault="005620BF" w:rsidP="005620BF">
      <w:pPr>
        <w:pStyle w:val="BodyCopy"/>
      </w:pPr>
      <w:r>
        <w:t xml:space="preserve">There has been significant focus on people living in psychiatric hostels in WA. Up to 135 people with psychosocial disability who are currently residing in five psychiatric hostels are being assisted to enter the Scheme. The project is supported by a collaboration of </w:t>
      </w:r>
      <w:proofErr w:type="spellStart"/>
      <w:r>
        <w:t>organisations</w:t>
      </w:r>
      <w:proofErr w:type="spellEnd"/>
      <w:r>
        <w:t xml:space="preserve"> working in the mental health sector. </w:t>
      </w:r>
    </w:p>
    <w:p w14:paraId="64B3F546" w14:textId="77777777" w:rsidR="005620BF" w:rsidRDefault="005620BF" w:rsidP="005620BF">
      <w:pPr>
        <w:pStyle w:val="BodyCopy"/>
      </w:pPr>
      <w:r>
        <w:t>A pilot project, the WA Planning Alliance, was implemented in the Perth Hills trial site during the second year of the trial offering greater choice to participants of providers who may assist them develop their NDIS Plans. The pilot project involved outsourcing components of the planning process to five service providers coordinated by lead agency Valued Lives. The Alliance project will finish in July 2016 and lessons will be documented and shared.</w:t>
      </w:r>
    </w:p>
    <w:p w14:paraId="66D56228" w14:textId="77777777" w:rsidR="005620BF" w:rsidRDefault="005620BF" w:rsidP="005620BF">
      <w:pPr>
        <w:pStyle w:val="BodyCopy"/>
      </w:pPr>
      <w:r>
        <w:t xml:space="preserve">The collaboration assists the trial site to engage with potential participants, determine access and develop and implement NDIS Plans. Almost two-thirds of potential participants have accessed the Scheme at 30 June 2016 and are now being supported to develop and implement their plans. The project will continue to bring people into the Scheme during 2016 and the lessons from this project will inform full Scheme rollout. </w:t>
      </w:r>
    </w:p>
    <w:p w14:paraId="23238FAB" w14:textId="77777777" w:rsidR="005620BF" w:rsidRDefault="005620BF" w:rsidP="005620BF">
      <w:pPr>
        <w:pStyle w:val="BodyCopy"/>
      </w:pPr>
      <w:r>
        <w:t>There has been considerable work on support coordination with participants and providers in WA. The development of Support Coordination as a funded support type within NDIS Plans, to assist people to implement their plan and manage their resources to effectively achieve their goals, is an important strategy to promote choice and control and build capacity.</w:t>
      </w:r>
    </w:p>
    <w:p w14:paraId="264B659E" w14:textId="77777777" w:rsidR="005620BF" w:rsidRDefault="005620BF" w:rsidP="005620BF">
      <w:pPr>
        <w:pStyle w:val="BodyCopy"/>
      </w:pPr>
      <w:r>
        <w:t>An outreach strategy has been implemented to provide information about the Scheme to eligible people living in the trial site area who have not previously been connected to disability services and offer assistance to access the Scheme.</w:t>
      </w:r>
    </w:p>
    <w:p w14:paraId="358637B7" w14:textId="77777777" w:rsidR="005620BF" w:rsidRDefault="005620BF" w:rsidP="003956D6">
      <w:pPr>
        <w:pStyle w:val="Heading4"/>
      </w:pPr>
      <w:r>
        <w:t>New South Wales (NSW) – the Hunter</w:t>
      </w:r>
    </w:p>
    <w:p w14:paraId="79142EBC" w14:textId="77777777" w:rsidR="005620BF" w:rsidRDefault="005620BF" w:rsidP="005620BF">
      <w:pPr>
        <w:pStyle w:val="BodyCopy"/>
      </w:pPr>
      <w:r>
        <w:t>In 2015-16 there has been a focus on attracting and supporting new providers to become registered providers, with particular focus on Indigenous communities.</w:t>
      </w:r>
    </w:p>
    <w:p w14:paraId="1651D889" w14:textId="77777777" w:rsidR="005620BF" w:rsidRDefault="005620BF" w:rsidP="005620BF">
      <w:pPr>
        <w:pStyle w:val="BodyCopy"/>
      </w:pPr>
      <w:r>
        <w:t xml:space="preserve">There was also a significant focus in the Hunter trial site on bringing new and phasing participants in to the Scheme and ensuring plan approvals were completed in a timely manner in order to meet the NSW bilateral target for the trial period. </w:t>
      </w:r>
    </w:p>
    <w:p w14:paraId="5CECCB85" w14:textId="77777777" w:rsidR="005620BF" w:rsidRDefault="005620BF" w:rsidP="005620BF">
      <w:pPr>
        <w:pStyle w:val="BodyCopy"/>
      </w:pPr>
      <w:r>
        <w:t xml:space="preserve">Additional resources have been allocated to participant engagement including connecting with people at mental health facilities, community services and shopping </w:t>
      </w:r>
      <w:proofErr w:type="spellStart"/>
      <w:r>
        <w:t>centres</w:t>
      </w:r>
      <w:proofErr w:type="spellEnd"/>
      <w:r>
        <w:t xml:space="preserve">. </w:t>
      </w:r>
    </w:p>
    <w:p w14:paraId="03489FA9" w14:textId="77777777" w:rsidR="005620BF" w:rsidRDefault="005620BF" w:rsidP="005620BF">
      <w:pPr>
        <w:pStyle w:val="BodyCopy"/>
      </w:pPr>
      <w:r>
        <w:t>The Agency’s Market Provider engagement team has been working with registered providers in Hunter New England and Central Coast to prepare for 1 July 2016 rollout in these areas. The team has also conducted monthly capacity building workshops for providers of support coordination since November 2015 and approximately 800 attendees participated in these workshops prior to 30 June 2016.</w:t>
      </w:r>
    </w:p>
    <w:p w14:paraId="1421D0EB" w14:textId="77777777" w:rsidR="005620BF" w:rsidRDefault="005620BF" w:rsidP="005620BF">
      <w:pPr>
        <w:pStyle w:val="BodyCopy"/>
      </w:pPr>
      <w:r>
        <w:t xml:space="preserve">Provider registration workshops have been held in Tamworth, </w:t>
      </w:r>
      <w:proofErr w:type="spellStart"/>
      <w:r>
        <w:t>Armidale</w:t>
      </w:r>
      <w:proofErr w:type="spellEnd"/>
      <w:r>
        <w:t xml:space="preserve">, Glen Innes, </w:t>
      </w:r>
      <w:proofErr w:type="spellStart"/>
      <w:r>
        <w:t>Moree</w:t>
      </w:r>
      <w:proofErr w:type="spellEnd"/>
      <w:r>
        <w:t xml:space="preserve">, </w:t>
      </w:r>
      <w:proofErr w:type="spellStart"/>
      <w:r>
        <w:t>Narrabri</w:t>
      </w:r>
      <w:proofErr w:type="spellEnd"/>
      <w:r>
        <w:t xml:space="preserve">, </w:t>
      </w:r>
      <w:proofErr w:type="spellStart"/>
      <w:r>
        <w:t>Taree</w:t>
      </w:r>
      <w:proofErr w:type="spellEnd"/>
      <w:r>
        <w:t>, Gosford and Woy Woy.</w:t>
      </w:r>
    </w:p>
    <w:p w14:paraId="70587587" w14:textId="77777777" w:rsidR="005620BF" w:rsidRDefault="005620BF" w:rsidP="005620BF">
      <w:pPr>
        <w:pStyle w:val="Heading4"/>
        <w:spacing w:after="0"/>
        <w:rPr>
          <w:sz w:val="26"/>
          <w:szCs w:val="26"/>
        </w:rPr>
      </w:pPr>
      <w:r>
        <w:rPr>
          <w:sz w:val="26"/>
          <w:szCs w:val="26"/>
        </w:rPr>
        <w:t>Early transition sites</w:t>
      </w:r>
    </w:p>
    <w:p w14:paraId="0CA1A8B1" w14:textId="77777777" w:rsidR="005620BF" w:rsidRDefault="005620BF" w:rsidP="003956D6">
      <w:pPr>
        <w:pStyle w:val="Heading4"/>
      </w:pPr>
      <w:r>
        <w:t>Queensland</w:t>
      </w:r>
    </w:p>
    <w:p w14:paraId="30D15077" w14:textId="77777777" w:rsidR="005620BF" w:rsidRDefault="005620BF" w:rsidP="005620BF">
      <w:pPr>
        <w:pStyle w:val="BodyCopy"/>
      </w:pPr>
      <w:r>
        <w:t>The Early Childhood Early Intervention (ECEI) approach was implemented in Townsville and Charters Towers at the commencement of the early transition of the Scheme. The Agency commissioned Uniting to be the ECEI partner and they have been delivering supports through a family-</w:t>
      </w:r>
      <w:proofErr w:type="spellStart"/>
      <w:r>
        <w:t>centred</w:t>
      </w:r>
      <w:proofErr w:type="spellEnd"/>
      <w:r>
        <w:t xml:space="preserve"> approach, which builds on family and </w:t>
      </w:r>
      <w:proofErr w:type="spellStart"/>
      <w:r>
        <w:t>carer</w:t>
      </w:r>
      <w:proofErr w:type="spellEnd"/>
      <w:r>
        <w:t xml:space="preserve"> strengths in order to improve the child’s developmental trajectory and overall quality of life.</w:t>
      </w:r>
    </w:p>
    <w:p w14:paraId="6908A79D" w14:textId="77777777" w:rsidR="005620BF" w:rsidRDefault="005620BF" w:rsidP="005620BF">
      <w:pPr>
        <w:pStyle w:val="BodyCopy"/>
      </w:pPr>
      <w:r>
        <w:t xml:space="preserve">The Agency </w:t>
      </w:r>
      <w:proofErr w:type="spellStart"/>
      <w:r>
        <w:t>recognises</w:t>
      </w:r>
      <w:proofErr w:type="spellEnd"/>
      <w:r>
        <w:t xml:space="preserve"> and respects that there are unique challenges within Indigenous communities and has approached the implementation of the Scheme on Palm Island in a culturally appropriate and sensitive way in line with the experience from the Barkly trial site. This has resulted in the recruitment of a trusted and respected member of the Palm Island Community to the Local Area Coordination (LAC) role and a </w:t>
      </w:r>
      <w:proofErr w:type="spellStart"/>
      <w:r>
        <w:t>personalised</w:t>
      </w:r>
      <w:proofErr w:type="spellEnd"/>
      <w:r>
        <w:t xml:space="preserve"> approach to engagement, participant readiness and planning. Recruitment of the Community Connector to support the LAC and build on the existing strengths of the community will complement this approach.</w:t>
      </w:r>
    </w:p>
    <w:p w14:paraId="0C132FB2" w14:textId="77777777" w:rsidR="005620BF" w:rsidRDefault="005620BF" w:rsidP="005620BF">
      <w:pPr>
        <w:pStyle w:val="BodyCopy"/>
      </w:pPr>
      <w:r>
        <w:lastRenderedPageBreak/>
        <w:t>A number of participant information forums were held in late 2015 in Townsville and Charters Towers. These sessions were jointly facilitated by Department of Communities, Child Safety and Disability Services (DCCSDS) and the Agency. These sessions provided a foundation for future pre-planning activities driven by the Agency to increase awareness of the Scheme. Following on from these sessions, the LACs facilitated a number of small group family readiness workshops in Townsville and Charters Towers in January 2016. Participants provided positive feedback including that the sessions were informative, the group size was good and people were more prepared to commence planning conversations.</w:t>
      </w:r>
    </w:p>
    <w:p w14:paraId="5719643A" w14:textId="77777777" w:rsidR="005620BF" w:rsidRDefault="005620BF" w:rsidP="005620BF">
      <w:pPr>
        <w:pStyle w:val="BodyCopy"/>
      </w:pPr>
      <w:r>
        <w:t>A local market assessment has been (May 2016) undertaken across the three local government areas by the Agency’s Market and Providers Division. Market capacity in Charters Towers and Palm Island is expected to be limited and may require further support from the Agency.</w:t>
      </w:r>
    </w:p>
    <w:p w14:paraId="0426F77D" w14:textId="77777777" w:rsidR="005620BF" w:rsidRDefault="005620BF" w:rsidP="005620BF">
      <w:pPr>
        <w:pStyle w:val="BodyCopy"/>
      </w:pPr>
      <w:r>
        <w:t xml:space="preserve">Service provider registration has commenced with a broad range and scope of providers now registered across local government areas. The assessment also includes Queensland market data collection and engagement with Queensland service providers. The review areas were chosen because of their potential impact on participants and service providers and are: </w:t>
      </w:r>
    </w:p>
    <w:p w14:paraId="65F137E5" w14:textId="77777777" w:rsidR="005620BF" w:rsidRDefault="005620BF" w:rsidP="005620BF">
      <w:pPr>
        <w:pStyle w:val="BodyBulletscopy"/>
      </w:pPr>
      <w:r>
        <w:t>supported independent living services</w:t>
      </w:r>
    </w:p>
    <w:p w14:paraId="71FA42F3" w14:textId="77777777" w:rsidR="005620BF" w:rsidRDefault="005620BF" w:rsidP="005620BF">
      <w:pPr>
        <w:pStyle w:val="BodyBulletscopy"/>
      </w:pPr>
      <w:r>
        <w:t xml:space="preserve">the suitability of current measures to </w:t>
      </w:r>
      <w:proofErr w:type="spellStart"/>
      <w:r>
        <w:t>recognise</w:t>
      </w:r>
      <w:proofErr w:type="spellEnd"/>
      <w:r>
        <w:t xml:space="preserve"> different support intensity and complexity requirements for individual participants as part of pricing arrangements</w:t>
      </w:r>
    </w:p>
    <w:p w14:paraId="28E760A9" w14:textId="77777777" w:rsidR="005620BF" w:rsidRDefault="005620BF" w:rsidP="005620BF">
      <w:pPr>
        <w:pStyle w:val="BodyBulletscopy"/>
      </w:pPr>
      <w:r>
        <w:t xml:space="preserve">prices and rules for group community-based and </w:t>
      </w:r>
      <w:proofErr w:type="spellStart"/>
      <w:r>
        <w:t>centre</w:t>
      </w:r>
      <w:proofErr w:type="spellEnd"/>
      <w:r>
        <w:t>-based support activities</w:t>
      </w:r>
    </w:p>
    <w:p w14:paraId="4F73FAF3" w14:textId="77777777" w:rsidR="005620BF" w:rsidRDefault="005620BF" w:rsidP="005620BF">
      <w:pPr>
        <w:pStyle w:val="BodyBulletscopy"/>
      </w:pPr>
      <w:r>
        <w:t>specialist disability accommodation</w:t>
      </w:r>
    </w:p>
    <w:p w14:paraId="2F6F2807" w14:textId="77777777" w:rsidR="005620BF" w:rsidRDefault="005620BF" w:rsidP="005620BF">
      <w:pPr>
        <w:pStyle w:val="BodyBullets-last"/>
      </w:pPr>
      <w:r>
        <w:t>pricing in remote areas.</w:t>
      </w:r>
    </w:p>
    <w:p w14:paraId="565F4FA9" w14:textId="34F6CAB2" w:rsidR="005620BF" w:rsidRDefault="005620BF" w:rsidP="005620BF">
      <w:pPr>
        <w:pStyle w:val="BodyCopy"/>
      </w:pPr>
      <w:r>
        <w:t xml:space="preserve">Significant engagement and communication activities have commenced with participants, providers, mainstream </w:t>
      </w:r>
      <w:proofErr w:type="spellStart"/>
      <w:r>
        <w:t>organisations</w:t>
      </w:r>
      <w:proofErr w:type="spellEnd"/>
      <w:r>
        <w:t xml:space="preserve"> and government agencies including community meetings, information sessions an</w:t>
      </w:r>
      <w:r w:rsidR="00021945">
        <w:t>d provider registration forums.</w:t>
      </w:r>
    </w:p>
    <w:p w14:paraId="0D147D70" w14:textId="77777777" w:rsidR="00021945" w:rsidRDefault="00021945" w:rsidP="001468AA">
      <w:pPr>
        <w:pStyle w:val="Heading4"/>
        <w:shd w:val="clear" w:color="auto" w:fill="EBE8E2" w:themeFill="background2"/>
      </w:pPr>
      <w:proofErr w:type="spellStart"/>
      <w:r>
        <w:t>Carers</w:t>
      </w:r>
      <w:proofErr w:type="spellEnd"/>
      <w:r>
        <w:t xml:space="preserve"> in Charters Towers and Townsville (Queensland) discuss getting NDIS Ready</w:t>
      </w:r>
    </w:p>
    <w:p w14:paraId="661CE89C" w14:textId="77777777" w:rsidR="00021945" w:rsidRPr="00622043" w:rsidRDefault="00021945" w:rsidP="001468AA">
      <w:pPr>
        <w:pStyle w:val="Heading5"/>
        <w:shd w:val="clear" w:color="auto" w:fill="EBE8E2" w:themeFill="background2"/>
      </w:pPr>
      <w:r w:rsidRPr="00622043">
        <w:t>Catherine</w:t>
      </w:r>
    </w:p>
    <w:p w14:paraId="7E1487FA" w14:textId="77777777" w:rsidR="00021945" w:rsidRDefault="00021945" w:rsidP="001468AA">
      <w:pPr>
        <w:pStyle w:val="BodyCopy"/>
        <w:shd w:val="clear" w:color="auto" w:fill="EBE8E2" w:themeFill="background2"/>
      </w:pPr>
      <w:r>
        <w:t xml:space="preserve">‘My name is Catherine, and I’m a kinship </w:t>
      </w:r>
      <w:proofErr w:type="spellStart"/>
      <w:r>
        <w:t>carer</w:t>
      </w:r>
      <w:proofErr w:type="spellEnd"/>
      <w:r>
        <w:t xml:space="preserve"> and a </w:t>
      </w:r>
      <w:proofErr w:type="spellStart"/>
      <w:r>
        <w:t>carer</w:t>
      </w:r>
      <w:proofErr w:type="spellEnd"/>
      <w:r>
        <w:t xml:space="preserve"> for my three brothers, my niece and nephew, and my son. The support I’ve been getting to guide me through the NDIS plan is from the </w:t>
      </w:r>
      <w:proofErr w:type="spellStart"/>
      <w:r>
        <w:t>neighbourhood</w:t>
      </w:r>
      <w:proofErr w:type="spellEnd"/>
      <w:r>
        <w:t xml:space="preserve"> </w:t>
      </w:r>
      <w:proofErr w:type="spellStart"/>
      <w:r>
        <w:t>centre</w:t>
      </w:r>
      <w:proofErr w:type="spellEnd"/>
      <w:r>
        <w:t xml:space="preserve">. With the NDIS you’re able to choose who you want. Being a </w:t>
      </w:r>
      <w:proofErr w:type="spellStart"/>
      <w:r>
        <w:t>carer</w:t>
      </w:r>
      <w:proofErr w:type="spellEnd"/>
      <w:r>
        <w:t xml:space="preserve"> and being a sister, a mother, and an auntie, my life is so busy. And now I’ve got the NDIS, I can relieve a little bit—still do what I have to, but I have that support. Because everyone is being looked after, I’m going to think about myself. My goal and my vision years ago was to become a nurse, a registered nurse. I left that nursing career to look after my family, and now I can get it back and start doing it. My big hope and my wish for them is to be looked after in the future. I’m ready to take back my career.’</w:t>
      </w:r>
    </w:p>
    <w:p w14:paraId="74B183D1" w14:textId="77777777" w:rsidR="00021945" w:rsidRDefault="00021945" w:rsidP="001468AA">
      <w:pPr>
        <w:pStyle w:val="Heading5"/>
        <w:shd w:val="clear" w:color="auto" w:fill="EBE8E2" w:themeFill="background2"/>
      </w:pPr>
      <w:r>
        <w:t>Jo</w:t>
      </w:r>
    </w:p>
    <w:p w14:paraId="715CB83A" w14:textId="7948DEE7" w:rsidR="00021945" w:rsidRPr="00021945" w:rsidRDefault="00021945" w:rsidP="001468AA">
      <w:pPr>
        <w:pStyle w:val="BodyCopy"/>
        <w:shd w:val="clear" w:color="auto" w:fill="EBE8E2" w:themeFill="background2"/>
        <w:rPr>
          <w:spacing w:val="-3"/>
        </w:rPr>
      </w:pPr>
      <w:r>
        <w:rPr>
          <w:spacing w:val="-3"/>
        </w:rPr>
        <w:t>‘My name is Jo and I’m Emma’s mother, and I am very proud of Emma. Emma is locally known as the ‘master shredder’. Emma has her own small business where she shreds confidential documents. When I first heard about the NDIS, the very heart of the NDIS was about inclusion; about being where people belonged, in their communities, working in it, living in it, engaging in it. So for me, I was like, wow! This is where we’re supposed to be! So as far as the NDIS ready goes, we’ve got a rough draft laid out. And for me, as her mum, I’m going to do whatever it takes to ensure that happens. I’m ready to get a life, when Emma’s life’s on track. We’re NDIS ready, we sure are!’</w:t>
      </w:r>
    </w:p>
    <w:p w14:paraId="217FEC4D" w14:textId="77777777" w:rsidR="005620BF" w:rsidRDefault="005620BF" w:rsidP="003956D6">
      <w:pPr>
        <w:pStyle w:val="Heading4"/>
      </w:pPr>
      <w:r>
        <w:lastRenderedPageBreak/>
        <w:t>New South Wales (NSW) – Nepean Blue Mountains</w:t>
      </w:r>
    </w:p>
    <w:p w14:paraId="4398FAA6" w14:textId="77777777" w:rsidR="005620BF" w:rsidRDefault="005620BF" w:rsidP="005620BF">
      <w:pPr>
        <w:pStyle w:val="BodyCopy"/>
      </w:pPr>
      <w:r>
        <w:t xml:space="preserve">Cooperation, collaboration and focus on the needs of 0 to </w:t>
      </w:r>
      <w:proofErr w:type="gramStart"/>
      <w:r>
        <w:t>17 year old</w:t>
      </w:r>
      <w:proofErr w:type="gramEnd"/>
      <w:r>
        <w:t xml:space="preserve"> age groups of participants were the ingredients of success for Nepean Blue Mountains. Potential gaps in service provision were identified early and an improved approach to early childhood intervention was formulated, in particular for those under six years old.</w:t>
      </w:r>
    </w:p>
    <w:p w14:paraId="5ED48061" w14:textId="77777777" w:rsidR="005620BF" w:rsidRDefault="005620BF" w:rsidP="005620BF">
      <w:pPr>
        <w:pStyle w:val="BodyCopy"/>
      </w:pPr>
      <w:r>
        <w:t xml:space="preserve">The Early Childhood Early Intervention (ECEI) approach was delivered through four contracted service providers in each of the local government areas, allowing children to be referred directly to a provider. This meant that the majority of the 335 children offered these services did not have direct contact with the Agency. The children integrated into mainstream early childhood settings and their parents were supported to assist the development of their child in natural environments. </w:t>
      </w:r>
    </w:p>
    <w:p w14:paraId="194DED6C" w14:textId="77777777" w:rsidR="005620BF" w:rsidRDefault="005620BF" w:rsidP="005620BF">
      <w:pPr>
        <w:pStyle w:val="BodyCopy"/>
      </w:pPr>
      <w:r>
        <w:t>The success of this venture is evidenced by the immediate outcomes for the children and their families and the intended introduction of a similar model across Australia as the Scheme rolls out during 2016-17.</w:t>
      </w:r>
    </w:p>
    <w:p w14:paraId="5D99F617" w14:textId="77777777" w:rsidR="005620BF" w:rsidRDefault="005620BF" w:rsidP="005620BF">
      <w:pPr>
        <w:pStyle w:val="BodyCopy"/>
      </w:pPr>
      <w:r>
        <w:t xml:space="preserve">In addition to the work in ECEI and early childhood generally, Early Childhood Intervention Australia (ECIA) NSW was assisted to obtain funding through the Sector Development Fund to undertake action research, to test what worked and where additional assistance was required for providers to adapt their business and service models to meet the needs of participants in the Scheme. </w:t>
      </w:r>
    </w:p>
    <w:p w14:paraId="7682B07C" w14:textId="77777777" w:rsidR="005620BF" w:rsidRDefault="005620BF" w:rsidP="005620BF">
      <w:pPr>
        <w:pStyle w:val="BodyCopy"/>
      </w:pPr>
      <w:r>
        <w:t>The Social Policy Research Centre at the University of NSW undertook the work on behalf of ECIA. With the cooperation of service providers, the medical profession and educational and health personnel, they were able to produce a seminal piece of research to assist early childhood providers to transition to Scheme in the coming years.</w:t>
      </w:r>
    </w:p>
    <w:p w14:paraId="0EB986FA" w14:textId="77777777" w:rsidR="005620BF" w:rsidRDefault="005620BF" w:rsidP="005620BF">
      <w:pPr>
        <w:pStyle w:val="BodyCopy"/>
      </w:pPr>
      <w:r>
        <w:t xml:space="preserve">Contracted arrangements for Community Connectors were </w:t>
      </w:r>
      <w:proofErr w:type="spellStart"/>
      <w:r>
        <w:t>trialled</w:t>
      </w:r>
      <w:proofErr w:type="spellEnd"/>
      <w:r>
        <w:t xml:space="preserve"> in the Nepean Blue Mountains. Uniting employed Community Connectors to assist families to apply for access, undertake pre-planning and then ensure that children’s plans were implemented. Many of the lessons from this initiative are being built in to </w:t>
      </w:r>
      <w:r>
        <w:br/>
        <w:t xml:space="preserve">the LAC arrangements nationwide for 2016-17. </w:t>
      </w:r>
    </w:p>
    <w:p w14:paraId="7E7BD718" w14:textId="77777777" w:rsidR="005620BF" w:rsidRDefault="005620BF" w:rsidP="005620BF">
      <w:pPr>
        <w:pStyle w:val="BodyCopy"/>
      </w:pPr>
      <w:r>
        <w:t xml:space="preserve">In addition to working closely with the Department of Family and Community Services NSW (FACS NSW), the Agency also worked closely with NSW Health, School Education, Juvenile Justice and Aboriginal Affairs. This resulted in a transition path being created for children on discharge from </w:t>
      </w:r>
      <w:proofErr w:type="spellStart"/>
      <w:r>
        <w:t>Westmead</w:t>
      </w:r>
      <w:proofErr w:type="spellEnd"/>
      <w:r>
        <w:t xml:space="preserve"> Children’s hospital. An experienced and suitably qualified Community Connector was available to assist families in accessing the Scheme where their child acquired a disability or had surgical intervention that required different disability supports post </w:t>
      </w:r>
      <w:proofErr w:type="spellStart"/>
      <w:r>
        <w:t>hospitalisation</w:t>
      </w:r>
      <w:proofErr w:type="spellEnd"/>
      <w:r>
        <w:t>. This is a likely future model for the transition of Scheme participants post diagnosis or treatment for the conditions that result in permanent significant disability.</w:t>
      </w:r>
    </w:p>
    <w:p w14:paraId="6FF7AF59" w14:textId="77777777" w:rsidR="005620BF" w:rsidRDefault="005620BF" w:rsidP="005620BF">
      <w:pPr>
        <w:pStyle w:val="BodyCopy"/>
      </w:pPr>
      <w:r>
        <w:t>The early work with Aboriginal Affairs will be built on in 2016-17 as staff from both Agencies work with the community to assess the potential impact of the Scheme on employment opportunities for local Aboriginal people.</w:t>
      </w:r>
    </w:p>
    <w:p w14:paraId="6FAB7F3E" w14:textId="060D874B" w:rsidR="00201499" w:rsidRDefault="008A032F" w:rsidP="008A032F">
      <w:pPr>
        <w:pStyle w:val="Heading1"/>
      </w:pPr>
      <w:bookmarkStart w:id="32" w:name="_Toc464482098"/>
      <w:r>
        <w:lastRenderedPageBreak/>
        <w:t>Delivering</w:t>
      </w:r>
      <w:r>
        <w:br/>
        <w:t>Growth and rollout</w:t>
      </w:r>
      <w:bookmarkEnd w:id="32"/>
    </w:p>
    <w:p w14:paraId="2E24B8FF" w14:textId="45BCCEA6" w:rsidR="000C439A" w:rsidRDefault="000C439A" w:rsidP="000C439A">
      <w:pPr>
        <w:pStyle w:val="Heading2"/>
      </w:pPr>
      <w:bookmarkStart w:id="33" w:name="_Toc464482099"/>
      <w:r>
        <w:lastRenderedPageBreak/>
        <w:t>A year of transition</w:t>
      </w:r>
      <w:bookmarkEnd w:id="33"/>
    </w:p>
    <w:p w14:paraId="51D9CFD3" w14:textId="77777777" w:rsidR="000C439A" w:rsidRDefault="000C439A" w:rsidP="000C439A">
      <w:pPr>
        <w:pStyle w:val="IntroPara"/>
      </w:pPr>
      <w:r>
        <w:t>The Agency has also spent time this year expanding in other ways to enable transition to full rollout.</w:t>
      </w:r>
    </w:p>
    <w:p w14:paraId="2C06AC8B" w14:textId="36ECA46E" w:rsidR="000C439A" w:rsidRDefault="000C439A" w:rsidP="000C439A">
      <w:pPr>
        <w:pStyle w:val="Heading3"/>
      </w:pPr>
      <w:r>
        <w:t xml:space="preserve">NDIS Ready </w:t>
      </w:r>
    </w:p>
    <w:p w14:paraId="171610A3" w14:textId="77777777" w:rsidR="000C439A" w:rsidRDefault="000C439A" w:rsidP="000C439A">
      <w:pPr>
        <w:pStyle w:val="CalloutmediumCallouts"/>
      </w:pPr>
      <w:r>
        <w:t xml:space="preserve">In May 2016, the Agency launched a communications campaign called NDIS Ready to raise community awareness about the Scheme and prepare people with disability, their families, carers, providers and the community for the full rollout from 1 July 2016. </w:t>
      </w:r>
    </w:p>
    <w:p w14:paraId="44890346" w14:textId="77777777" w:rsidR="000C439A" w:rsidRDefault="000C439A" w:rsidP="000C439A">
      <w:pPr>
        <w:pStyle w:val="BodyCopy"/>
      </w:pPr>
      <w:r>
        <w:t xml:space="preserve">The initiative also celebrated the successes of the Scheme to date and created a platform for people to publicly express their support for the new system. </w:t>
      </w:r>
    </w:p>
    <w:p w14:paraId="574F67E6" w14:textId="77777777" w:rsidR="000C439A" w:rsidRDefault="000C439A" w:rsidP="000C439A">
      <w:pPr>
        <w:pStyle w:val="BodyCopy"/>
        <w:rPr>
          <w:rFonts w:ascii="FSMePro-Bold" w:hAnsi="FSMePro-Bold" w:cs="FSMePro-Bold"/>
          <w:b/>
          <w:bCs/>
          <w:szCs w:val="20"/>
        </w:rPr>
      </w:pPr>
      <w:r>
        <w:t xml:space="preserve">NDIS Ready delivered and achieved outcomes across a range of key communication areas, including government relations, traditional media, social media and internal communications. </w:t>
      </w:r>
    </w:p>
    <w:p w14:paraId="08B4E959" w14:textId="77777777" w:rsidR="000C439A" w:rsidRDefault="000C439A" w:rsidP="000C439A">
      <w:pPr>
        <w:pStyle w:val="Heading4"/>
      </w:pPr>
      <w:r>
        <w:t xml:space="preserve">NDIS Ready activities in 2015-16 included: </w:t>
      </w:r>
    </w:p>
    <w:p w14:paraId="1F68A9B7" w14:textId="77777777" w:rsidR="000C439A" w:rsidRDefault="000C439A" w:rsidP="000C439A">
      <w:pPr>
        <w:pStyle w:val="BodyBullets"/>
      </w:pPr>
      <w:r>
        <w:t xml:space="preserve">A launch at Parliament House in Canberra with support from the Prime Minister, the Hon Malcolm Turnbull MP, and the Minister for Social Services, the Hon Christian Porter MP. This coincided with a briefing on the Scheme for Federal Government Members of Parliament whose electorates cover sites that transitioned into the Scheme from 1 July 2016. </w:t>
      </w:r>
    </w:p>
    <w:p w14:paraId="0D4395AB" w14:textId="77777777" w:rsidR="000C439A" w:rsidRDefault="000C439A" w:rsidP="000C439A">
      <w:pPr>
        <w:pStyle w:val="BodyBullets"/>
      </w:pPr>
      <w:r>
        <w:t xml:space="preserve">The development and promotion of key communication products, including animations, factsheets and booklets to help build awareness about the Scheme and prepare people to join the Scheme from 1 July 2016. These resources were also promoted by community and disability </w:t>
      </w:r>
      <w:proofErr w:type="spellStart"/>
      <w:r>
        <w:t>organisations</w:t>
      </w:r>
      <w:proofErr w:type="spellEnd"/>
      <w:r>
        <w:t xml:space="preserve"> across the country. </w:t>
      </w:r>
    </w:p>
    <w:p w14:paraId="74D17FD5" w14:textId="77777777" w:rsidR="000C439A" w:rsidRDefault="000C439A" w:rsidP="000C439A">
      <w:pPr>
        <w:pStyle w:val="BodyBullets"/>
      </w:pPr>
      <w:r>
        <w:t>Production of eight videos profiling participants and people getting ready to join the Scheme. Videos were promoted on the Agency’s social media YouTube channels and shared extensively. When combined, the top three videos released as part of NDIS Ready were watched around 50 000 times. Many of these stories have been retold in this report.</w:t>
      </w:r>
    </w:p>
    <w:p w14:paraId="24220FDB" w14:textId="77777777" w:rsidR="000C439A" w:rsidRDefault="000C439A" w:rsidP="000C439A">
      <w:pPr>
        <w:pStyle w:val="BodyBullets"/>
      </w:pPr>
      <w:r>
        <w:t xml:space="preserve">Strong and targeted community engagement through social media – individuals, </w:t>
      </w:r>
      <w:proofErr w:type="spellStart"/>
      <w:r>
        <w:t>organisations</w:t>
      </w:r>
      <w:proofErr w:type="spellEnd"/>
      <w:r>
        <w:t xml:space="preserve"> and community leaders from across Australia showed their support for the Scheme by posting photos of themselves holding the #</w:t>
      </w:r>
      <w:proofErr w:type="spellStart"/>
      <w:r>
        <w:t>ndisready</w:t>
      </w:r>
      <w:proofErr w:type="spellEnd"/>
      <w:r>
        <w:t xml:space="preserve"> sign and adding the ‘I love the NDIS’ image to their photos on social media. #</w:t>
      </w:r>
      <w:proofErr w:type="spellStart"/>
      <w:r>
        <w:t>ndisready</w:t>
      </w:r>
      <w:proofErr w:type="spellEnd"/>
      <w:r>
        <w:t xml:space="preserve"> was also used when posting information and tips about the Scheme online. This activity created a conversation about the Scheme on social media platforms, and helped reach more than 400 000 people in June 2016. </w:t>
      </w:r>
    </w:p>
    <w:p w14:paraId="49C7199A" w14:textId="77777777" w:rsidR="000C439A" w:rsidRDefault="000C439A" w:rsidP="000C439A">
      <w:pPr>
        <w:pStyle w:val="BodyBullets"/>
      </w:pPr>
      <w:r>
        <w:t xml:space="preserve">Development of an NDIS Ready communications toolkit to provide individuals and </w:t>
      </w:r>
      <w:proofErr w:type="spellStart"/>
      <w:r>
        <w:t>organisations</w:t>
      </w:r>
      <w:proofErr w:type="spellEnd"/>
      <w:r>
        <w:t xml:space="preserve"> with communication materials that can help spread the word about the Scheme across a range of communication channels. </w:t>
      </w:r>
    </w:p>
    <w:p w14:paraId="762E0900" w14:textId="77777777" w:rsidR="000C439A" w:rsidRDefault="000C439A" w:rsidP="000C439A">
      <w:pPr>
        <w:pStyle w:val="BodyBullets"/>
      </w:pPr>
      <w:r>
        <w:t xml:space="preserve">NDIS Ready information sessions for potential participants and providers were held in all new sites transitioning into the Scheme from </w:t>
      </w:r>
      <w:r>
        <w:br/>
        <w:t xml:space="preserve">1 July 2016. </w:t>
      </w:r>
    </w:p>
    <w:p w14:paraId="5F1C3FF5" w14:textId="77777777" w:rsidR="000C439A" w:rsidRDefault="000C439A" w:rsidP="000C439A">
      <w:pPr>
        <w:pStyle w:val="BodyBullets"/>
      </w:pPr>
      <w:r>
        <w:lastRenderedPageBreak/>
        <w:t>NDIS Ready events such as the Housing Innovation showcase in Melbourne and Sydney. There is more detail about these showcases on page 29.</w:t>
      </w:r>
    </w:p>
    <w:p w14:paraId="59CE76B0" w14:textId="77777777" w:rsidR="000C439A" w:rsidRDefault="000C439A" w:rsidP="000C439A">
      <w:pPr>
        <w:pStyle w:val="BodyBullets"/>
      </w:pPr>
      <w:r>
        <w:t xml:space="preserve">A briefing on NDIS Ready for CEOs of peak disability bodies and the development and distribution of a CEO’s NDIS Ready information pack. </w:t>
      </w:r>
    </w:p>
    <w:p w14:paraId="60AC3239" w14:textId="77777777" w:rsidR="000C439A" w:rsidRDefault="000C439A" w:rsidP="000C439A">
      <w:pPr>
        <w:pStyle w:val="BodyBullets"/>
      </w:pPr>
      <w:r>
        <w:t xml:space="preserve">Targeted internal communications, including an Agency staff photo competition, which received more than 100 entries from across Australia. The competition was a successful team-building exercise in a growing </w:t>
      </w:r>
      <w:proofErr w:type="spellStart"/>
      <w:r>
        <w:t>organisation</w:t>
      </w:r>
      <w:proofErr w:type="spellEnd"/>
      <w:r>
        <w:t>.</w:t>
      </w:r>
    </w:p>
    <w:p w14:paraId="490FB150" w14:textId="77777777" w:rsidR="000C439A" w:rsidRDefault="000C439A" w:rsidP="000C439A">
      <w:pPr>
        <w:pStyle w:val="BodyBullets-last"/>
      </w:pPr>
      <w:r>
        <w:t xml:space="preserve">NDIS Ready will continue to be used to raise awareness as new sites across Australia transition into the Scheme. </w:t>
      </w:r>
    </w:p>
    <w:p w14:paraId="487BE24E" w14:textId="0258D711" w:rsidR="002A3D3A" w:rsidRDefault="002A3D3A" w:rsidP="001468AA">
      <w:pPr>
        <w:pStyle w:val="Heading3"/>
        <w:shd w:val="clear" w:color="auto" w:fill="EBE8E2" w:themeFill="background2"/>
      </w:pPr>
      <w:r>
        <w:t>Getting NDIS Ready</w:t>
      </w:r>
    </w:p>
    <w:p w14:paraId="53A596C3" w14:textId="77777777" w:rsidR="002A3D3A" w:rsidRDefault="002A3D3A" w:rsidP="001468AA">
      <w:pPr>
        <w:shd w:val="clear" w:color="auto" w:fill="EBE8E2" w:themeFill="background2"/>
      </w:pPr>
      <w:r>
        <w:t xml:space="preserve">Future participant family Kathryn and Jamie </w:t>
      </w:r>
      <w:proofErr w:type="spellStart"/>
      <w:r>
        <w:t>Koay</w:t>
      </w:r>
      <w:proofErr w:type="spellEnd"/>
      <w:r>
        <w:t xml:space="preserve"> (Hobart, Tasmania) are planning for Jamie to enter the Scheme.</w:t>
      </w:r>
    </w:p>
    <w:p w14:paraId="12959B2C" w14:textId="77777777" w:rsidR="002A3D3A" w:rsidRDefault="002A3D3A" w:rsidP="001468AA">
      <w:pPr>
        <w:shd w:val="clear" w:color="auto" w:fill="EBE8E2" w:themeFill="background2"/>
      </w:pPr>
      <w:r>
        <w:t xml:space="preserve">‘We are at the planning stage, working out the right thing to put in the plan for Jamie’, said Kathryn. </w:t>
      </w:r>
    </w:p>
    <w:p w14:paraId="106EA2C8" w14:textId="77777777" w:rsidR="002A3D3A" w:rsidRDefault="002A3D3A" w:rsidP="001468AA">
      <w:pPr>
        <w:shd w:val="clear" w:color="auto" w:fill="EBE8E2" w:themeFill="background2"/>
      </w:pPr>
      <w:r>
        <w:t>‘In the future we hope Jamie’s going to have enough independent living skills to be able to go to a supported living house.</w:t>
      </w:r>
    </w:p>
    <w:p w14:paraId="7F67842E" w14:textId="77777777" w:rsidR="002A3D3A" w:rsidRDefault="002A3D3A" w:rsidP="001468AA">
      <w:pPr>
        <w:shd w:val="clear" w:color="auto" w:fill="EBE8E2" w:themeFill="background2"/>
      </w:pPr>
      <w:r>
        <w:t>‘We think it’s important as a young adult to have the opportunity for her to live in her own house, have her own friends, and hopefully one day she will have her own job—and to be satisfied with the way her life is going. She deserves the right to have her own life and friends—and deserves to have support navigating it.</w:t>
      </w:r>
    </w:p>
    <w:p w14:paraId="4146DB63" w14:textId="77777777" w:rsidR="002A3D3A" w:rsidRDefault="002A3D3A" w:rsidP="001468AA">
      <w:pPr>
        <w:shd w:val="clear" w:color="auto" w:fill="EBE8E2" w:themeFill="background2"/>
      </w:pPr>
      <w:r>
        <w:t>‘The NDIS is the enabler of that navigation. I’m hopeful that Jamie’s future will be much brighter because of what we will be able to access through NDIS.</w:t>
      </w:r>
    </w:p>
    <w:p w14:paraId="180F4D6B" w14:textId="565B3669" w:rsidR="002A3D3A" w:rsidRDefault="002A3D3A" w:rsidP="001468AA">
      <w:pPr>
        <w:shd w:val="clear" w:color="auto" w:fill="EBE8E2" w:themeFill="background2"/>
      </w:pPr>
      <w:r>
        <w:t>‘Opportunity will help decrease stress and anxiety in our family, we won’t be so worried about what’s happening, or the next thing that we will have to apply for, because we will have it planned out well ahead.’</w:t>
      </w:r>
    </w:p>
    <w:p w14:paraId="7A122685" w14:textId="15B35FCD" w:rsidR="000C439A" w:rsidRDefault="000C439A" w:rsidP="005C24D6">
      <w:pPr>
        <w:pStyle w:val="Heading3"/>
      </w:pPr>
      <w:r>
        <w:t>Building for the future</w:t>
      </w:r>
    </w:p>
    <w:p w14:paraId="255CC211" w14:textId="77777777" w:rsidR="000C439A" w:rsidRDefault="000C439A" w:rsidP="000C439A">
      <w:pPr>
        <w:pStyle w:val="BodyCopy"/>
      </w:pPr>
      <w:r>
        <w:t xml:space="preserve">It is important to remember that at this point in time, the Scheme is just beginning the important task of rollout across Australia. </w:t>
      </w:r>
    </w:p>
    <w:p w14:paraId="728DC27E" w14:textId="77777777" w:rsidR="000C439A" w:rsidRDefault="000C439A" w:rsidP="000C439A">
      <w:pPr>
        <w:pStyle w:val="BodyCopy"/>
      </w:pPr>
      <w:r>
        <w:t xml:space="preserve">As a result of strong governance, considerable review and reporting mechanisms exist to ensure the Agency continues to deliver the Scheme in a way that truly and positively impacts people with disability. </w:t>
      </w:r>
    </w:p>
    <w:p w14:paraId="436B3E14" w14:textId="77777777" w:rsidR="000C439A" w:rsidRDefault="000C439A" w:rsidP="000C439A">
      <w:pPr>
        <w:pStyle w:val="BodyCopy"/>
      </w:pPr>
      <w:r>
        <w:t xml:space="preserve">With a view to engaging 460 000 participants by 2020, the Agency will continue to listen to and learn from lived experience of the Scheme, and continually refine and improve the experience for participants and partners, as has already been demonstrated through the trial period. </w:t>
      </w:r>
    </w:p>
    <w:p w14:paraId="04396B19" w14:textId="77777777" w:rsidR="000C439A" w:rsidRDefault="000C439A" w:rsidP="000C439A">
      <w:pPr>
        <w:pStyle w:val="BodyCopy"/>
      </w:pPr>
      <w:r>
        <w:t>In the meantime, there will be an ongoing focus on:</w:t>
      </w:r>
    </w:p>
    <w:p w14:paraId="29CE4BCA" w14:textId="4DC57A46" w:rsidR="000C439A" w:rsidRDefault="000C439A" w:rsidP="000C439A">
      <w:pPr>
        <w:pStyle w:val="BodyBulletscopy"/>
      </w:pPr>
      <w:r>
        <w:t>the ways that supports can be provided to participants through new technologies</w:t>
      </w:r>
    </w:p>
    <w:p w14:paraId="6A3E5694" w14:textId="77777777" w:rsidR="000C439A" w:rsidRDefault="000C439A" w:rsidP="000C439A">
      <w:pPr>
        <w:pStyle w:val="BodyBulletscopy"/>
      </w:pPr>
      <w:r>
        <w:t xml:space="preserve">data gathering to measure and report on social and economic outcomes </w:t>
      </w:r>
    </w:p>
    <w:p w14:paraId="748C4F91" w14:textId="77777777" w:rsidR="000C439A" w:rsidRDefault="000C439A" w:rsidP="000C439A">
      <w:pPr>
        <w:pStyle w:val="BodyBulletscopy"/>
      </w:pPr>
      <w:r>
        <w:t>market position statements and other demand research to encourage market development</w:t>
      </w:r>
    </w:p>
    <w:p w14:paraId="45D56BC8" w14:textId="77777777" w:rsidR="000C439A" w:rsidRDefault="000C439A" w:rsidP="000C439A">
      <w:pPr>
        <w:pStyle w:val="BodyBulletscopy"/>
      </w:pPr>
      <w:r>
        <w:t>progressively removing price and other transitionary market controls where possible</w:t>
      </w:r>
    </w:p>
    <w:p w14:paraId="2794A61C" w14:textId="77777777" w:rsidR="000C439A" w:rsidRDefault="000C439A" w:rsidP="000C439A">
      <w:pPr>
        <w:pStyle w:val="BodyBullets-last"/>
      </w:pPr>
      <w:r>
        <w:t>opportunities to enhance the employment market nationally.</w:t>
      </w:r>
    </w:p>
    <w:p w14:paraId="0CB53A78" w14:textId="77777777" w:rsidR="000C439A" w:rsidRDefault="000C439A" w:rsidP="000C439A">
      <w:pPr>
        <w:pStyle w:val="BodyCopy"/>
      </w:pPr>
      <w:r>
        <w:t xml:space="preserve">As participants access the supports they need to live an ordinary life or join the workforce, they will consequently rely less on families and </w:t>
      </w:r>
      <w:proofErr w:type="spellStart"/>
      <w:r>
        <w:t>carers</w:t>
      </w:r>
      <w:proofErr w:type="spellEnd"/>
      <w:r>
        <w:t xml:space="preserve">—who will then also have greater opportunity to participate in employment. Jobs will be created in </w:t>
      </w:r>
      <w:r>
        <w:lastRenderedPageBreak/>
        <w:t xml:space="preserve">the disability sector and its partner </w:t>
      </w:r>
      <w:proofErr w:type="spellStart"/>
      <w:r>
        <w:t>organisations</w:t>
      </w:r>
      <w:proofErr w:type="spellEnd"/>
      <w:r>
        <w:t xml:space="preserve">. Mainstream businesses and </w:t>
      </w:r>
      <w:proofErr w:type="spellStart"/>
      <w:r>
        <w:t>organisations</w:t>
      </w:r>
      <w:proofErr w:type="spellEnd"/>
      <w:r>
        <w:t xml:space="preserve"> will also have greater capacity and understanding of the benefits of this important reform.</w:t>
      </w:r>
    </w:p>
    <w:p w14:paraId="613F43A4" w14:textId="0FC5B9A4" w:rsidR="00AF004E" w:rsidRDefault="00AF004E" w:rsidP="00844A75">
      <w:pPr>
        <w:pStyle w:val="Heading2"/>
      </w:pPr>
      <w:bookmarkStart w:id="34" w:name="_Toc464482100"/>
      <w:r>
        <w:lastRenderedPageBreak/>
        <w:t>A process of continuous improvement</w:t>
      </w:r>
      <w:bookmarkEnd w:id="34"/>
      <w:r>
        <w:t xml:space="preserve"> </w:t>
      </w:r>
    </w:p>
    <w:p w14:paraId="5312D2A7" w14:textId="2CA3B850" w:rsidR="00AF004E" w:rsidRDefault="00AF004E" w:rsidP="00AF004E">
      <w:pPr>
        <w:pStyle w:val="IntroPara"/>
      </w:pPr>
      <w:r>
        <w:t>Two pieces of work developed over 2015-16 that will continue to assist with achieving participant outcomes and financial sustainability are the development of the reference packages</w:t>
      </w:r>
      <w:r w:rsidR="00653118">
        <w:t>, first planning</w:t>
      </w:r>
      <w:r>
        <w:t xml:space="preserve"> and an Outcomes Framework.</w:t>
      </w:r>
    </w:p>
    <w:p w14:paraId="142835F9" w14:textId="51C2394A" w:rsidR="00AF004E" w:rsidRDefault="00AF004E" w:rsidP="00844A75">
      <w:pPr>
        <w:pStyle w:val="Heading3"/>
      </w:pPr>
      <w:r>
        <w:t>Reference packages</w:t>
      </w:r>
      <w:r w:rsidR="00107D29">
        <w:t xml:space="preserve"> and first plans</w:t>
      </w:r>
    </w:p>
    <w:p w14:paraId="65AB5B1C" w14:textId="77777777" w:rsidR="00AF004E" w:rsidRDefault="00AF004E" w:rsidP="00AF004E">
      <w:pPr>
        <w:pStyle w:val="BodyCopy"/>
      </w:pPr>
      <w:r>
        <w:t>Reference packages are being developed to assist with detailed monitoring of Scheme experience, including analysis of potential cost drivers. Reference packages will also allow a referential link between resource allocation to individual participants (that is, the amount of funded support provided to each individual participant) and the overall funding envelope.</w:t>
      </w:r>
    </w:p>
    <w:p w14:paraId="79D33036" w14:textId="77777777" w:rsidR="00AF004E" w:rsidRDefault="00AF004E" w:rsidP="00AF004E">
      <w:pPr>
        <w:pStyle w:val="BodyCopy"/>
      </w:pPr>
      <w:r>
        <w:t>A pilot of the reference packages commenced in February 2015 and data has now been collected for around 16 500 participants.</w:t>
      </w:r>
    </w:p>
    <w:p w14:paraId="35ED8F2A" w14:textId="77777777" w:rsidR="00AF004E" w:rsidRDefault="00AF004E" w:rsidP="00AF004E">
      <w:pPr>
        <w:pStyle w:val="BodyCopy"/>
      </w:pPr>
      <w:r>
        <w:t>Reference package amounts depend on age, disability type, and level of function, as measured by the chosen assessment tools.</w:t>
      </w:r>
    </w:p>
    <w:p w14:paraId="759A085C" w14:textId="5787A71C" w:rsidR="00AF004E" w:rsidRDefault="00AF004E" w:rsidP="00AF004E">
      <w:pPr>
        <w:pStyle w:val="BodyCopy"/>
      </w:pPr>
      <w:r>
        <w:t>Piloting of the reference package tools will inform the work that is being undertaken to refine the tools, and help with resource allocation.</w:t>
      </w:r>
      <w:r w:rsidR="0091446E" w:rsidRPr="0091446E">
        <w:rPr>
          <w:rFonts w:ascii="Helvetica" w:hAnsi="Helvetica" w:cs="Helvetica"/>
          <w:color w:val="000000"/>
          <w:szCs w:val="20"/>
        </w:rPr>
        <w:t xml:space="preserve"> </w:t>
      </w:r>
      <w:r w:rsidR="0091446E" w:rsidRPr="0091446E">
        <w:t>The first plan process builds on the reference packages. The first plan process asks questions across eight domains to refine the reference packages to form ea</w:t>
      </w:r>
      <w:r w:rsidR="0091446E">
        <w:t>ch participant's first plan.</w:t>
      </w:r>
    </w:p>
    <w:p w14:paraId="71801076" w14:textId="77C60225" w:rsidR="00AF004E" w:rsidRDefault="00AF004E" w:rsidP="006507E1">
      <w:pPr>
        <w:pStyle w:val="Heading3"/>
      </w:pPr>
      <w:r>
        <w:t>Reference packages progress in 2015-16</w:t>
      </w:r>
    </w:p>
    <w:p w14:paraId="59047182" w14:textId="77777777" w:rsidR="00AF004E" w:rsidRDefault="00AF004E" w:rsidP="006507E1">
      <w:pPr>
        <w:pStyle w:val="Heading4"/>
      </w:pPr>
      <w:r>
        <w:t>Expert Reference Panel</w:t>
      </w:r>
    </w:p>
    <w:p w14:paraId="1A835EC5" w14:textId="77777777" w:rsidR="00AF004E" w:rsidRDefault="00AF004E" w:rsidP="00AF004E">
      <w:pPr>
        <w:pStyle w:val="BodyCopy"/>
      </w:pPr>
      <w:r>
        <w:t>The Expert Reference Panel met for the first time in May 2016 and significant progress has been made on the development of reference groups and typical support packages for participants with psychosocial disability. A second meeting of the Expert Reference Panel is to be scheduled when further data analysis is complete.</w:t>
      </w:r>
    </w:p>
    <w:p w14:paraId="3CD77D8A" w14:textId="77777777" w:rsidR="00AF004E" w:rsidRDefault="00AF004E" w:rsidP="006507E1">
      <w:pPr>
        <w:pStyle w:val="Heading4"/>
      </w:pPr>
      <w:r>
        <w:t xml:space="preserve">Level of function data collection </w:t>
      </w:r>
    </w:p>
    <w:p w14:paraId="31F7E609" w14:textId="77777777" w:rsidR="00AF004E" w:rsidRDefault="00AF004E" w:rsidP="00AF004E">
      <w:pPr>
        <w:pStyle w:val="BodyCopy"/>
      </w:pPr>
      <w:r>
        <w:t>Planning teams have been trained to use tools and processes for collecting information about participants’ level of function. Where information on new participants is difficult or not possible for the access teams to collect, planners will collect and enter the data at the planning stage. In addition, NDIS Planners are also collecting data at the time of a scheduled plan review for existing participants.</w:t>
      </w:r>
    </w:p>
    <w:p w14:paraId="0E40A504" w14:textId="77777777" w:rsidR="00AF004E" w:rsidRDefault="00AF004E" w:rsidP="00AF004E">
      <w:pPr>
        <w:pStyle w:val="BodyCopy"/>
      </w:pPr>
      <w:r>
        <w:t>At 30 June 2016, data had been collected for around 16 500 participants about their level of function—or perhaps more accurately, severity of impairment. This will allow these participants to be placed in a reference group and their plan compared with the reference package. These participants represent around 46 per cent of those registered in the Scheme to-date.</w:t>
      </w:r>
    </w:p>
    <w:p w14:paraId="61073157" w14:textId="77777777" w:rsidR="00AF004E" w:rsidRDefault="00AF004E" w:rsidP="00AF004E">
      <w:pPr>
        <w:pStyle w:val="BodyCopy"/>
      </w:pPr>
      <w:r>
        <w:t>Training in PEDI-CAT tool was completed in 2016 to assist in the capture of function information for participants aged 0 to 20 years. The rate of collection for participants with developmental delay and global developmental delay should increase with the use of the PEDI-CAT.</w:t>
      </w:r>
    </w:p>
    <w:p w14:paraId="6BFCBADB" w14:textId="7627490F" w:rsidR="00AF004E" w:rsidRDefault="00AF004E" w:rsidP="00B05BED">
      <w:pPr>
        <w:pStyle w:val="Heading3"/>
        <w:shd w:val="clear" w:color="auto" w:fill="EBE8E2" w:themeFill="background2"/>
      </w:pPr>
      <w:r>
        <w:rPr>
          <w:rStyle w:val="White"/>
        </w:rPr>
        <w:t>Introduction of the PEDI-CAT tool for children</w:t>
      </w:r>
    </w:p>
    <w:p w14:paraId="5999651C" w14:textId="77777777" w:rsidR="00AF004E" w:rsidRDefault="00AF004E" w:rsidP="00B05BED">
      <w:pPr>
        <w:pStyle w:val="BodyCopyREV"/>
        <w:shd w:val="clear" w:color="auto" w:fill="EBE8E2" w:themeFill="background2"/>
      </w:pPr>
      <w:r>
        <w:t xml:space="preserve">The </w:t>
      </w:r>
      <w:proofErr w:type="spellStart"/>
      <w:r>
        <w:t>Paediatric</w:t>
      </w:r>
      <w:proofErr w:type="spellEnd"/>
      <w:r>
        <w:t xml:space="preserve"> Evaluation of Disability Inventory (PEDI) is a wide-ranging assessment used by physical and occupational therapists, including rehabilitation and educational professionals. The assessment is conducted through an interview with the child’s caregiver and/or other significant individuals, such as a teacher. </w:t>
      </w:r>
    </w:p>
    <w:p w14:paraId="6CC8BF42" w14:textId="77777777" w:rsidR="00AF004E" w:rsidRDefault="00AF004E" w:rsidP="00B05BED">
      <w:pPr>
        <w:pStyle w:val="BodyCopyREV"/>
        <w:shd w:val="clear" w:color="auto" w:fill="EBE8E2" w:themeFill="background2"/>
      </w:pPr>
      <w:r>
        <w:lastRenderedPageBreak/>
        <w:t xml:space="preserve">The PEDI-CAT is a new computer adaptive testing version of the PEDI. The PEDI-CAT software uses a computer algorithm that aims to </w:t>
      </w:r>
      <w:proofErr w:type="spellStart"/>
      <w:r>
        <w:t>minimise</w:t>
      </w:r>
      <w:proofErr w:type="spellEnd"/>
      <w:r>
        <w:t xml:space="preserve"> the number of questions required to estimate a child’s abilities. It is done on an iPad or computer and typically takes around 15 minutes, making it significantly shorter than other functional assessments, reducing the impact on parents and care-givers.</w:t>
      </w:r>
    </w:p>
    <w:p w14:paraId="6C5E29E1" w14:textId="77777777" w:rsidR="00AF004E" w:rsidRDefault="00AF004E" w:rsidP="00B05BED">
      <w:pPr>
        <w:pStyle w:val="BodyCopyREV"/>
        <w:shd w:val="clear" w:color="auto" w:fill="EBE8E2" w:themeFill="background2"/>
      </w:pPr>
      <w:r>
        <w:t>As at 30 June 2016, PEDI-CAT data had been collected for 4142 participants, ranging from 0 to 18 years of age, from SA, Victoria, ACT, NSW (Hunter and Nepean Blue Mountains) and WA sites. This sample will be used to determine PEDI-CAT’s appropriateness for the assessment of participants in the Scheme—in particular, its ability to provide a spectrum of level of function to use in monitoring Scheme participants and their costs. In addition, it was hoped that the PEDI-CAT could provide a means of evaluating the effectiveness of support over a participant’s lifetime and help to determine the appropriate support to suit their needs.</w:t>
      </w:r>
    </w:p>
    <w:p w14:paraId="737993F2" w14:textId="1F96DA69" w:rsidR="00AF004E" w:rsidRDefault="00AF004E" w:rsidP="00152951">
      <w:pPr>
        <w:pStyle w:val="Heading3"/>
      </w:pPr>
      <w:r>
        <w:t xml:space="preserve">Outcomes Framework </w:t>
      </w:r>
    </w:p>
    <w:p w14:paraId="1A2DAAD2" w14:textId="77777777" w:rsidR="00AF004E" w:rsidRDefault="00AF004E" w:rsidP="00AF004E">
      <w:pPr>
        <w:pStyle w:val="BodyCopy"/>
      </w:pPr>
      <w:r>
        <w:t xml:space="preserve">Considerable work has been done over 2015-16 to develop an Outcomes Framework for measuring the outcomes of the support experienced by participants and their </w:t>
      </w:r>
      <w:proofErr w:type="spellStart"/>
      <w:r>
        <w:t>carers</w:t>
      </w:r>
      <w:proofErr w:type="spellEnd"/>
      <w:r>
        <w:t>. The development of the Outcomes Framework considers how outcomes can be measured at a broader level of the Scheme, as well as at the individual level.</w:t>
      </w:r>
    </w:p>
    <w:p w14:paraId="64FEF029" w14:textId="77777777" w:rsidR="00AF004E" w:rsidRDefault="00AF004E" w:rsidP="00AF004E">
      <w:pPr>
        <w:pStyle w:val="BodyCopy"/>
      </w:pPr>
      <w:r>
        <w:t>The development of this framework has involved consideration of a number of domestic and international frameworks, and has included consultations with a range of experts and stakeholders, including the Independent Advisory Council (IAC or the Council).</w:t>
      </w:r>
    </w:p>
    <w:p w14:paraId="235045BD" w14:textId="77777777" w:rsidR="00AF004E" w:rsidRDefault="00AF004E" w:rsidP="00AF004E">
      <w:pPr>
        <w:pStyle w:val="BodyCopy"/>
      </w:pPr>
      <w:r>
        <w:t xml:space="preserve">Once </w:t>
      </w:r>
      <w:proofErr w:type="spellStart"/>
      <w:r>
        <w:t>finalised</w:t>
      </w:r>
      <w:proofErr w:type="spellEnd"/>
      <w:r>
        <w:t>, the Outcomes Framework will include eight specific areas of participant experience (known as participant domains) as well as outcomes related specifically to families.</w:t>
      </w:r>
    </w:p>
    <w:p w14:paraId="0AFF06EC" w14:textId="77777777" w:rsidR="00AF004E" w:rsidRDefault="00AF004E" w:rsidP="00AF004E">
      <w:pPr>
        <w:pStyle w:val="BodyCopy"/>
        <w:rPr>
          <w:rStyle w:val="Bold"/>
        </w:rPr>
      </w:pPr>
      <w:r>
        <w:rPr>
          <w:rStyle w:val="Bold"/>
        </w:rPr>
        <w:t>The eight participant domains are:</w:t>
      </w:r>
    </w:p>
    <w:p w14:paraId="74B93385" w14:textId="77777777" w:rsidR="00AF004E" w:rsidRDefault="00AF004E" w:rsidP="00D60D1E">
      <w:pPr>
        <w:pStyle w:val="BodyBullets"/>
        <w:rPr>
          <w:rStyle w:val="Bold-White"/>
        </w:rPr>
      </w:pPr>
      <w:r>
        <w:rPr>
          <w:rStyle w:val="Bold-White"/>
        </w:rPr>
        <w:t xml:space="preserve">choice and control </w:t>
      </w:r>
    </w:p>
    <w:p w14:paraId="7FFA6076" w14:textId="77777777" w:rsidR="00AF004E" w:rsidRDefault="00AF004E" w:rsidP="00D60D1E">
      <w:pPr>
        <w:pStyle w:val="BodyBullets"/>
        <w:rPr>
          <w:rStyle w:val="Bold-White"/>
        </w:rPr>
      </w:pPr>
      <w:r>
        <w:rPr>
          <w:rStyle w:val="Bold-White"/>
        </w:rPr>
        <w:t xml:space="preserve">daily activities </w:t>
      </w:r>
    </w:p>
    <w:p w14:paraId="4353857B" w14:textId="77777777" w:rsidR="00AF004E" w:rsidRDefault="00AF004E" w:rsidP="00D60D1E">
      <w:pPr>
        <w:pStyle w:val="BodyBullets"/>
        <w:rPr>
          <w:rStyle w:val="Bold-White"/>
        </w:rPr>
      </w:pPr>
      <w:r>
        <w:rPr>
          <w:rStyle w:val="Bold-White"/>
        </w:rPr>
        <w:t>relationships</w:t>
      </w:r>
    </w:p>
    <w:p w14:paraId="763487D6" w14:textId="77777777" w:rsidR="00AF004E" w:rsidRDefault="00AF004E" w:rsidP="00D60D1E">
      <w:pPr>
        <w:pStyle w:val="BodyBullets"/>
        <w:rPr>
          <w:rStyle w:val="Bold-White"/>
        </w:rPr>
      </w:pPr>
      <w:r>
        <w:rPr>
          <w:rStyle w:val="Bold-White"/>
        </w:rPr>
        <w:t xml:space="preserve">home </w:t>
      </w:r>
    </w:p>
    <w:p w14:paraId="584C19DF" w14:textId="77777777" w:rsidR="00AF004E" w:rsidRDefault="00AF004E" w:rsidP="00D60D1E">
      <w:pPr>
        <w:pStyle w:val="BodyBullets"/>
        <w:rPr>
          <w:rStyle w:val="Bold-White"/>
        </w:rPr>
      </w:pPr>
      <w:r>
        <w:rPr>
          <w:rStyle w:val="Bold-White"/>
        </w:rPr>
        <w:t xml:space="preserve">health and wellbeing </w:t>
      </w:r>
    </w:p>
    <w:p w14:paraId="7A896709" w14:textId="77777777" w:rsidR="00AF004E" w:rsidRDefault="00AF004E" w:rsidP="00D60D1E">
      <w:pPr>
        <w:pStyle w:val="BodyBullets"/>
        <w:rPr>
          <w:rStyle w:val="Bold-White"/>
        </w:rPr>
      </w:pPr>
      <w:r>
        <w:rPr>
          <w:rStyle w:val="Bold-White"/>
        </w:rPr>
        <w:t>lifelong learning</w:t>
      </w:r>
    </w:p>
    <w:p w14:paraId="0442BB1C" w14:textId="77777777" w:rsidR="00AF004E" w:rsidRDefault="00AF004E" w:rsidP="00D60D1E">
      <w:pPr>
        <w:pStyle w:val="BodyBullets"/>
        <w:rPr>
          <w:rStyle w:val="Bold-White"/>
        </w:rPr>
      </w:pPr>
      <w:r>
        <w:rPr>
          <w:rStyle w:val="Bold-White"/>
        </w:rPr>
        <w:t>work</w:t>
      </w:r>
    </w:p>
    <w:p w14:paraId="0F10D7F3" w14:textId="77777777" w:rsidR="00AF004E" w:rsidRDefault="00AF004E" w:rsidP="00D60D1E">
      <w:pPr>
        <w:pStyle w:val="BodyBullets"/>
        <w:rPr>
          <w:rStyle w:val="Bold-White"/>
        </w:rPr>
      </w:pPr>
      <w:r>
        <w:rPr>
          <w:rStyle w:val="Bold-White"/>
        </w:rPr>
        <w:t>social, community and civic participation.</w:t>
      </w:r>
    </w:p>
    <w:p w14:paraId="1439304A" w14:textId="77777777" w:rsidR="00AF004E" w:rsidRDefault="00AF004E" w:rsidP="00AF004E">
      <w:pPr>
        <w:pStyle w:val="BodyCopy"/>
        <w:spacing w:before="227"/>
      </w:pPr>
      <w:r>
        <w:t xml:space="preserve">The Outcomes Framework was piloted in the first </w:t>
      </w:r>
      <w:r>
        <w:rPr>
          <w:spacing w:val="-5"/>
        </w:rPr>
        <w:t xml:space="preserve">three months of 2015. The results of the pilot, along </w:t>
      </w:r>
      <w:r>
        <w:rPr>
          <w:spacing w:val="-4"/>
        </w:rPr>
        <w:t xml:space="preserve">with feedback from consultation with the disability </w:t>
      </w:r>
      <w:r>
        <w:t>sector, are being used to improve the framework.</w:t>
      </w:r>
    </w:p>
    <w:p w14:paraId="70FE4465" w14:textId="77777777" w:rsidR="00AF004E" w:rsidRDefault="00AF004E" w:rsidP="00D60D1E">
      <w:pPr>
        <w:pStyle w:val="Heading4"/>
      </w:pPr>
      <w:r>
        <w:t xml:space="preserve">Measuring outcomes of the Scheme for people with disability </w:t>
      </w:r>
    </w:p>
    <w:p w14:paraId="6592DBC3" w14:textId="77777777" w:rsidR="00AF004E" w:rsidRDefault="00AF004E" w:rsidP="00AF004E">
      <w:pPr>
        <w:pStyle w:val="BodyCopy"/>
      </w:pPr>
      <w:r>
        <w:t xml:space="preserve">A key aim of the Scheme is to assist people with disability to live ‘an ordinary life’. That is to fully </w:t>
      </w:r>
      <w:proofErr w:type="spellStart"/>
      <w:r>
        <w:t>realise</w:t>
      </w:r>
      <w:proofErr w:type="spellEnd"/>
      <w:r>
        <w:t xml:space="preserve"> their potential, to participate in and contribute to society, and to have a say in their own future—similar to other members of Australian society. The Scheme also involves families and </w:t>
      </w:r>
      <w:proofErr w:type="spellStart"/>
      <w:r>
        <w:t>carers</w:t>
      </w:r>
      <w:proofErr w:type="spellEnd"/>
      <w:r>
        <w:t xml:space="preserve">, respecting their role whilst supporting them to achieve their goals by providing certainty of support for people with disability. These aims are embedded in the Scheme’s legislation. The Agency is responsible for measuring and reporting on the Scheme’s success against these aims. </w:t>
      </w:r>
    </w:p>
    <w:p w14:paraId="4E05B875" w14:textId="77777777" w:rsidR="00AF004E" w:rsidRDefault="00AF004E" w:rsidP="00AF004E">
      <w:pPr>
        <w:pStyle w:val="BodyCopy"/>
      </w:pPr>
      <w:r>
        <w:lastRenderedPageBreak/>
        <w:t xml:space="preserve">The Scheme’s new Outcomes Framework has been developed to measure the medium and long-term benefits of the Scheme to participants, families and </w:t>
      </w:r>
      <w:proofErr w:type="spellStart"/>
      <w:r>
        <w:t>carers</w:t>
      </w:r>
      <w:proofErr w:type="spellEnd"/>
      <w:r>
        <w:t>.</w:t>
      </w:r>
    </w:p>
    <w:p w14:paraId="4C823A91" w14:textId="77777777" w:rsidR="00AF004E" w:rsidRPr="00D60D1E" w:rsidRDefault="00AF004E" w:rsidP="00D60D1E">
      <w:pPr>
        <w:rPr>
          <w:rStyle w:val="Bold"/>
        </w:rPr>
      </w:pPr>
      <w:r w:rsidRPr="00D60D1E">
        <w:rPr>
          <w:rStyle w:val="Bold"/>
        </w:rPr>
        <w:t xml:space="preserve">The Outcomes Framework is based on information from participants and families and </w:t>
      </w:r>
      <w:proofErr w:type="spellStart"/>
      <w:r w:rsidRPr="00D60D1E">
        <w:rPr>
          <w:rStyle w:val="Bold"/>
        </w:rPr>
        <w:t>carers</w:t>
      </w:r>
      <w:proofErr w:type="spellEnd"/>
      <w:r w:rsidRPr="00D60D1E">
        <w:rPr>
          <w:rStyle w:val="Bold"/>
        </w:rPr>
        <w:t xml:space="preserve"> on how they are progressing in different areas of their lives through a series of questions, or surveys. </w:t>
      </w:r>
    </w:p>
    <w:p w14:paraId="3B0DB341" w14:textId="77777777" w:rsidR="00AF004E" w:rsidRDefault="00AF004E" w:rsidP="00AF004E">
      <w:pPr>
        <w:pStyle w:val="BodyCopy"/>
      </w:pPr>
      <w:r>
        <w:t xml:space="preserve">The Outcomes Framework will allow tracking of participant and Scheme progress over time, and demonstrate how participants are faring relative to other Australians and other OECD countries. It will also contribute to an understanding of what types of supports lead to good outcomes for people with disability, their families and </w:t>
      </w:r>
      <w:proofErr w:type="spellStart"/>
      <w:r>
        <w:t>carers</w:t>
      </w:r>
      <w:proofErr w:type="spellEnd"/>
      <w:r>
        <w:t>.</w:t>
      </w:r>
    </w:p>
    <w:p w14:paraId="17A291A4" w14:textId="77777777" w:rsidR="00AF004E" w:rsidRDefault="00AF004E" w:rsidP="00AF004E">
      <w:pPr>
        <w:pStyle w:val="BodyCopy"/>
      </w:pPr>
      <w:r>
        <w:t>While the primary purpose of the pilot study of the Outcomes Framework was to assess the validity of the questions used in the surveys, some early trends were observed.</w:t>
      </w:r>
    </w:p>
    <w:p w14:paraId="52BA0FED" w14:textId="77777777" w:rsidR="00AF004E" w:rsidRDefault="00AF004E" w:rsidP="00AF004E">
      <w:pPr>
        <w:pStyle w:val="BodyCopy"/>
      </w:pPr>
      <w:r>
        <w:t xml:space="preserve">For example, the study showed that the Scheme is making a difference to the lives of participants and their families and </w:t>
      </w:r>
      <w:proofErr w:type="spellStart"/>
      <w:r>
        <w:t>carers</w:t>
      </w:r>
      <w:proofErr w:type="spellEnd"/>
      <w:r>
        <w:t>, particularly in the areas of choice and control and daily living activities.</w:t>
      </w:r>
    </w:p>
    <w:p w14:paraId="4701DEA6" w14:textId="77777777" w:rsidR="00AF004E" w:rsidRDefault="00AF004E" w:rsidP="00AF004E">
      <w:pPr>
        <w:pStyle w:val="BodyCopy"/>
      </w:pPr>
      <w:r>
        <w:t>The Agency will also use the Outcomes Framework to identify areas that need targeted strategies to ensure the Scheme continues to deliver for people with disability.</w:t>
      </w:r>
    </w:p>
    <w:p w14:paraId="2DC76132" w14:textId="77777777" w:rsidR="00AF004E" w:rsidRDefault="00AF004E" w:rsidP="000147CF">
      <w:pPr>
        <w:pStyle w:val="Heading4"/>
      </w:pPr>
      <w:r>
        <w:t>Development of the Outcomes Framework</w:t>
      </w:r>
    </w:p>
    <w:p w14:paraId="54E87B4D" w14:textId="77777777" w:rsidR="00AF004E" w:rsidRDefault="00AF004E" w:rsidP="00AF004E">
      <w:pPr>
        <w:pStyle w:val="BodyCopy"/>
      </w:pPr>
      <w:r>
        <w:t>Development of the Outcomes Framework was guided by some basic principles, including that the indicators should be meaningful, informative, and feasible to collect and report.</w:t>
      </w:r>
    </w:p>
    <w:p w14:paraId="75CF2564" w14:textId="77777777" w:rsidR="00AF004E" w:rsidRDefault="00AF004E" w:rsidP="00AF004E">
      <w:pPr>
        <w:pStyle w:val="BodyCopy"/>
      </w:pPr>
      <w:r>
        <w:t>A comprehensive review of other national and international frameworks was undertaken, together with an extensive consultation and co-design process that involved people with disability, IAC and CEO forum (CEOs of major providers, peak bodies and advocacy groups), disability researchers, experts working with specific cohorts (such as Aboriginal and Torres Strait Islanders and Culturally and Linguistically Diverse (CALD) communities), and intellectual disability experts.</w:t>
      </w:r>
    </w:p>
    <w:p w14:paraId="26DA672A" w14:textId="77777777" w:rsidR="00AF004E" w:rsidRDefault="00AF004E" w:rsidP="00AF004E">
      <w:pPr>
        <w:pStyle w:val="BodyCopy"/>
      </w:pPr>
      <w:r>
        <w:t>Almost 400 interviews were conducted during the pilot study, and the information collected was used to refine the questionnaires and inform implementation strategies. Once refined, the questionnaires were called short form versions, and these were used for the pilot study of the Outcomes Framework.</w:t>
      </w:r>
    </w:p>
    <w:p w14:paraId="23B47739" w14:textId="77777777" w:rsidR="00AF004E" w:rsidRDefault="00AF004E" w:rsidP="000147CF">
      <w:pPr>
        <w:pStyle w:val="Heading4"/>
      </w:pPr>
      <w:r>
        <w:t>An example of key results from the pilot study of the Outcomes Framework</w:t>
      </w:r>
    </w:p>
    <w:p w14:paraId="5D4E8BB0" w14:textId="77777777" w:rsidR="00AF004E" w:rsidRDefault="00AF004E" w:rsidP="00AF004E">
      <w:pPr>
        <w:pStyle w:val="BodyCopy"/>
      </w:pPr>
      <w:r>
        <w:t xml:space="preserve">Collection of the short form Outcomes Framework questionnaire for all participants commenced in November 2015 and by 26 June 2016, 13 290 questionnaires had been received for participants and 10 566 for family members or </w:t>
      </w:r>
      <w:proofErr w:type="spellStart"/>
      <w:r>
        <w:t>carers</w:t>
      </w:r>
      <w:proofErr w:type="spellEnd"/>
      <w:r>
        <w:t xml:space="preserve">. These questionnaires are currently being </w:t>
      </w:r>
      <w:proofErr w:type="spellStart"/>
      <w:r>
        <w:t>analysed</w:t>
      </w:r>
      <w:proofErr w:type="spellEnd"/>
      <w:r>
        <w:t>.</w:t>
      </w:r>
    </w:p>
    <w:p w14:paraId="2951D1CE" w14:textId="77777777" w:rsidR="00AF004E" w:rsidRDefault="00AF004E" w:rsidP="00AF004E">
      <w:pPr>
        <w:pStyle w:val="BodyCopy"/>
      </w:pPr>
      <w:r>
        <w:t xml:space="preserve">The graph following details key results from the 25 to </w:t>
      </w:r>
      <w:proofErr w:type="gramStart"/>
      <w:r>
        <w:t>55 year</w:t>
      </w:r>
      <w:proofErr w:type="gramEnd"/>
      <w:r>
        <w:t xml:space="preserve"> age group analysis. The graph </w:t>
      </w:r>
      <w:proofErr w:type="spellStart"/>
      <w:r>
        <w:t>summarises</w:t>
      </w:r>
      <w:proofErr w:type="spellEnd"/>
      <w:r>
        <w:t xml:space="preserve"> responses to the final question from each domain. For example, for the adult choice and control domain, the final question was ‘Has the Scheme helped you have more choices and more control over your life?’ Possible responses were ‘It’s my first plan’, ‘Yes’ or ‘No’. Since the Scheme would not have had a real opportunity to help participants in their first plan, results show the percentage of respondents who thought the Scheme had helped, after excluding those who said they were in their first plan.</w:t>
      </w:r>
    </w:p>
    <w:p w14:paraId="42EA90C5" w14:textId="77777777" w:rsidR="00AF004E" w:rsidRDefault="00AF004E" w:rsidP="000147CF">
      <w:pPr>
        <w:pStyle w:val="Heading4"/>
      </w:pPr>
      <w:r>
        <w:t>Participants aged 25 to 55</w:t>
      </w:r>
    </w:p>
    <w:p w14:paraId="3BC0B39A" w14:textId="77777777" w:rsidR="00AF004E" w:rsidRDefault="00AF004E" w:rsidP="00AF004E">
      <w:pPr>
        <w:pStyle w:val="BodyCopy"/>
      </w:pPr>
      <w:r>
        <w:t>Responses to this question were most positive for Domain 1 (choice and control), where 76 per cent believed the Scheme had helped, followed by Domain 2 (daily living) and Domain 5 (health and wellbeing).</w:t>
      </w:r>
    </w:p>
    <w:p w14:paraId="356373FD" w14:textId="2D56840B" w:rsidR="00AF004E" w:rsidRDefault="00AF004E" w:rsidP="000147CF">
      <w:r>
        <w:t xml:space="preserve">A full report has been prepared detailing analysis of the responses to each question in the Outcomes Framework questionnaires and this can be viewed on the </w:t>
      </w:r>
      <w:hyperlink r:id="rId9" w:history="1">
        <w:r w:rsidRPr="00B05BED">
          <w:rPr>
            <w:rStyle w:val="Hyperlink"/>
          </w:rPr>
          <w:t>NDIS website</w:t>
        </w:r>
      </w:hyperlink>
      <w:r w:rsidR="00B05BED">
        <w:rPr>
          <w:rStyle w:val="FootnoteReference"/>
        </w:rPr>
        <w:footnoteReference w:id="3"/>
      </w:r>
      <w:r w:rsidR="00B05BED">
        <w:t>.</w:t>
      </w:r>
    </w:p>
    <w:p w14:paraId="42F28C47" w14:textId="16D7828E" w:rsidR="00EE1B7B" w:rsidRPr="00EE1B7B" w:rsidRDefault="00EE1B7B" w:rsidP="00B05BED">
      <w:pPr>
        <w:pStyle w:val="Heading3"/>
        <w:shd w:val="clear" w:color="auto" w:fill="EBE8E2" w:themeFill="background2"/>
      </w:pPr>
      <w:r w:rsidRPr="00EE1B7B">
        <w:lastRenderedPageBreak/>
        <w:t xml:space="preserve">Vanessa McCallum, mother of participant </w:t>
      </w:r>
      <w:proofErr w:type="spellStart"/>
      <w:r w:rsidRPr="00EE1B7B">
        <w:t>Tayla</w:t>
      </w:r>
      <w:proofErr w:type="spellEnd"/>
      <w:r w:rsidRPr="00EE1B7B">
        <w:t xml:space="preserve"> McCallum explains her family’s hopes and dreams within the Scheme.</w:t>
      </w:r>
    </w:p>
    <w:p w14:paraId="6DFC4759" w14:textId="3CC5B823" w:rsidR="00EE1B7B" w:rsidRPr="00EE1B7B" w:rsidRDefault="00EE1B7B" w:rsidP="00B05BED">
      <w:pPr>
        <w:pStyle w:val="IntroPara"/>
        <w:shd w:val="clear" w:color="auto" w:fill="EBE8E2" w:themeFill="background2"/>
      </w:pPr>
      <w:r w:rsidRPr="00EE1B7B">
        <w:t>‘Last year as a family we were trying to work out what our ‘normal’ was. Now, we have a sense of what our ‘normal’ is, it is our character’, said Vanessa.</w:t>
      </w:r>
    </w:p>
    <w:p w14:paraId="024A0D15" w14:textId="77777777" w:rsidR="00EE1B7B" w:rsidRPr="00EE1B7B" w:rsidRDefault="00EE1B7B" w:rsidP="00B05BED">
      <w:pPr>
        <w:shd w:val="clear" w:color="auto" w:fill="EBE8E2" w:themeFill="background2"/>
      </w:pPr>
      <w:r w:rsidRPr="00EE1B7B">
        <w:t xml:space="preserve">‘And, a lot of that has been brought about by </w:t>
      </w:r>
      <w:proofErr w:type="spellStart"/>
      <w:r w:rsidRPr="00EE1B7B">
        <w:t>Tayla’s</w:t>
      </w:r>
      <w:proofErr w:type="spellEnd"/>
      <w:r w:rsidRPr="00EE1B7B">
        <w:t xml:space="preserve"> increased independence and she contributes to the family in ways that we didn’t </w:t>
      </w:r>
      <w:proofErr w:type="spellStart"/>
      <w:r w:rsidRPr="00EE1B7B">
        <w:t>realise</w:t>
      </w:r>
      <w:proofErr w:type="spellEnd"/>
      <w:r w:rsidRPr="00EE1B7B">
        <w:t xml:space="preserve"> she could. </w:t>
      </w:r>
      <w:proofErr w:type="spellStart"/>
      <w:r w:rsidRPr="00EE1B7B">
        <w:t>Tayla’s</w:t>
      </w:r>
      <w:proofErr w:type="spellEnd"/>
      <w:r w:rsidRPr="00EE1B7B">
        <w:t xml:space="preserve"> had some amazing strides in her walking. </w:t>
      </w:r>
    </w:p>
    <w:p w14:paraId="6DE499E5" w14:textId="77777777" w:rsidR="00EE1B7B" w:rsidRPr="00EE1B7B" w:rsidRDefault="00EE1B7B" w:rsidP="00B05BED">
      <w:pPr>
        <w:shd w:val="clear" w:color="auto" w:fill="EBE8E2" w:themeFill="background2"/>
      </w:pPr>
      <w:r w:rsidRPr="00EE1B7B">
        <w:t xml:space="preserve">‘When </w:t>
      </w:r>
      <w:proofErr w:type="spellStart"/>
      <w:r w:rsidRPr="00EE1B7B">
        <w:t>Tayla</w:t>
      </w:r>
      <w:proofErr w:type="spellEnd"/>
      <w:r w:rsidRPr="00EE1B7B">
        <w:t xml:space="preserve"> now gets on a school bus or goes to school holiday programs, she actually walks out the house, very happy and confidently. She steps into the car herself, which for </w:t>
      </w:r>
      <w:proofErr w:type="spellStart"/>
      <w:r w:rsidRPr="00EE1B7B">
        <w:t>Tayla</w:t>
      </w:r>
      <w:proofErr w:type="spellEnd"/>
      <w:r w:rsidRPr="00EE1B7B">
        <w:t xml:space="preserve"> is a very strong feeling of being able to do something herself. </w:t>
      </w:r>
    </w:p>
    <w:p w14:paraId="75F0DA08" w14:textId="77777777" w:rsidR="00EE1B7B" w:rsidRPr="00EE1B7B" w:rsidRDefault="00EE1B7B" w:rsidP="00B05BED">
      <w:pPr>
        <w:shd w:val="clear" w:color="auto" w:fill="EBE8E2" w:themeFill="background2"/>
      </w:pPr>
      <w:r w:rsidRPr="00EE1B7B">
        <w:t xml:space="preserve">‘One of the things NDIA have put in place for us is funding to have a case coordinator. It’s really important having a coordinator like Val as ultimately when </w:t>
      </w:r>
      <w:proofErr w:type="spellStart"/>
      <w:r w:rsidRPr="00EE1B7B">
        <w:t>Tayla</w:t>
      </w:r>
      <w:proofErr w:type="spellEnd"/>
      <w:r w:rsidRPr="00EE1B7B">
        <w:t xml:space="preserve"> enters adulthood we want her plan driven directly by herself. And, we’re not going to live forever!</w:t>
      </w:r>
    </w:p>
    <w:p w14:paraId="33E94EC8" w14:textId="77777777" w:rsidR="00EE1B7B" w:rsidRPr="00EE1B7B" w:rsidRDefault="00EE1B7B" w:rsidP="00B05BED">
      <w:pPr>
        <w:shd w:val="clear" w:color="auto" w:fill="EBE8E2" w:themeFill="background2"/>
      </w:pPr>
      <w:r w:rsidRPr="00EE1B7B">
        <w:t xml:space="preserve">‘A very long term goal, but we really believe in it for </w:t>
      </w:r>
      <w:proofErr w:type="spellStart"/>
      <w:r w:rsidRPr="00EE1B7B">
        <w:t>Tayla</w:t>
      </w:r>
      <w:proofErr w:type="spellEnd"/>
      <w:r w:rsidRPr="00EE1B7B">
        <w:t xml:space="preserve">, is talking. </w:t>
      </w:r>
    </w:p>
    <w:p w14:paraId="18801B76" w14:textId="77777777" w:rsidR="00EE1B7B" w:rsidRPr="00EE1B7B" w:rsidRDefault="00EE1B7B" w:rsidP="00B05BED">
      <w:pPr>
        <w:shd w:val="clear" w:color="auto" w:fill="EBE8E2" w:themeFill="background2"/>
      </w:pPr>
      <w:r w:rsidRPr="00EE1B7B">
        <w:t xml:space="preserve">‘No matter how much our </w:t>
      </w:r>
      <w:proofErr w:type="spellStart"/>
      <w:r w:rsidRPr="00EE1B7B">
        <w:t>carers</w:t>
      </w:r>
      <w:proofErr w:type="spellEnd"/>
      <w:r w:rsidRPr="00EE1B7B">
        <w:t xml:space="preserve"> and therapists and schools try and learn some key signs, there’s nothing quite like if </w:t>
      </w:r>
      <w:proofErr w:type="spellStart"/>
      <w:r w:rsidRPr="00EE1B7B">
        <w:t>Tayla</w:t>
      </w:r>
      <w:proofErr w:type="spellEnd"/>
      <w:r w:rsidRPr="00EE1B7B">
        <w:t xml:space="preserve"> can actually explain her needs through speech, instead of having some cards for people to know. </w:t>
      </w:r>
    </w:p>
    <w:p w14:paraId="7A9DD16A" w14:textId="05AA3851" w:rsidR="00EE1B7B" w:rsidRDefault="00EE1B7B" w:rsidP="00B05BED">
      <w:pPr>
        <w:shd w:val="clear" w:color="auto" w:fill="EBE8E2" w:themeFill="background2"/>
      </w:pPr>
      <w:r w:rsidRPr="00EE1B7B">
        <w:t>‘That would be wonderful.’</w:t>
      </w:r>
    </w:p>
    <w:p w14:paraId="4ADFBCDD" w14:textId="3C4E7BD1" w:rsidR="000A7A48" w:rsidRDefault="000A7A48" w:rsidP="000A7A48">
      <w:pPr>
        <w:pStyle w:val="Heading1"/>
      </w:pPr>
      <w:bookmarkStart w:id="35" w:name="_Toc464482101"/>
      <w:r>
        <w:lastRenderedPageBreak/>
        <w:t>The Agency’s people and culture</w:t>
      </w:r>
      <w:bookmarkEnd w:id="35"/>
    </w:p>
    <w:p w14:paraId="33668531" w14:textId="756A4ABB" w:rsidR="004D645B" w:rsidRDefault="004D645B" w:rsidP="004D645B">
      <w:pPr>
        <w:pStyle w:val="Heading2"/>
      </w:pPr>
      <w:bookmarkStart w:id="36" w:name="_Toc464482102"/>
      <w:r>
        <w:lastRenderedPageBreak/>
        <w:t>A strong network</w:t>
      </w:r>
      <w:bookmarkEnd w:id="36"/>
      <w:r>
        <w:t xml:space="preserve"> </w:t>
      </w:r>
    </w:p>
    <w:p w14:paraId="7F106869" w14:textId="07F05D10" w:rsidR="004D645B" w:rsidRDefault="004D645B" w:rsidP="004D645B">
      <w:pPr>
        <w:pStyle w:val="IntroPara"/>
      </w:pPr>
      <w:r>
        <w:t xml:space="preserve">The Agency </w:t>
      </w:r>
      <w:proofErr w:type="spellStart"/>
      <w:r>
        <w:t>recognises</w:t>
      </w:r>
      <w:proofErr w:type="spellEnd"/>
      <w:r>
        <w:t xml:space="preserve"> that a strong network of staff and business partners will contribute to its success.</w:t>
      </w:r>
    </w:p>
    <w:p w14:paraId="33828C84" w14:textId="77777777" w:rsidR="004D645B" w:rsidRDefault="004D645B" w:rsidP="004D645B">
      <w:pPr>
        <w:pStyle w:val="BodyCopy"/>
      </w:pPr>
      <w:r>
        <w:t>Agency staff and partners work across state and territory boundaries and throughout rural and remote regions. People are recruited, supported and valued</w:t>
      </w:r>
      <w:r>
        <w:rPr>
          <w:rFonts w:ascii="MS Mincho" w:eastAsia="MS Mincho" w:hAnsi="MS Mincho" w:cs="MS Mincho"/>
        </w:rPr>
        <w:t> </w:t>
      </w:r>
      <w:r>
        <w:t xml:space="preserve">for their unique skills and experiences. The Agency is building on its strong culture of people working together and values learning, collaboration and professionalism. United leadership and consistent messages help to support Agency staff and partners to clearly understand how they are contributing to the delivery of the Scheme’s goals and outcomes. </w:t>
      </w:r>
    </w:p>
    <w:p w14:paraId="32556DE9" w14:textId="77777777" w:rsidR="004D645B" w:rsidRDefault="004D645B" w:rsidP="004D645B">
      <w:pPr>
        <w:pStyle w:val="BodyCopy"/>
      </w:pPr>
      <w:r>
        <w:t xml:space="preserve">The Agency has a commitment to invest in people working together to deliver quality service and foster a culture of high performance. The Agency will: </w:t>
      </w:r>
    </w:p>
    <w:p w14:paraId="126641D7" w14:textId="77777777" w:rsidR="004D645B" w:rsidRDefault="004D645B" w:rsidP="004D645B">
      <w:pPr>
        <w:pStyle w:val="BodyBullets"/>
      </w:pPr>
      <w:r>
        <w:rPr>
          <w:spacing w:val="-5"/>
        </w:rPr>
        <w:t xml:space="preserve">establish a capable, national network and support </w:t>
      </w:r>
      <w:r>
        <w:t xml:space="preserve">skillful, passionate, positive leaders where people understand their role and impact </w:t>
      </w:r>
    </w:p>
    <w:p w14:paraId="77F87F70" w14:textId="77777777" w:rsidR="004D645B" w:rsidRDefault="004D645B" w:rsidP="004D645B">
      <w:pPr>
        <w:pStyle w:val="BodyBullets"/>
      </w:pPr>
      <w:r>
        <w:t xml:space="preserve">be the employer of choice for people with disability, demonstrating to the community the value and insight that people with disability can bring to an </w:t>
      </w:r>
      <w:proofErr w:type="spellStart"/>
      <w:r>
        <w:t>organisation</w:t>
      </w:r>
      <w:proofErr w:type="spellEnd"/>
    </w:p>
    <w:p w14:paraId="133DDD95" w14:textId="77777777" w:rsidR="004D645B" w:rsidRDefault="004D645B" w:rsidP="004D645B">
      <w:pPr>
        <w:pStyle w:val="BodyBullets"/>
      </w:pPr>
      <w:r>
        <w:t>link performance and values through an empathic service culture to improve outcomes and participant experiences</w:t>
      </w:r>
    </w:p>
    <w:p w14:paraId="476A5433" w14:textId="77777777" w:rsidR="004D645B" w:rsidRDefault="004D645B" w:rsidP="004D645B">
      <w:pPr>
        <w:pStyle w:val="BodyBullets-last"/>
      </w:pPr>
      <w:r>
        <w:t>ensure integrated people, processes and technology deliver value and better respond to meet community expectations.</w:t>
      </w:r>
    </w:p>
    <w:p w14:paraId="552D15C6" w14:textId="77777777" w:rsidR="004D645B" w:rsidRDefault="004D645B" w:rsidP="004D645B">
      <w:pPr>
        <w:pStyle w:val="BodyCopy"/>
      </w:pPr>
      <w:r>
        <w:t xml:space="preserve">The way the Agency’s people and partner staff approach their work and interact with each other and the community they serve is important. The Agency’s values and </w:t>
      </w:r>
      <w:proofErr w:type="spellStart"/>
      <w:r>
        <w:t>behaviours</w:t>
      </w:r>
      <w:proofErr w:type="spellEnd"/>
      <w:r>
        <w:t xml:space="preserve"> reflect the expectation that everyone involved in the delivery of the Scheme will act with integrity, respect and empathy. </w:t>
      </w:r>
    </w:p>
    <w:p w14:paraId="3DA92053" w14:textId="322AF52F" w:rsidR="004D645B" w:rsidRDefault="004D645B" w:rsidP="00C03F4C">
      <w:pPr>
        <w:pStyle w:val="Heading3"/>
        <w:shd w:val="clear" w:color="auto" w:fill="EBE8E2" w:themeFill="background2"/>
        <w:rPr>
          <w:rStyle w:val="White"/>
        </w:rPr>
      </w:pPr>
      <w:r>
        <w:rPr>
          <w:rStyle w:val="White"/>
        </w:rPr>
        <w:t>Sharyn Craven, Agency employee and Scheme participant</w:t>
      </w:r>
    </w:p>
    <w:p w14:paraId="1C49F05D" w14:textId="77777777" w:rsidR="004D645B" w:rsidRDefault="004D645B" w:rsidP="00C03F4C">
      <w:pPr>
        <w:pStyle w:val="BodyCopyREV"/>
        <w:shd w:val="clear" w:color="auto" w:fill="EBE8E2" w:themeFill="background2"/>
        <w:spacing w:before="85" w:after="0"/>
      </w:pPr>
      <w:r>
        <w:t>Sharyn became a quadriplegic after a pool diving accident in 1989 but is determined to live an ordinary life, both personally and professionally.</w:t>
      </w:r>
    </w:p>
    <w:p w14:paraId="5B96DBF4" w14:textId="77777777" w:rsidR="004D645B" w:rsidRDefault="004D645B" w:rsidP="00C03F4C">
      <w:pPr>
        <w:pStyle w:val="BodyCopyREV"/>
        <w:shd w:val="clear" w:color="auto" w:fill="EBE8E2" w:themeFill="background2"/>
        <w:spacing w:before="85" w:after="0"/>
      </w:pPr>
      <w:r>
        <w:t xml:space="preserve">Sharyn says, ‘For me an ordinary life is being able to access employment and being able to get around the workplace independently. So, that’s just like anyone else, who can come into work and make themselves a cup of coffee and go to their desk, log onto their computer and do their work—that’s the exact expectation that I have when I come to work. </w:t>
      </w:r>
    </w:p>
    <w:p w14:paraId="4580F403" w14:textId="77777777" w:rsidR="004D645B" w:rsidRDefault="004D645B" w:rsidP="00C03F4C">
      <w:pPr>
        <w:pStyle w:val="BodyCopyREV"/>
        <w:shd w:val="clear" w:color="auto" w:fill="EBE8E2" w:themeFill="background2"/>
        <w:spacing w:before="85" w:after="0"/>
      </w:pPr>
      <w:r>
        <w:t>‘It’s about choice and control as well, of doing what I want to do, when I want to do it. Just like anyone else who has a choice to go to a work function or participate in a community activity, or go to the football or go to the tennis, or go to a concert or whatever.</w:t>
      </w:r>
    </w:p>
    <w:p w14:paraId="37F90B6E" w14:textId="1AEB3E8E" w:rsidR="004D645B" w:rsidRDefault="004D645B" w:rsidP="00C03F4C">
      <w:pPr>
        <w:pStyle w:val="BodyCopyREV"/>
        <w:shd w:val="clear" w:color="auto" w:fill="EBE8E2" w:themeFill="background2"/>
        <w:spacing w:before="85"/>
      </w:pPr>
      <w:r>
        <w:t>‘That, for me, is an ordinary life.’</w:t>
      </w:r>
    </w:p>
    <w:p w14:paraId="68385433" w14:textId="00C3A88A" w:rsidR="004D645B" w:rsidRDefault="004D645B" w:rsidP="004D645B">
      <w:pPr>
        <w:pStyle w:val="Heading2"/>
      </w:pPr>
      <w:bookmarkStart w:id="37" w:name="_Toc464482103"/>
      <w:r>
        <w:lastRenderedPageBreak/>
        <w:t>Values</w:t>
      </w:r>
      <w:bookmarkEnd w:id="37"/>
    </w:p>
    <w:p w14:paraId="54030F2E" w14:textId="77777777" w:rsidR="004D645B" w:rsidRDefault="004D645B" w:rsidP="004D645B">
      <w:pPr>
        <w:pStyle w:val="IntroPara"/>
      </w:pPr>
      <w:r>
        <w:t>The Agency’s values align to the values that apply to all Australian public servants.</w:t>
      </w:r>
    </w:p>
    <w:p w14:paraId="146A2BB5" w14:textId="7E773DEB" w:rsidR="004D645B" w:rsidRDefault="004D645B" w:rsidP="004D645B">
      <w:pPr>
        <w:pStyle w:val="BodyCopy"/>
      </w:pPr>
      <w:r>
        <w:t xml:space="preserve">The Agency’s values help it to shape how its people individually and collectively behave across the Agency. </w:t>
      </w:r>
    </w:p>
    <w:p w14:paraId="481B89FB" w14:textId="4FA31A47" w:rsidR="004D645B" w:rsidRDefault="004D645B" w:rsidP="00BA43AD">
      <w:pPr>
        <w:pStyle w:val="Heading3"/>
      </w:pPr>
      <w:r>
        <w:t xml:space="preserve">Assurance </w:t>
      </w:r>
    </w:p>
    <w:p w14:paraId="63894A1B" w14:textId="77777777" w:rsidR="004D645B" w:rsidRDefault="004D645B" w:rsidP="00BA43AD">
      <w:pPr>
        <w:pStyle w:val="BodyCopy"/>
      </w:pPr>
      <w:r>
        <w:t xml:space="preserve">The Agency is committed to certainty of funding for high quality, equitable and effective supports that respect the diversity of all people with disability. </w:t>
      </w:r>
    </w:p>
    <w:p w14:paraId="24ECEB8A" w14:textId="6B85AE79" w:rsidR="004D645B" w:rsidRDefault="004D645B" w:rsidP="00BA43AD">
      <w:pPr>
        <w:pStyle w:val="Heading3"/>
      </w:pPr>
      <w:r>
        <w:t xml:space="preserve">Empowerment </w:t>
      </w:r>
    </w:p>
    <w:p w14:paraId="3014DF08" w14:textId="77777777" w:rsidR="004D645B" w:rsidRDefault="004D645B" w:rsidP="00BA43AD">
      <w:pPr>
        <w:pStyle w:val="BodyCopy"/>
      </w:pPr>
      <w:r>
        <w:t xml:space="preserve">The Agency works locally and in partnership with participants, their families and </w:t>
      </w:r>
      <w:proofErr w:type="spellStart"/>
      <w:r>
        <w:t>carers</w:t>
      </w:r>
      <w:proofErr w:type="spellEnd"/>
      <w:r>
        <w:t xml:space="preserve"> to ensure they have choice, control and a voice in determining the supports, services and community activities they need in their lives. </w:t>
      </w:r>
    </w:p>
    <w:p w14:paraId="2BBCFDD7" w14:textId="6D120EAB" w:rsidR="004D645B" w:rsidRDefault="004D645B" w:rsidP="00BA43AD">
      <w:pPr>
        <w:pStyle w:val="Heading3"/>
      </w:pPr>
      <w:r>
        <w:t xml:space="preserve">Responsibility </w:t>
      </w:r>
    </w:p>
    <w:p w14:paraId="0C62E2F9" w14:textId="77777777" w:rsidR="004D645B" w:rsidRDefault="004D645B" w:rsidP="00BA43AD">
      <w:pPr>
        <w:pStyle w:val="BodyCopy"/>
      </w:pPr>
      <w:r>
        <w:t xml:space="preserve">The Agency shares a mutual responsibility with participants, the community and providers in providing high quality supports, which </w:t>
      </w:r>
      <w:proofErr w:type="spellStart"/>
      <w:r>
        <w:t>maximise</w:t>
      </w:r>
      <w:proofErr w:type="spellEnd"/>
      <w:r>
        <w:t xml:space="preserve"> potential, independence, integration and inclusion in the community. </w:t>
      </w:r>
    </w:p>
    <w:p w14:paraId="48AA10F8" w14:textId="3D25577F" w:rsidR="004D645B" w:rsidRDefault="004D645B" w:rsidP="00BA43AD">
      <w:pPr>
        <w:pStyle w:val="Heading3"/>
      </w:pPr>
      <w:r>
        <w:t xml:space="preserve">Learning </w:t>
      </w:r>
    </w:p>
    <w:p w14:paraId="3F59E1DF" w14:textId="77777777" w:rsidR="004D645B" w:rsidRDefault="004D645B" w:rsidP="00BA43AD">
      <w:pPr>
        <w:pStyle w:val="BodyCopy"/>
      </w:pPr>
      <w:r>
        <w:t xml:space="preserve">The Agency sees every task and interaction as an opportunity to learn and continually improve performance. The Agency is reflective, asks for and acts on feedback, and constantly evaluates its performance. </w:t>
      </w:r>
    </w:p>
    <w:p w14:paraId="763AF170" w14:textId="5473EC38" w:rsidR="004D645B" w:rsidRDefault="004D645B" w:rsidP="00BA43AD">
      <w:pPr>
        <w:pStyle w:val="Heading3"/>
      </w:pPr>
      <w:r>
        <w:t xml:space="preserve">Integrity </w:t>
      </w:r>
    </w:p>
    <w:p w14:paraId="4E4D5630" w14:textId="77777777" w:rsidR="004D645B" w:rsidRDefault="004D645B" w:rsidP="00BA43AD">
      <w:pPr>
        <w:pStyle w:val="BodyCopy"/>
      </w:pPr>
      <w:r>
        <w:t xml:space="preserve">The Agency is fair and transparent, does as it says and says what it does, so as to build trust and respect among people with disability, their families and </w:t>
      </w:r>
      <w:proofErr w:type="spellStart"/>
      <w:r>
        <w:t>carers</w:t>
      </w:r>
      <w:proofErr w:type="spellEnd"/>
      <w:r>
        <w:t xml:space="preserve">, employees, providers and the community. </w:t>
      </w:r>
    </w:p>
    <w:p w14:paraId="0AAAAB34" w14:textId="1506BF79" w:rsidR="003346B6" w:rsidRDefault="003346B6" w:rsidP="003346B6">
      <w:pPr>
        <w:pStyle w:val="Heading3"/>
      </w:pPr>
      <w:r>
        <w:t xml:space="preserve">Creating a values-based </w:t>
      </w:r>
      <w:proofErr w:type="spellStart"/>
      <w:r>
        <w:t>organisation</w:t>
      </w:r>
      <w:proofErr w:type="spellEnd"/>
    </w:p>
    <w:p w14:paraId="5076963F" w14:textId="77777777" w:rsidR="003346B6" w:rsidRDefault="003346B6" w:rsidP="003346B6">
      <w:pPr>
        <w:pStyle w:val="IntroPara"/>
      </w:pPr>
      <w:r>
        <w:t xml:space="preserve">The Agency’s workplace culture focuses on placing people with disability at the </w:t>
      </w:r>
      <w:proofErr w:type="spellStart"/>
      <w:r>
        <w:t>centre</w:t>
      </w:r>
      <w:proofErr w:type="spellEnd"/>
      <w:r>
        <w:t xml:space="preserve"> of everything the Agency does. During 2015–16 the Agency continued to build a consistent, cohesive and values-led culture. </w:t>
      </w:r>
    </w:p>
    <w:p w14:paraId="706EDD1B" w14:textId="77777777" w:rsidR="003346B6" w:rsidRDefault="003346B6" w:rsidP="003346B6">
      <w:pPr>
        <w:pStyle w:val="BodyCopy"/>
      </w:pPr>
      <w:r>
        <w:t>This included the development of a variety of strategies including the Reconciliation Action Plan 2016-17 and the NDIA Narrative designed to focus on the future culture of the Agency.</w:t>
      </w:r>
    </w:p>
    <w:p w14:paraId="68253610" w14:textId="05248DC5" w:rsidR="003346B6" w:rsidRDefault="003346B6" w:rsidP="003346B6">
      <w:pPr>
        <w:pStyle w:val="Heading3"/>
      </w:pPr>
      <w:r>
        <w:t>Building a workforce to develop a national presence</w:t>
      </w:r>
    </w:p>
    <w:p w14:paraId="7697FB52" w14:textId="77777777" w:rsidR="003346B6" w:rsidRDefault="003346B6" w:rsidP="003346B6">
      <w:pPr>
        <w:pStyle w:val="IntroPara"/>
      </w:pPr>
      <w:r>
        <w:t xml:space="preserve">A focus of 2015-16 was establishing the Agency’s workforce to ensure it was NDIS Ready across Australia. </w:t>
      </w:r>
    </w:p>
    <w:p w14:paraId="3F916E21" w14:textId="77777777" w:rsidR="003346B6" w:rsidRDefault="003346B6" w:rsidP="003346B6">
      <w:pPr>
        <w:pStyle w:val="BodyCopy"/>
      </w:pPr>
      <w:r>
        <w:t>The Agency has been working collaboratively with states and territories to ensure a service delivery workforce can be established with the knowledge and skills that can be incorporated into a national approach.</w:t>
      </w:r>
    </w:p>
    <w:p w14:paraId="493AACD9" w14:textId="77777777" w:rsidR="003346B6" w:rsidRDefault="003346B6" w:rsidP="003346B6">
      <w:pPr>
        <w:pStyle w:val="BodyCopy"/>
      </w:pPr>
      <w:r>
        <w:lastRenderedPageBreak/>
        <w:t xml:space="preserve">Both the Agency and the states and territories have </w:t>
      </w:r>
      <w:proofErr w:type="spellStart"/>
      <w:r>
        <w:t>recognised</w:t>
      </w:r>
      <w:proofErr w:type="spellEnd"/>
      <w:r>
        <w:t xml:space="preserve"> and value the skills of state and territory based disability staff and that these skills will make a valuable contribution to the successful implementation of the Scheme.</w:t>
      </w:r>
    </w:p>
    <w:p w14:paraId="6B05D7E5" w14:textId="77777777" w:rsidR="003346B6" w:rsidRDefault="003346B6" w:rsidP="003346B6">
      <w:pPr>
        <w:pStyle w:val="BodyCopy"/>
      </w:pPr>
      <w:r>
        <w:t xml:space="preserve">To enable the Agency to deliver service and support from day one of transition to full Scheme, 19 new sites opened in 2015-16 and the service delivery workforce increased by 485 employees. </w:t>
      </w:r>
    </w:p>
    <w:p w14:paraId="5A386EF1" w14:textId="77777777" w:rsidR="003346B6" w:rsidRDefault="003346B6" w:rsidP="003346B6">
      <w:pPr>
        <w:pStyle w:val="BodyCopy"/>
      </w:pPr>
      <w:r>
        <w:t>To ensure the Agency’s service delivery workforce is fully supported and can deliver the Scheme nationally, the National Office based in Geelong, Victoria, which incorporates various corporate, strategic and enabling functions, has also grown from a workforce of 303 (1 July 2015) to 419 (30 June 2016).</w:t>
      </w:r>
    </w:p>
    <w:p w14:paraId="4204EC0B" w14:textId="77777777" w:rsidR="003346B6" w:rsidRDefault="003346B6" w:rsidP="003346B6">
      <w:pPr>
        <w:pStyle w:val="BodyCopy"/>
      </w:pPr>
      <w:r>
        <w:t xml:space="preserve">In 2015-16, achievements made in creating the Agency as a values-based </w:t>
      </w:r>
      <w:proofErr w:type="spellStart"/>
      <w:r>
        <w:t>organisation</w:t>
      </w:r>
      <w:proofErr w:type="spellEnd"/>
      <w:r>
        <w:t xml:space="preserve"> include:</w:t>
      </w:r>
    </w:p>
    <w:p w14:paraId="51E02954" w14:textId="77777777" w:rsidR="003346B6" w:rsidRDefault="003346B6" w:rsidP="003346B6">
      <w:pPr>
        <w:pStyle w:val="BodyBullets"/>
      </w:pPr>
      <w:r>
        <w:t xml:space="preserve">Implementation of a Rewards and Recognition program to </w:t>
      </w:r>
      <w:proofErr w:type="spellStart"/>
      <w:r>
        <w:t>recognise</w:t>
      </w:r>
      <w:proofErr w:type="spellEnd"/>
      <w:r>
        <w:t xml:space="preserve"> outstanding staff performance. Awards are aligned with the Agency’s Values of Assurance, Empowerment, Integrity, Learning and Responsibility.</w:t>
      </w:r>
    </w:p>
    <w:p w14:paraId="1F9E525C" w14:textId="77777777" w:rsidR="003346B6" w:rsidRDefault="003346B6" w:rsidP="003346B6">
      <w:pPr>
        <w:pStyle w:val="BodyBullets"/>
      </w:pPr>
      <w:r>
        <w:t>Embedding the Agency’s Values in the Agency’s recruitment practices.</w:t>
      </w:r>
    </w:p>
    <w:p w14:paraId="17CA5AE8" w14:textId="77777777" w:rsidR="003346B6" w:rsidRDefault="003346B6" w:rsidP="003346B6">
      <w:pPr>
        <w:pStyle w:val="BodyBullets"/>
      </w:pPr>
      <w:r>
        <w:t xml:space="preserve">Aligning the Agency’s recruitment model with the learning and development framework and performance development framework set out in the Values, Capabilities and </w:t>
      </w:r>
      <w:proofErr w:type="spellStart"/>
      <w:r>
        <w:t>Behaviours</w:t>
      </w:r>
      <w:proofErr w:type="spellEnd"/>
      <w:r>
        <w:t xml:space="preserve"> Statement.</w:t>
      </w:r>
    </w:p>
    <w:p w14:paraId="490E34B2" w14:textId="77777777" w:rsidR="003346B6" w:rsidRDefault="003346B6" w:rsidP="003346B6">
      <w:pPr>
        <w:pStyle w:val="BodyBullets"/>
      </w:pPr>
      <w:r>
        <w:t xml:space="preserve">Maintaining the Staff Participant Network (SPN) for participant, family and </w:t>
      </w:r>
      <w:proofErr w:type="spellStart"/>
      <w:r>
        <w:t>carer</w:t>
      </w:r>
      <w:proofErr w:type="spellEnd"/>
      <w:r>
        <w:t xml:space="preserve"> employees to share their insights, experiences and ideas. The SPN protects and provides support for staff with disability and captures their experiences in a safe, supported environment.</w:t>
      </w:r>
    </w:p>
    <w:p w14:paraId="41087644" w14:textId="77777777" w:rsidR="003346B6" w:rsidRDefault="003346B6" w:rsidP="003346B6">
      <w:pPr>
        <w:pStyle w:val="BodyBullets-last"/>
      </w:pPr>
      <w:r>
        <w:t>Holding its first all SES/Director leadership forum, focused on building a united leadership team with a consistent understanding of the Agency’s value proposition and strategic priorities.</w:t>
      </w:r>
    </w:p>
    <w:p w14:paraId="387F59FE" w14:textId="51E75B76" w:rsidR="003346B6" w:rsidRDefault="003346B6" w:rsidP="003346B6">
      <w:pPr>
        <w:pStyle w:val="Heading2"/>
      </w:pPr>
      <w:bookmarkStart w:id="38" w:name="_Toc464482104"/>
      <w:r>
        <w:lastRenderedPageBreak/>
        <w:t>The Agency structure</w:t>
      </w:r>
      <w:bookmarkEnd w:id="38"/>
    </w:p>
    <w:p w14:paraId="08AC481C" w14:textId="77777777" w:rsidR="003346B6" w:rsidRDefault="003346B6" w:rsidP="00E92366">
      <w:pPr>
        <w:pStyle w:val="IntroPara"/>
      </w:pPr>
      <w:r>
        <w:t xml:space="preserve">The Agency is an independent statutory agency whose role is to implement the Scheme. The Agency manages Scheme funds, administers access to the Scheme and approves the payment of </w:t>
      </w:r>
      <w:proofErr w:type="spellStart"/>
      <w:r>
        <w:t>individualised</w:t>
      </w:r>
      <w:proofErr w:type="spellEnd"/>
      <w:r>
        <w:t xml:space="preserve"> support packages.</w:t>
      </w:r>
    </w:p>
    <w:p w14:paraId="0B0D927D" w14:textId="03910D38" w:rsidR="00B372AF" w:rsidRDefault="00B372AF" w:rsidP="00B372AF">
      <w:pPr>
        <w:pStyle w:val="Heading2"/>
      </w:pPr>
      <w:bookmarkStart w:id="39" w:name="_Toc464482105"/>
      <w:r>
        <w:lastRenderedPageBreak/>
        <w:t>The Agency Board</w:t>
      </w:r>
      <w:bookmarkEnd w:id="39"/>
    </w:p>
    <w:p w14:paraId="22B970CC" w14:textId="77777777" w:rsidR="00B372AF" w:rsidRDefault="00B372AF" w:rsidP="00B372AF">
      <w:pPr>
        <w:pStyle w:val="IntroPara"/>
      </w:pPr>
      <w:r>
        <w:t>The Agency’s Board is responsible for setting the strategic direction of the Agency and for the performance of the Agency’s functions under the NDIS Act.</w:t>
      </w:r>
    </w:p>
    <w:p w14:paraId="3F28FC1B" w14:textId="0DFC3877" w:rsidR="00B372AF" w:rsidRDefault="00B372AF" w:rsidP="00B372AF">
      <w:pPr>
        <w:pStyle w:val="BodyCopy"/>
      </w:pPr>
      <w:r>
        <w:t xml:space="preserve">The Board has obligations as the accountable authority for the Agency under the </w:t>
      </w:r>
      <w:r>
        <w:rPr>
          <w:rStyle w:val="Lightitalic"/>
        </w:rPr>
        <w:t>Public Governance, Performance and Accountability (PGPA) Act 2015</w:t>
      </w:r>
      <w:r>
        <w:t>. The Board is responsible for preparing the Agency’s Corporate Plan 2016-19 which can be found on the Agency’s website.</w:t>
      </w:r>
    </w:p>
    <w:p w14:paraId="225C61EA" w14:textId="77777777" w:rsidR="00B372AF" w:rsidRDefault="00B372AF" w:rsidP="00B372AF">
      <w:pPr>
        <w:pStyle w:val="BodyCopy"/>
      </w:pPr>
      <w:r>
        <w:t xml:space="preserve">The inaugural Board consisted of the Chair and eight members. Commonwealth legislation was passed in May 2016 to increase the size of the Board by three members, to be constituted of the Chair and 11 members. Board members are appointed on a part-time basis for up to three years. Appointments are made by the Commonwealth Minister for Social Services and the appointment process is coordinated by the Department of Social Services. All appointments are made through consultation with the jurisdictions. </w:t>
      </w:r>
    </w:p>
    <w:p w14:paraId="4D251A22" w14:textId="77777777" w:rsidR="00B372AF" w:rsidRDefault="00B372AF" w:rsidP="00B372AF">
      <w:pPr>
        <w:pStyle w:val="BodyCopy"/>
      </w:pPr>
      <w:r>
        <w:t xml:space="preserve">The Board is currently constituted of the Chair and seven members, with four vacant positions. Each of the inaugural Agency Board members commenced their appointments on 1 July 2013 for a period of three years. Membership of the inaugural Board expired on 30 June 2016, with the Disability Reform Council granting extensions to all current members (refer Table 2). </w:t>
      </w:r>
    </w:p>
    <w:p w14:paraId="2368792C" w14:textId="77777777" w:rsidR="00B372AF" w:rsidRDefault="00B372AF" w:rsidP="00B372AF">
      <w:pPr>
        <w:pStyle w:val="BodyCopy"/>
      </w:pPr>
      <w:r>
        <w:t xml:space="preserve">Under the PGPA Act Board members are required to disclose to the Minister any material personal interest in a matter that relates to the affairs of the authority. Board members are asked at each meeting whether a conflict arises between standing interests and the interests of the Agency, and to make </w:t>
      </w:r>
      <w:proofErr w:type="gramStart"/>
      <w:r>
        <w:t>a  declaration</w:t>
      </w:r>
      <w:proofErr w:type="gramEnd"/>
      <w:r>
        <w:t xml:space="preserve"> of any interest.</w:t>
      </w:r>
    </w:p>
    <w:p w14:paraId="075635BC" w14:textId="39A5D808" w:rsidR="00B372AF" w:rsidRDefault="00B372AF" w:rsidP="00B372AF">
      <w:pPr>
        <w:pStyle w:val="Heading3"/>
      </w:pPr>
      <w:r>
        <w:t>Agency Board Committees</w:t>
      </w:r>
    </w:p>
    <w:p w14:paraId="11583169" w14:textId="77777777" w:rsidR="00B372AF" w:rsidRDefault="00B372AF" w:rsidP="00B372AF">
      <w:pPr>
        <w:pStyle w:val="BodyCopy"/>
      </w:pPr>
      <w:r>
        <w:t xml:space="preserve">The Board is advised by three committees </w:t>
      </w:r>
    </w:p>
    <w:p w14:paraId="7F6C40E3" w14:textId="77777777" w:rsidR="00B372AF" w:rsidRDefault="00B372AF" w:rsidP="00B372AF">
      <w:pPr>
        <w:pStyle w:val="BodyBullets"/>
      </w:pPr>
      <w:r>
        <w:t xml:space="preserve">the Audit, Risk and Finance Committee (ARFC) </w:t>
      </w:r>
    </w:p>
    <w:p w14:paraId="77024A0F" w14:textId="77777777" w:rsidR="00B372AF" w:rsidRDefault="00B372AF" w:rsidP="00B372AF">
      <w:pPr>
        <w:pStyle w:val="BodyBullets"/>
      </w:pPr>
      <w:r>
        <w:t xml:space="preserve">the Sustainability Committee and </w:t>
      </w:r>
    </w:p>
    <w:p w14:paraId="2DE01C8F" w14:textId="77777777" w:rsidR="00B372AF" w:rsidRDefault="00B372AF" w:rsidP="00B372AF">
      <w:pPr>
        <w:pStyle w:val="BodyBullets-last"/>
      </w:pPr>
      <w:r>
        <w:t>the Information and Communication Technology Committee (ICT).</w:t>
      </w:r>
    </w:p>
    <w:p w14:paraId="09B45E36" w14:textId="77777777" w:rsidR="00B372AF" w:rsidRDefault="00B372AF" w:rsidP="00991B86">
      <w:pPr>
        <w:pStyle w:val="Heading4"/>
      </w:pPr>
      <w:r>
        <w:t>Audit, Risk and Finance Committee (ARFC)</w:t>
      </w:r>
    </w:p>
    <w:p w14:paraId="678F034C" w14:textId="77777777" w:rsidR="00B372AF" w:rsidRDefault="00B372AF" w:rsidP="00B372AF">
      <w:pPr>
        <w:pStyle w:val="BodyCopy"/>
      </w:pPr>
      <w:r>
        <w:t xml:space="preserve">The ARFC (the Committee) was established in compliance with section 45 of the PGPA Act. As a committee of the Board, the ARFC helps the Board meet its responsibilities under the NDIS Act and the PGPA Act. </w:t>
      </w:r>
    </w:p>
    <w:p w14:paraId="747E77F6" w14:textId="77777777" w:rsidR="00B372AF" w:rsidRDefault="00B372AF" w:rsidP="00B372AF">
      <w:pPr>
        <w:pStyle w:val="BodyCopy"/>
        <w:rPr>
          <w:spacing w:val="-3"/>
        </w:rPr>
      </w:pPr>
      <w:r>
        <w:rPr>
          <w:spacing w:val="-3"/>
        </w:rPr>
        <w:t xml:space="preserve">The Committee’s objective is to provide independent assurance and advice to the Board on </w:t>
      </w:r>
    </w:p>
    <w:p w14:paraId="32CD1426" w14:textId="77777777" w:rsidR="00B372AF" w:rsidRDefault="00B372AF" w:rsidP="00B372AF">
      <w:pPr>
        <w:pStyle w:val="BodyBullets"/>
      </w:pPr>
      <w:r>
        <w:t xml:space="preserve">the Agency’s risk management; </w:t>
      </w:r>
    </w:p>
    <w:p w14:paraId="008AD258" w14:textId="77777777" w:rsidR="00B372AF" w:rsidRDefault="00B372AF" w:rsidP="00B372AF">
      <w:pPr>
        <w:pStyle w:val="BodyBullets"/>
      </w:pPr>
      <w:r>
        <w:t xml:space="preserve">control and compliance framework; </w:t>
      </w:r>
    </w:p>
    <w:p w14:paraId="68B439F5" w14:textId="77777777" w:rsidR="00B372AF" w:rsidRDefault="00B372AF" w:rsidP="00B372AF">
      <w:pPr>
        <w:pStyle w:val="BodyBullets-last"/>
      </w:pPr>
      <w:r>
        <w:t>and financial statement responsibilities.</w:t>
      </w:r>
    </w:p>
    <w:p w14:paraId="65204A7D" w14:textId="77777777" w:rsidR="00B372AF" w:rsidRDefault="00B372AF" w:rsidP="00B372AF">
      <w:pPr>
        <w:pStyle w:val="BodyCopy"/>
      </w:pPr>
      <w:r>
        <w:t xml:space="preserve">Board members on the Committee are </w:t>
      </w:r>
      <w:proofErr w:type="spellStart"/>
      <w:r>
        <w:t>Mr</w:t>
      </w:r>
      <w:proofErr w:type="spellEnd"/>
      <w:r>
        <w:t xml:space="preserve"> John Hill PSM (Chair), </w:t>
      </w:r>
      <w:proofErr w:type="spellStart"/>
      <w:r>
        <w:t>Ms</w:t>
      </w:r>
      <w:proofErr w:type="spellEnd"/>
      <w:r>
        <w:t xml:space="preserve"> Geraldine Harwood and </w:t>
      </w:r>
      <w:proofErr w:type="spellStart"/>
      <w:r>
        <w:t>Mr</w:t>
      </w:r>
      <w:proofErr w:type="spellEnd"/>
      <w:r>
        <w:t xml:space="preserve"> Martin Laverty. The ARFC also has two independent members, </w:t>
      </w:r>
      <w:proofErr w:type="spellStart"/>
      <w:r>
        <w:t>Ms</w:t>
      </w:r>
      <w:proofErr w:type="spellEnd"/>
      <w:r>
        <w:t xml:space="preserve"> Marian </w:t>
      </w:r>
      <w:proofErr w:type="spellStart"/>
      <w:r>
        <w:t>Micalizzi</w:t>
      </w:r>
      <w:proofErr w:type="spellEnd"/>
      <w:r>
        <w:t xml:space="preserve"> and </w:t>
      </w:r>
      <w:proofErr w:type="spellStart"/>
      <w:r>
        <w:t>Ms</w:t>
      </w:r>
      <w:proofErr w:type="spellEnd"/>
      <w:r>
        <w:t xml:space="preserve"> Helen Williams AO. The Australian National Audit Office (ANAO) attends ARFC meetings as the Agency’s external auditor, along with the Agency’s appointed internal auditors.</w:t>
      </w:r>
    </w:p>
    <w:p w14:paraId="22D68497" w14:textId="77777777" w:rsidR="00B372AF" w:rsidRDefault="00B372AF" w:rsidP="00991B86">
      <w:pPr>
        <w:pStyle w:val="Heading4"/>
      </w:pPr>
      <w:r>
        <w:lastRenderedPageBreak/>
        <w:t>Sustainability Committee</w:t>
      </w:r>
    </w:p>
    <w:p w14:paraId="1AA94CE8" w14:textId="77777777" w:rsidR="00B372AF" w:rsidRDefault="00B372AF" w:rsidP="00B372AF">
      <w:pPr>
        <w:pStyle w:val="BodyCopy"/>
      </w:pPr>
      <w:r>
        <w:t xml:space="preserve">The Sustainability Committee was established to assist the Board in fulfilling its function of sustainability oversight. This involves assessing, monitoring, reporting on and managing the financial sustainability of the Scheme. </w:t>
      </w:r>
    </w:p>
    <w:p w14:paraId="6BF80EA9" w14:textId="77777777" w:rsidR="00B372AF" w:rsidRDefault="00B372AF" w:rsidP="00B372AF">
      <w:pPr>
        <w:pStyle w:val="BodyCopy"/>
      </w:pPr>
      <w:r>
        <w:t xml:space="preserve">The Sustainability Committee’s objective is to provide advice to the Board arising from analysis of the Scheme Actuary’s reports regarding </w:t>
      </w:r>
    </w:p>
    <w:p w14:paraId="265753F2" w14:textId="77777777" w:rsidR="00B372AF" w:rsidRDefault="00B372AF" w:rsidP="00B372AF">
      <w:pPr>
        <w:pStyle w:val="BodyBullets"/>
      </w:pPr>
      <w:r>
        <w:t xml:space="preserve">access to the Scheme by participants </w:t>
      </w:r>
    </w:p>
    <w:p w14:paraId="7F3C29C6" w14:textId="77777777" w:rsidR="00B372AF" w:rsidRDefault="00B372AF" w:rsidP="00B372AF">
      <w:pPr>
        <w:pStyle w:val="BodyBullets"/>
      </w:pPr>
      <w:r>
        <w:t xml:space="preserve">the costs of reasonable and necessary supports </w:t>
      </w:r>
    </w:p>
    <w:p w14:paraId="421BA058" w14:textId="77777777" w:rsidR="00B372AF" w:rsidRDefault="00B372AF" w:rsidP="00B372AF">
      <w:pPr>
        <w:pStyle w:val="BodyBullets-last"/>
      </w:pPr>
      <w:r>
        <w:t>cost shifting or price inflation within mainstream services.</w:t>
      </w:r>
    </w:p>
    <w:p w14:paraId="38E31CEC" w14:textId="77777777" w:rsidR="00B372AF" w:rsidRDefault="00B372AF" w:rsidP="00B372AF">
      <w:pPr>
        <w:pStyle w:val="BodyCopy"/>
      </w:pPr>
      <w:r>
        <w:t xml:space="preserve">Board members on the Committee are </w:t>
      </w:r>
      <w:proofErr w:type="spellStart"/>
      <w:r>
        <w:t>Mr</w:t>
      </w:r>
      <w:proofErr w:type="spellEnd"/>
      <w:r>
        <w:t xml:space="preserve"> John Walsh AM (Chair), Professor Rhonda </w:t>
      </w:r>
      <w:proofErr w:type="spellStart"/>
      <w:r>
        <w:t>Galbally</w:t>
      </w:r>
      <w:proofErr w:type="spellEnd"/>
      <w:r>
        <w:t xml:space="preserve">, </w:t>
      </w:r>
      <w:proofErr w:type="spellStart"/>
      <w:r>
        <w:t>Mr</w:t>
      </w:r>
      <w:proofErr w:type="spellEnd"/>
      <w:r>
        <w:t xml:space="preserve"> John Hill PSM and </w:t>
      </w:r>
      <w:proofErr w:type="spellStart"/>
      <w:r>
        <w:t>Ms</w:t>
      </w:r>
      <w:proofErr w:type="spellEnd"/>
      <w:r>
        <w:t xml:space="preserve"> Fiona Payne. The committee includes two external members, </w:t>
      </w:r>
      <w:proofErr w:type="spellStart"/>
      <w:r>
        <w:t>Mr</w:t>
      </w:r>
      <w:proofErr w:type="spellEnd"/>
      <w:r>
        <w:t xml:space="preserve"> Tom Karp and </w:t>
      </w:r>
      <w:proofErr w:type="spellStart"/>
      <w:r>
        <w:t>Mr</w:t>
      </w:r>
      <w:proofErr w:type="spellEnd"/>
      <w:r>
        <w:t xml:space="preserve"> Peter </w:t>
      </w:r>
      <w:proofErr w:type="spellStart"/>
      <w:r>
        <w:t>Whiteford</w:t>
      </w:r>
      <w:proofErr w:type="spellEnd"/>
      <w:r>
        <w:t>.</w:t>
      </w:r>
    </w:p>
    <w:p w14:paraId="7BD9521D" w14:textId="77777777" w:rsidR="00B372AF" w:rsidRDefault="00B372AF" w:rsidP="00991B86">
      <w:pPr>
        <w:pStyle w:val="Heading4"/>
      </w:pPr>
      <w:r>
        <w:t>Information and Communication Technology Committee (ICT)</w:t>
      </w:r>
    </w:p>
    <w:p w14:paraId="5B300E35" w14:textId="77777777" w:rsidR="00B372AF" w:rsidRDefault="00B372AF" w:rsidP="00B372AF">
      <w:pPr>
        <w:pStyle w:val="BodyCopy"/>
      </w:pPr>
      <w:r>
        <w:t>The role of the ICT Committee is to contribute expert perspectives on ICT strategy and systems. The ICT Committee provides advice to the Agency and the Board on:</w:t>
      </w:r>
    </w:p>
    <w:p w14:paraId="5D9DE1D7" w14:textId="77777777" w:rsidR="00B372AF" w:rsidRDefault="00B372AF" w:rsidP="00B372AF">
      <w:pPr>
        <w:pStyle w:val="BodyBullets"/>
      </w:pPr>
      <w:r>
        <w:t>the quality, effectiveness and implementation of the ICT strategy</w:t>
      </w:r>
    </w:p>
    <w:p w14:paraId="0CEDE61A" w14:textId="77777777" w:rsidR="00B372AF" w:rsidRDefault="00B372AF" w:rsidP="00B372AF">
      <w:pPr>
        <w:pStyle w:val="BodyBullets"/>
      </w:pPr>
      <w:r>
        <w:t>the quality and directions indicated in the ICT business case to deliver full Scheme operations capability from 1 July 2016</w:t>
      </w:r>
    </w:p>
    <w:p w14:paraId="1DA123A0" w14:textId="77777777" w:rsidR="00B372AF" w:rsidRDefault="00B372AF" w:rsidP="00B372AF">
      <w:pPr>
        <w:pStyle w:val="BodyBullets"/>
      </w:pPr>
      <w:r>
        <w:t>the adequacy of progress against key deliverables and ICT project timelines</w:t>
      </w:r>
    </w:p>
    <w:p w14:paraId="49E08319" w14:textId="77777777" w:rsidR="00B372AF" w:rsidRDefault="00B372AF" w:rsidP="00B372AF">
      <w:pPr>
        <w:pStyle w:val="BodyBullets"/>
      </w:pPr>
      <w:r>
        <w:t>the cost effectiveness of alternate systems</w:t>
      </w:r>
    </w:p>
    <w:p w14:paraId="451224FB" w14:textId="77777777" w:rsidR="00B372AF" w:rsidRDefault="00B372AF" w:rsidP="00B372AF">
      <w:pPr>
        <w:pStyle w:val="BodyBullets"/>
      </w:pPr>
      <w:r>
        <w:t>alignment between the ICT strategy and the Agency Strategic Plan</w:t>
      </w:r>
    </w:p>
    <w:p w14:paraId="64219549" w14:textId="77777777" w:rsidR="00B372AF" w:rsidRDefault="00B372AF" w:rsidP="00B372AF">
      <w:pPr>
        <w:pStyle w:val="BodyBullets-last"/>
      </w:pPr>
      <w:r>
        <w:t>general integrity and functioning of ICT across the Agency.</w:t>
      </w:r>
    </w:p>
    <w:p w14:paraId="77690521" w14:textId="77777777" w:rsidR="00B372AF" w:rsidRDefault="00B372AF" w:rsidP="00B372AF">
      <w:pPr>
        <w:pStyle w:val="BodyCopy"/>
      </w:pPr>
      <w:r>
        <w:t xml:space="preserve">Board members on the ICT Committee are </w:t>
      </w:r>
      <w:proofErr w:type="spellStart"/>
      <w:r>
        <w:t>Mr</w:t>
      </w:r>
      <w:proofErr w:type="spellEnd"/>
      <w:r>
        <w:t xml:space="preserve"> Glenn Keys (Chair), </w:t>
      </w:r>
      <w:proofErr w:type="spellStart"/>
      <w:r>
        <w:t>Ms</w:t>
      </w:r>
      <w:proofErr w:type="spellEnd"/>
      <w:r>
        <w:t xml:space="preserve"> Fiona Payne and </w:t>
      </w:r>
      <w:proofErr w:type="spellStart"/>
      <w:r>
        <w:t>Mr</w:t>
      </w:r>
      <w:proofErr w:type="spellEnd"/>
      <w:r>
        <w:t xml:space="preserve"> John Walsh AM. The committee has three independent members, </w:t>
      </w:r>
      <w:proofErr w:type="spellStart"/>
      <w:r>
        <w:t>Mr</w:t>
      </w:r>
      <w:proofErr w:type="spellEnd"/>
      <w:r>
        <w:t xml:space="preserve"> </w:t>
      </w:r>
      <w:proofErr w:type="spellStart"/>
      <w:r>
        <w:t>Serdar</w:t>
      </w:r>
      <w:proofErr w:type="spellEnd"/>
      <w:r>
        <w:t xml:space="preserve"> </w:t>
      </w:r>
      <w:proofErr w:type="spellStart"/>
      <w:r>
        <w:t>Avsar</w:t>
      </w:r>
      <w:proofErr w:type="spellEnd"/>
      <w:r>
        <w:t xml:space="preserve">, </w:t>
      </w:r>
      <w:proofErr w:type="spellStart"/>
      <w:r>
        <w:t>Mr</w:t>
      </w:r>
      <w:proofErr w:type="spellEnd"/>
      <w:r>
        <w:t xml:space="preserve"> Chris Bennett, and </w:t>
      </w:r>
      <w:proofErr w:type="spellStart"/>
      <w:r>
        <w:t>Ms</w:t>
      </w:r>
      <w:proofErr w:type="spellEnd"/>
      <w:r>
        <w:t xml:space="preserve"> Helen Williams AO.</w:t>
      </w:r>
    </w:p>
    <w:p w14:paraId="12F6CD9C" w14:textId="77777777" w:rsidR="00B372AF" w:rsidRDefault="00B372AF" w:rsidP="00B372AF">
      <w:pPr>
        <w:pStyle w:val="BodyCopy"/>
      </w:pPr>
      <w:r>
        <w:t>There is more information about ICT on page 31.</w:t>
      </w:r>
    </w:p>
    <w:p w14:paraId="6B5D7BB2" w14:textId="4CC17A74" w:rsidR="00D85FF4" w:rsidRDefault="00D85FF4" w:rsidP="00D85FF4">
      <w:pPr>
        <w:pStyle w:val="Heading2"/>
      </w:pPr>
      <w:bookmarkStart w:id="40" w:name="_Toc464482106"/>
      <w:r>
        <w:lastRenderedPageBreak/>
        <w:t>Board members</w:t>
      </w:r>
      <w:bookmarkEnd w:id="40"/>
    </w:p>
    <w:p w14:paraId="7C5F527F" w14:textId="77777777" w:rsidR="00D85FF4" w:rsidRDefault="00D85FF4" w:rsidP="00D85FF4">
      <w:pPr>
        <w:pStyle w:val="IntroPara"/>
      </w:pPr>
      <w:r>
        <w:t xml:space="preserve">The Agency’s Board members have extensive experience in the disability sector, insurance, financial management and corporate governance. </w:t>
      </w:r>
    </w:p>
    <w:p w14:paraId="6FECD5A2" w14:textId="77777777" w:rsidR="00D85FF4" w:rsidRDefault="00D85FF4" w:rsidP="00D85FF4">
      <w:pPr>
        <w:pStyle w:val="BodyCopy"/>
      </w:pPr>
      <w:r>
        <w:t>A person is eligible for appointment as a Board member only if the Minister is satisfied that the person has skills, experience or knowledge in the provision or use of disability services; the operation of insurance schemes, compensation schemes or schemes with long</w:t>
      </w:r>
      <w:r>
        <w:rPr>
          <w:rFonts w:ascii="MS Mincho" w:eastAsia="MS Mincho" w:hAnsi="MS Mincho" w:cs="MS Mincho"/>
        </w:rPr>
        <w:t>‑</w:t>
      </w:r>
      <w:r>
        <w:t>term liabilities; financial management; or corporate governance.</w:t>
      </w:r>
    </w:p>
    <w:p w14:paraId="6BCC9FA9" w14:textId="128D0BE0" w:rsidR="00D85FF4" w:rsidRDefault="00D85FF4" w:rsidP="00D85FF4">
      <w:pPr>
        <w:pStyle w:val="Heading3"/>
        <w:spacing w:before="510"/>
      </w:pPr>
      <w:proofErr w:type="spellStart"/>
      <w:r>
        <w:t>Mr</w:t>
      </w:r>
      <w:proofErr w:type="spellEnd"/>
      <w:r>
        <w:t xml:space="preserve"> Bruce Bonyhady AM </w:t>
      </w:r>
      <w:r>
        <w:br/>
        <w:t>(Chair)</w:t>
      </w:r>
    </w:p>
    <w:p w14:paraId="24160152" w14:textId="77777777" w:rsidR="00D85FF4" w:rsidRDefault="00D85FF4" w:rsidP="00D85FF4">
      <w:pPr>
        <w:pStyle w:val="Notes"/>
      </w:pPr>
      <w:r>
        <w:t xml:space="preserve">B </w:t>
      </w:r>
      <w:proofErr w:type="spellStart"/>
      <w:r>
        <w:t>AppEc</w:t>
      </w:r>
      <w:proofErr w:type="spellEnd"/>
      <w:r>
        <w:t xml:space="preserve"> (Hons) (UNE), M </w:t>
      </w:r>
      <w:proofErr w:type="spellStart"/>
      <w:r>
        <w:t>Ec</w:t>
      </w:r>
      <w:proofErr w:type="spellEnd"/>
      <w:r>
        <w:t xml:space="preserve"> (ANU), LLD (Hon) (</w:t>
      </w:r>
      <w:proofErr w:type="spellStart"/>
      <w:r>
        <w:t>Melb</w:t>
      </w:r>
      <w:proofErr w:type="spellEnd"/>
      <w:r>
        <w:t xml:space="preserve">), </w:t>
      </w:r>
      <w:proofErr w:type="spellStart"/>
      <w:r>
        <w:t>Litt</w:t>
      </w:r>
      <w:proofErr w:type="spellEnd"/>
      <w:r>
        <w:t xml:space="preserve"> D (Hon) (UWS).</w:t>
      </w:r>
    </w:p>
    <w:p w14:paraId="7B3D620E" w14:textId="09DCEE73" w:rsidR="00D85FF4" w:rsidRDefault="00D85FF4" w:rsidP="00D85FF4">
      <w:pPr>
        <w:pStyle w:val="BodyCopy"/>
      </w:pPr>
      <w:r>
        <w:t>The Inaugural Chair of the Board is Mr. Bruce Bonyhady AM. Mr. Bonyhady has worked for over 25 years to improve the lives of people with disability and is widely regarded as one of the driving forces behind the creation of the Scheme. He has two sons with disability.</w:t>
      </w:r>
    </w:p>
    <w:p w14:paraId="7CE7A6EC" w14:textId="77777777" w:rsidR="00D85FF4" w:rsidRDefault="00D85FF4" w:rsidP="00D85FF4">
      <w:pPr>
        <w:pStyle w:val="BodyCopy"/>
      </w:pPr>
      <w:r>
        <w:t>Declared personal interests:</w:t>
      </w:r>
    </w:p>
    <w:p w14:paraId="5DFBA50B" w14:textId="77777777" w:rsidR="00D85FF4" w:rsidRDefault="00D85FF4" w:rsidP="00D85FF4">
      <w:pPr>
        <w:pStyle w:val="BodyBullets"/>
      </w:pPr>
      <w:r>
        <w:t xml:space="preserve">Director, </w:t>
      </w:r>
      <w:proofErr w:type="spellStart"/>
      <w:r>
        <w:t>Dexus</w:t>
      </w:r>
      <w:proofErr w:type="spellEnd"/>
      <w:r>
        <w:t xml:space="preserve"> Wholesale Property Ltd</w:t>
      </w:r>
    </w:p>
    <w:p w14:paraId="19F773D6" w14:textId="77777777" w:rsidR="00D85FF4" w:rsidRDefault="00D85FF4" w:rsidP="00D85FF4">
      <w:pPr>
        <w:pStyle w:val="BodyBullets"/>
      </w:pPr>
      <w:r>
        <w:t>Life membership of Association for Children with a Disability</w:t>
      </w:r>
    </w:p>
    <w:p w14:paraId="45238E3E" w14:textId="77777777" w:rsidR="00D85FF4" w:rsidRDefault="00D85FF4" w:rsidP="00D85FF4">
      <w:pPr>
        <w:pStyle w:val="BodyBullets"/>
      </w:pPr>
      <w:r>
        <w:t xml:space="preserve">Chairman, Advisory Panel, </w:t>
      </w:r>
      <w:proofErr w:type="spellStart"/>
      <w:r>
        <w:t>Solve@RCH</w:t>
      </w:r>
      <w:proofErr w:type="spellEnd"/>
      <w:r>
        <w:t>, Centre for Developmental Medicine Research at the Royal Children’s Hospital, Melbourne</w:t>
      </w:r>
    </w:p>
    <w:p w14:paraId="0014AE87" w14:textId="77777777" w:rsidR="00D85FF4" w:rsidRDefault="00D85FF4" w:rsidP="00D85FF4">
      <w:pPr>
        <w:pStyle w:val="BodyBullets"/>
      </w:pPr>
      <w:r>
        <w:t>Associate Investigator, Centre for Research Excellence on Cerebral Palsy</w:t>
      </w:r>
    </w:p>
    <w:p w14:paraId="347827E4" w14:textId="77777777" w:rsidR="00D85FF4" w:rsidRDefault="00D85FF4" w:rsidP="00D85FF4">
      <w:pPr>
        <w:pStyle w:val="BodyBullets"/>
      </w:pPr>
      <w:r>
        <w:t>Honorary Specialist Consultant to the Chain Reaction Foundation Ltd, (which works with disadvantaged young people and families in the Learning Ground at Mt Druitt)</w:t>
      </w:r>
    </w:p>
    <w:p w14:paraId="009F2E2D" w14:textId="77777777" w:rsidR="00D85FF4" w:rsidRDefault="00D85FF4" w:rsidP="00D85FF4">
      <w:pPr>
        <w:pStyle w:val="BodyBullets-last"/>
      </w:pPr>
      <w:r>
        <w:t>Family members are potential participants in the Scheme</w:t>
      </w:r>
    </w:p>
    <w:p w14:paraId="75BB1503" w14:textId="3244BAE0" w:rsidR="00D85FF4" w:rsidRDefault="00D85FF4" w:rsidP="00D85FF4">
      <w:pPr>
        <w:pStyle w:val="Heading3"/>
      </w:pPr>
      <w:r>
        <w:t>Ms. Fiona Payne</w:t>
      </w:r>
    </w:p>
    <w:p w14:paraId="25221BCA" w14:textId="77777777" w:rsidR="00D85FF4" w:rsidRDefault="00D85FF4" w:rsidP="00D85FF4">
      <w:pPr>
        <w:pStyle w:val="Notes"/>
      </w:pPr>
      <w:r>
        <w:t xml:space="preserve">B </w:t>
      </w:r>
      <w:proofErr w:type="spellStart"/>
      <w:r>
        <w:t>AppSc</w:t>
      </w:r>
      <w:proofErr w:type="spellEnd"/>
      <w:r>
        <w:t xml:space="preserve">, M </w:t>
      </w:r>
      <w:proofErr w:type="spellStart"/>
      <w:r>
        <w:t>Sc</w:t>
      </w:r>
      <w:proofErr w:type="spellEnd"/>
      <w:r>
        <w:t xml:space="preserve"> (Physio) (CU), ASDA, GAICD</w:t>
      </w:r>
    </w:p>
    <w:p w14:paraId="2890D19A" w14:textId="5485E254" w:rsidR="00D85FF4" w:rsidRDefault="00D85FF4" w:rsidP="00D85FF4">
      <w:pPr>
        <w:pStyle w:val="BodyCopy"/>
      </w:pPr>
      <w:r>
        <w:t xml:space="preserve">Ms. Fiona Payne has more than 25 </w:t>
      </w:r>
      <w:proofErr w:type="spellStart"/>
      <w:proofErr w:type="gramStart"/>
      <w:r>
        <w:t>years</w:t>
      </w:r>
      <w:proofErr w:type="gramEnd"/>
      <w:r>
        <w:t xml:space="preserve"> experience</w:t>
      </w:r>
      <w:proofErr w:type="spellEnd"/>
      <w:r>
        <w:t xml:space="preserve"> on boards and committees in the community sector. She has worked directly with children with disability and their families, as a physiotherapist and manager of health and disability services as well as in systemic change roles. Ms. Payne is a member of the Board’s Sustainability Committee and ICT Committee and has a son with a vision impairment.</w:t>
      </w:r>
    </w:p>
    <w:p w14:paraId="56C5C3C8" w14:textId="77777777" w:rsidR="00D85FF4" w:rsidRDefault="00D85FF4" w:rsidP="00D85FF4">
      <w:pPr>
        <w:pStyle w:val="BodyCopy"/>
      </w:pPr>
      <w:r>
        <w:t>Declared personal interests:</w:t>
      </w:r>
    </w:p>
    <w:p w14:paraId="7BF4AA64" w14:textId="77777777" w:rsidR="00D85FF4" w:rsidRDefault="00D85FF4" w:rsidP="00D85FF4">
      <w:pPr>
        <w:pStyle w:val="BodyBullets"/>
      </w:pPr>
      <w:r>
        <w:t>Director, 360 Health + Community</w:t>
      </w:r>
    </w:p>
    <w:p w14:paraId="7439BD41" w14:textId="77777777" w:rsidR="00D85FF4" w:rsidRDefault="00D85FF4" w:rsidP="00D85FF4">
      <w:pPr>
        <w:pStyle w:val="BodyBullets"/>
      </w:pPr>
      <w:r>
        <w:t>Co-lead, Disability Health Network, Department of Health</w:t>
      </w:r>
    </w:p>
    <w:p w14:paraId="661E5B6D" w14:textId="77777777" w:rsidR="00D85FF4" w:rsidRDefault="00D85FF4" w:rsidP="00D85FF4">
      <w:pPr>
        <w:pStyle w:val="BodyBullets"/>
      </w:pPr>
      <w:r>
        <w:t xml:space="preserve">Project Consultant, Fiona Payne Pty Ltd </w:t>
      </w:r>
    </w:p>
    <w:p w14:paraId="35A64555" w14:textId="77777777" w:rsidR="00D85FF4" w:rsidRDefault="00D85FF4" w:rsidP="00D85FF4">
      <w:pPr>
        <w:pStyle w:val="BodyBullets"/>
      </w:pPr>
      <w:r>
        <w:t>Member, NDIS Perth Hills Local Advisory Group</w:t>
      </w:r>
    </w:p>
    <w:p w14:paraId="46BE9476" w14:textId="77777777" w:rsidR="00D85FF4" w:rsidRDefault="00D85FF4" w:rsidP="00D85FF4">
      <w:pPr>
        <w:pStyle w:val="BodyBullets"/>
      </w:pPr>
      <w:r>
        <w:lastRenderedPageBreak/>
        <w:t>Member, WA NDIS ‘</w:t>
      </w:r>
      <w:proofErr w:type="spellStart"/>
      <w:r>
        <w:t>MyWay</w:t>
      </w:r>
      <w:proofErr w:type="spellEnd"/>
      <w:r>
        <w:t>’ Reference Group</w:t>
      </w:r>
    </w:p>
    <w:p w14:paraId="185250C1" w14:textId="77777777" w:rsidR="00D85FF4" w:rsidRDefault="00D85FF4" w:rsidP="00D85FF4">
      <w:pPr>
        <w:pStyle w:val="BodyBullets"/>
      </w:pPr>
      <w:r>
        <w:t xml:space="preserve">Member, </w:t>
      </w:r>
      <w:proofErr w:type="spellStart"/>
      <w:r>
        <w:t>VisAbility</w:t>
      </w:r>
      <w:proofErr w:type="spellEnd"/>
      <w:r>
        <w:t xml:space="preserve"> Consumer Advisory Committee</w:t>
      </w:r>
    </w:p>
    <w:p w14:paraId="28F0C672" w14:textId="77777777" w:rsidR="00D85FF4" w:rsidRDefault="00D85FF4" w:rsidP="00D85FF4">
      <w:pPr>
        <w:pStyle w:val="BodyBullets"/>
      </w:pPr>
      <w:r>
        <w:t>Board Member, Margaret Court Community Outreach Inc.</w:t>
      </w:r>
    </w:p>
    <w:p w14:paraId="37F9BE15" w14:textId="167E8FBA" w:rsidR="00D85FF4" w:rsidRDefault="00D85FF4" w:rsidP="00D85FF4">
      <w:pPr>
        <w:pStyle w:val="BodyBullets-last"/>
      </w:pPr>
      <w:r>
        <w:t>Family member is a potential participant in the Scheme</w:t>
      </w:r>
    </w:p>
    <w:p w14:paraId="02FE0E17" w14:textId="1798DFB2" w:rsidR="00D85FF4" w:rsidRDefault="00D85FF4" w:rsidP="00D85FF4">
      <w:pPr>
        <w:pStyle w:val="Heading3"/>
      </w:pPr>
      <w:r>
        <w:t>Ms. Geraldine Harwood</w:t>
      </w:r>
    </w:p>
    <w:p w14:paraId="676F2F64" w14:textId="77777777" w:rsidR="00D85FF4" w:rsidRDefault="00D85FF4" w:rsidP="00D85FF4">
      <w:pPr>
        <w:pStyle w:val="Notes"/>
      </w:pPr>
      <w:r>
        <w:t>B A, Dip Ed, Grad Dip ASOS (Hons) UTAS, GAICD</w:t>
      </w:r>
    </w:p>
    <w:p w14:paraId="2F7A0186" w14:textId="77777777" w:rsidR="00D85FF4" w:rsidRDefault="00D85FF4" w:rsidP="00D85FF4">
      <w:pPr>
        <w:pStyle w:val="BodyCopy"/>
      </w:pPr>
      <w:r>
        <w:t xml:space="preserve">Board member Ms. Geraldine Harwood brings many years of expertise across the disability sector in Tasmania to the Scheme. Prior to 2012, she was the long-term CEO of </w:t>
      </w:r>
      <w:proofErr w:type="spellStart"/>
      <w:r>
        <w:t>Optia</w:t>
      </w:r>
      <w:proofErr w:type="spellEnd"/>
      <w:r>
        <w:t xml:space="preserve"> Incorporated, a large innovative specialist disability service provider. She was highly active in the creation of the Scheme, serving in a number of related board and committee roles, of particular note involvement with workforce issues and planning, ageing and disability and transition across various life span touchpoints. Ms. Harwood is a member of the Board’s Audit, Risk and Finance Committee (ARFC).</w:t>
      </w:r>
    </w:p>
    <w:p w14:paraId="76993543" w14:textId="77777777" w:rsidR="00D85FF4" w:rsidRDefault="00D85FF4" w:rsidP="00D85FF4">
      <w:pPr>
        <w:pStyle w:val="BodyCopy"/>
      </w:pPr>
      <w:r>
        <w:t>Declared personal interests:</w:t>
      </w:r>
    </w:p>
    <w:p w14:paraId="6E9D4565" w14:textId="77777777" w:rsidR="00D85FF4" w:rsidRDefault="00D85FF4" w:rsidP="00D85FF4">
      <w:pPr>
        <w:pStyle w:val="BodyBullets"/>
      </w:pPr>
      <w:r>
        <w:t>Director, Scouts Australia Institute of Training</w:t>
      </w:r>
    </w:p>
    <w:p w14:paraId="227C2FDA" w14:textId="38792169" w:rsidR="00D85FF4" w:rsidRDefault="00D85FF4" w:rsidP="00D85FF4">
      <w:pPr>
        <w:pStyle w:val="BodyBullets"/>
      </w:pPr>
      <w:r>
        <w:t>Manager-Consumer Engagement, Anglicare Tasmania</w:t>
      </w:r>
    </w:p>
    <w:p w14:paraId="114470ED" w14:textId="77777777" w:rsidR="00D85FF4" w:rsidRDefault="00D85FF4" w:rsidP="00D85FF4">
      <w:pPr>
        <w:pStyle w:val="BodyBullets"/>
      </w:pPr>
      <w:r>
        <w:t xml:space="preserve">Life member, </w:t>
      </w:r>
      <w:proofErr w:type="spellStart"/>
      <w:r>
        <w:t>Optia</w:t>
      </w:r>
      <w:proofErr w:type="spellEnd"/>
    </w:p>
    <w:p w14:paraId="09ACE674" w14:textId="77777777" w:rsidR="00D85FF4" w:rsidRDefault="00D85FF4" w:rsidP="00D85FF4">
      <w:pPr>
        <w:pStyle w:val="BodyBullets-last"/>
      </w:pPr>
      <w:r>
        <w:t>Branch Commissioner Special Needs, Tasmania (Scouts Australia)</w:t>
      </w:r>
    </w:p>
    <w:p w14:paraId="4911A604" w14:textId="7817644A" w:rsidR="00D85FF4" w:rsidRDefault="00D85FF4" w:rsidP="00D85FF4">
      <w:pPr>
        <w:pStyle w:val="Heading3"/>
        <w:spacing w:before="964"/>
      </w:pPr>
      <w:proofErr w:type="spellStart"/>
      <w:r>
        <w:t>Mr</w:t>
      </w:r>
      <w:proofErr w:type="spellEnd"/>
      <w:r>
        <w:t xml:space="preserve"> Glenn Keys</w:t>
      </w:r>
    </w:p>
    <w:p w14:paraId="451AB1EF" w14:textId="77777777" w:rsidR="00D85FF4" w:rsidRDefault="00D85FF4" w:rsidP="00D85FF4">
      <w:pPr>
        <w:pStyle w:val="Notes"/>
      </w:pPr>
      <w:r>
        <w:t>B E (</w:t>
      </w:r>
      <w:proofErr w:type="spellStart"/>
      <w:r>
        <w:t>Mech</w:t>
      </w:r>
      <w:proofErr w:type="spellEnd"/>
      <w:r>
        <w:t>) UNSW</w:t>
      </w:r>
    </w:p>
    <w:p w14:paraId="2C28E66E" w14:textId="77777777" w:rsidR="00D85FF4" w:rsidRDefault="00D85FF4" w:rsidP="00D85FF4">
      <w:pPr>
        <w:pStyle w:val="BodyCopy"/>
      </w:pPr>
      <w:r>
        <w:t xml:space="preserve">Board member </w:t>
      </w:r>
      <w:proofErr w:type="spellStart"/>
      <w:r>
        <w:t>Mr</w:t>
      </w:r>
      <w:proofErr w:type="spellEnd"/>
      <w:r>
        <w:t xml:space="preserve"> Glenn Keys has long been involved in efforts to improve the lives of people with disability, including through his involvement in the Special Olympics, the Down Syndrome Association and the disability housing sector. He has a background in the health sector as the co-founder and Co-Executive Chairman of Aspen Medical, and the Founder and Chairman for Project Independence, an initiative offering home ownership to people with disability. </w:t>
      </w:r>
      <w:r>
        <w:br/>
      </w:r>
      <w:proofErr w:type="spellStart"/>
      <w:r>
        <w:t>Mr</w:t>
      </w:r>
      <w:proofErr w:type="spellEnd"/>
      <w:r>
        <w:t xml:space="preserve"> Keys was named 2015 Australian Capital Territory Australian of the Year. He is the chair of the Board’s ICT Committee and has a child with an intellectual disability. </w:t>
      </w:r>
    </w:p>
    <w:p w14:paraId="381CE42D" w14:textId="77777777" w:rsidR="00D85FF4" w:rsidRDefault="00D85FF4" w:rsidP="00D85FF4">
      <w:pPr>
        <w:pStyle w:val="BodyCopy"/>
      </w:pPr>
      <w:r>
        <w:t>Declared personal interests:</w:t>
      </w:r>
    </w:p>
    <w:p w14:paraId="476A607F" w14:textId="77777777" w:rsidR="00D85FF4" w:rsidRDefault="00D85FF4" w:rsidP="00D85FF4">
      <w:pPr>
        <w:pStyle w:val="BodyBullets"/>
      </w:pPr>
      <w:r>
        <w:t>Adjunct Professor, University of Canberra</w:t>
      </w:r>
    </w:p>
    <w:p w14:paraId="5704D348" w14:textId="77777777" w:rsidR="00D85FF4" w:rsidRDefault="00D85FF4" w:rsidP="00D85FF4">
      <w:pPr>
        <w:pStyle w:val="BodyBullets"/>
      </w:pPr>
      <w:r>
        <w:t>Co-Executive Chairman, Aspen Medical Pty Ltd and subsidiaries (various international)</w:t>
      </w:r>
    </w:p>
    <w:p w14:paraId="6F2A679E" w14:textId="77777777" w:rsidR="00D85FF4" w:rsidRDefault="00D85FF4" w:rsidP="00D85FF4">
      <w:pPr>
        <w:pStyle w:val="BodyBullets"/>
      </w:pPr>
      <w:r>
        <w:t>Director, Aspen CMO Pty Ltd (trading as Aspen Corporate Health)</w:t>
      </w:r>
    </w:p>
    <w:p w14:paraId="48D5F8E8" w14:textId="77777777" w:rsidR="00D85FF4" w:rsidRDefault="00D85FF4" w:rsidP="00D85FF4">
      <w:pPr>
        <w:pStyle w:val="BodyBullets"/>
      </w:pPr>
      <w:r>
        <w:t>Director, Remote Area Health Corps Pty Ltd</w:t>
      </w:r>
    </w:p>
    <w:p w14:paraId="53BAB452" w14:textId="77777777" w:rsidR="00D85FF4" w:rsidRDefault="00D85FF4" w:rsidP="00D85FF4">
      <w:pPr>
        <w:pStyle w:val="BodyBullets"/>
      </w:pPr>
      <w:r>
        <w:t>Chairman, AMV Australia Pty Ltd</w:t>
      </w:r>
    </w:p>
    <w:p w14:paraId="3CA4980A" w14:textId="77777777" w:rsidR="00D85FF4" w:rsidRDefault="00D85FF4" w:rsidP="00D85FF4">
      <w:pPr>
        <w:pStyle w:val="BodyBullets"/>
      </w:pPr>
      <w:r>
        <w:t>Director, Peak Recruitment Pty Ltd</w:t>
      </w:r>
    </w:p>
    <w:p w14:paraId="116980D7" w14:textId="77777777" w:rsidR="00D85FF4" w:rsidRDefault="00D85FF4" w:rsidP="00D85FF4">
      <w:pPr>
        <w:pStyle w:val="BodyBullets"/>
      </w:pPr>
      <w:r>
        <w:lastRenderedPageBreak/>
        <w:t>Director, National Ambulance Company (NAC)</w:t>
      </w:r>
    </w:p>
    <w:p w14:paraId="17807D58" w14:textId="77777777" w:rsidR="00D85FF4" w:rsidRDefault="00D85FF4" w:rsidP="00D85FF4">
      <w:pPr>
        <w:pStyle w:val="BodyBullets"/>
      </w:pPr>
      <w:r>
        <w:t>Director, Canberra Business Council</w:t>
      </w:r>
    </w:p>
    <w:p w14:paraId="37554627" w14:textId="77777777" w:rsidR="00D85FF4" w:rsidRDefault="00D85FF4" w:rsidP="00D85FF4">
      <w:pPr>
        <w:pStyle w:val="BodyBullets"/>
      </w:pPr>
      <w:r>
        <w:t>Chairman, Canberra Business Chamber</w:t>
      </w:r>
    </w:p>
    <w:p w14:paraId="5D710DF3" w14:textId="0C55E366" w:rsidR="00D85FF4" w:rsidRDefault="00D85FF4" w:rsidP="00D85FF4">
      <w:pPr>
        <w:pStyle w:val="BodyBullets"/>
      </w:pPr>
      <w:r>
        <w:t>Director, Australian Health Ministers’ Advisory Council</w:t>
      </w:r>
    </w:p>
    <w:p w14:paraId="5530FD91" w14:textId="77777777" w:rsidR="00D85FF4" w:rsidRDefault="00D85FF4" w:rsidP="00D85FF4">
      <w:pPr>
        <w:pStyle w:val="BodyBullets"/>
      </w:pPr>
      <w:r>
        <w:t>Board Member, National Capital Authority</w:t>
      </w:r>
    </w:p>
    <w:p w14:paraId="537C78CB" w14:textId="56017747" w:rsidR="00D85FF4" w:rsidRDefault="00D85FF4" w:rsidP="00D85FF4">
      <w:pPr>
        <w:pStyle w:val="BodyBullets"/>
      </w:pPr>
      <w:r>
        <w:t>Member, University of NSW (Canberra) Advisory Council</w:t>
      </w:r>
    </w:p>
    <w:p w14:paraId="6932EAC5" w14:textId="77777777" w:rsidR="00D85FF4" w:rsidRDefault="00D85FF4" w:rsidP="00D85FF4">
      <w:pPr>
        <w:pStyle w:val="BodyBullets"/>
      </w:pPr>
      <w:r>
        <w:t>Member of Expert Panel for the Australian Capital Territory Disability Expert Panel</w:t>
      </w:r>
    </w:p>
    <w:p w14:paraId="61657E67" w14:textId="77777777" w:rsidR="00D85FF4" w:rsidRDefault="00D85FF4" w:rsidP="00D85FF4">
      <w:pPr>
        <w:pStyle w:val="BodyBullets"/>
      </w:pPr>
      <w:r>
        <w:t>Board Member, Capital Region Primary Healthcare Network</w:t>
      </w:r>
    </w:p>
    <w:p w14:paraId="0DAF1268" w14:textId="77777777" w:rsidR="00D85FF4" w:rsidRDefault="00D85FF4" w:rsidP="00D85FF4">
      <w:pPr>
        <w:pStyle w:val="BodyBullets"/>
      </w:pPr>
      <w:r>
        <w:t>Founder of Project Independence</w:t>
      </w:r>
    </w:p>
    <w:p w14:paraId="1061E338" w14:textId="77777777" w:rsidR="00D85FF4" w:rsidRDefault="00D85FF4" w:rsidP="00D85FF4">
      <w:pPr>
        <w:pStyle w:val="BodyBullets-last"/>
      </w:pPr>
      <w:r>
        <w:t>Family members are potential participants in the Scheme</w:t>
      </w:r>
    </w:p>
    <w:p w14:paraId="1656A11B" w14:textId="37C0D2EE" w:rsidR="00D85FF4" w:rsidRDefault="00D85FF4" w:rsidP="00D85FF4">
      <w:pPr>
        <w:pStyle w:val="Heading3"/>
      </w:pPr>
      <w:proofErr w:type="spellStart"/>
      <w:r>
        <w:t>Mr</w:t>
      </w:r>
      <w:proofErr w:type="spellEnd"/>
      <w:r>
        <w:t xml:space="preserve"> John Hill PSM</w:t>
      </w:r>
    </w:p>
    <w:p w14:paraId="146F4069" w14:textId="77777777" w:rsidR="00D85FF4" w:rsidRDefault="00D85FF4" w:rsidP="00D85FF4">
      <w:pPr>
        <w:pStyle w:val="Notes"/>
      </w:pPr>
      <w:r>
        <w:t xml:space="preserve">B </w:t>
      </w:r>
      <w:proofErr w:type="spellStart"/>
      <w:r>
        <w:t>Ec</w:t>
      </w:r>
      <w:proofErr w:type="spellEnd"/>
      <w:r>
        <w:t xml:space="preserve"> (Adel.)</w:t>
      </w:r>
    </w:p>
    <w:p w14:paraId="0B06A715" w14:textId="77777777" w:rsidR="00D85FF4" w:rsidRDefault="00D85FF4" w:rsidP="00D85FF4">
      <w:pPr>
        <w:pStyle w:val="BodyCopy"/>
      </w:pPr>
      <w:r>
        <w:t>Board member Mr. John Hill PSM is a former Deputy Under Treasurer with the South Australian Department of Treasury and Finance who brings extensive knowledge of government and financial matters to the Scheme. Mr. Hill is the Chair of the Board’s Audit, Risk and Finance Committee, and a member of the Board’s Sustainability Committee.</w:t>
      </w:r>
    </w:p>
    <w:p w14:paraId="1944872E" w14:textId="77777777" w:rsidR="00D85FF4" w:rsidRDefault="00D85FF4" w:rsidP="00D85FF4">
      <w:pPr>
        <w:pStyle w:val="BodyCopy"/>
      </w:pPr>
      <w:r>
        <w:t>Declared personal interests:</w:t>
      </w:r>
    </w:p>
    <w:p w14:paraId="7502AC2D" w14:textId="77777777" w:rsidR="00D85FF4" w:rsidRDefault="00D85FF4" w:rsidP="00D85FF4">
      <w:pPr>
        <w:pStyle w:val="BodyBullets"/>
      </w:pPr>
      <w:r>
        <w:t>Board Member, Meals on Wheels (South Australia) Inc.</w:t>
      </w:r>
    </w:p>
    <w:p w14:paraId="02942A98" w14:textId="1149B39D" w:rsidR="00D85FF4" w:rsidRDefault="00D85FF4" w:rsidP="00D85FF4">
      <w:pPr>
        <w:pStyle w:val="BodyBullets"/>
      </w:pPr>
      <w:r>
        <w:t>Member Audit Committee, University of Adelaide</w:t>
      </w:r>
    </w:p>
    <w:p w14:paraId="0932C098" w14:textId="77777777" w:rsidR="00D85FF4" w:rsidRDefault="00D85FF4" w:rsidP="00D85FF4">
      <w:pPr>
        <w:pStyle w:val="BodyBullets"/>
      </w:pPr>
      <w:r>
        <w:t>Member Audit Committee, Department of Treasury and Finance (South Australia)</w:t>
      </w:r>
    </w:p>
    <w:p w14:paraId="7B13439C" w14:textId="77777777" w:rsidR="00D85FF4" w:rsidRDefault="00D85FF4" w:rsidP="00D85FF4">
      <w:pPr>
        <w:pStyle w:val="BodyBullets"/>
      </w:pPr>
      <w:r>
        <w:t>Member Audit Committee, Department of State Development (South Australia)</w:t>
      </w:r>
    </w:p>
    <w:p w14:paraId="2D15B7F1" w14:textId="537C5930" w:rsidR="00D85FF4" w:rsidRDefault="00D85FF4" w:rsidP="00D85FF4">
      <w:pPr>
        <w:pStyle w:val="BodyBullets"/>
      </w:pPr>
      <w:r>
        <w:t>John Hill Rounds Service, filing service for law firms</w:t>
      </w:r>
    </w:p>
    <w:p w14:paraId="353E620E" w14:textId="64766765" w:rsidR="00D85FF4" w:rsidRDefault="00D85FF4" w:rsidP="00D85FF4">
      <w:pPr>
        <w:pStyle w:val="BodyBullets"/>
      </w:pPr>
      <w:r>
        <w:t>Family member is a potential participant in the Scheme</w:t>
      </w:r>
    </w:p>
    <w:p w14:paraId="35449432" w14:textId="2D69692E" w:rsidR="00D85FF4" w:rsidRDefault="00D85FF4" w:rsidP="00D85FF4">
      <w:pPr>
        <w:pStyle w:val="BodyBullets-last"/>
      </w:pPr>
      <w:r>
        <w:t>Family member is a potential service provider to the Scheme</w:t>
      </w:r>
    </w:p>
    <w:p w14:paraId="22F6053A" w14:textId="5FD656A1" w:rsidR="00D85FF4" w:rsidRDefault="00D85FF4" w:rsidP="00D85FF4">
      <w:pPr>
        <w:pStyle w:val="Heading3"/>
      </w:pPr>
      <w:proofErr w:type="spellStart"/>
      <w:r>
        <w:t>Mr</w:t>
      </w:r>
      <w:proofErr w:type="spellEnd"/>
      <w:r>
        <w:t xml:space="preserve"> John Walsh AM</w:t>
      </w:r>
    </w:p>
    <w:p w14:paraId="53334B59" w14:textId="77777777" w:rsidR="00D85FF4" w:rsidRDefault="00D85FF4" w:rsidP="00D85FF4">
      <w:pPr>
        <w:pStyle w:val="Notes"/>
      </w:pPr>
      <w:r>
        <w:t xml:space="preserve">B </w:t>
      </w:r>
      <w:proofErr w:type="spellStart"/>
      <w:r>
        <w:t>Sc</w:t>
      </w:r>
      <w:proofErr w:type="spellEnd"/>
      <w:r>
        <w:t xml:space="preserve"> (Syd), FIAA</w:t>
      </w:r>
    </w:p>
    <w:p w14:paraId="71DE87E5" w14:textId="77777777" w:rsidR="00D85FF4" w:rsidRDefault="00D85FF4" w:rsidP="00D85FF4">
      <w:pPr>
        <w:pStyle w:val="BodyCopy"/>
      </w:pPr>
      <w:proofErr w:type="spellStart"/>
      <w:r>
        <w:t>Mr</w:t>
      </w:r>
      <w:proofErr w:type="spellEnd"/>
      <w:r>
        <w:t xml:space="preserve"> John Walsh AM is one of Australia’s leading actuaries. He is a retired Partner of PricewaterhouseCoopers, where he worked for over 20 years in the areas of social policy and funding across accident compensation, health and disability. He has personal experience of disability, having lived with quadriplegia following a rugby league accident in his early-twenties. He is currently Chair of the Board’s Sustainability Committee and a member of the ICT Committee.</w:t>
      </w:r>
    </w:p>
    <w:p w14:paraId="011051FC" w14:textId="77777777" w:rsidR="00D85FF4" w:rsidRDefault="00D85FF4" w:rsidP="00D85FF4">
      <w:pPr>
        <w:pStyle w:val="BodyCopy"/>
      </w:pPr>
      <w:r>
        <w:t>Declared personal interests:</w:t>
      </w:r>
    </w:p>
    <w:p w14:paraId="6A25D256" w14:textId="77777777" w:rsidR="00D85FF4" w:rsidRDefault="00D85FF4" w:rsidP="00D85FF4">
      <w:pPr>
        <w:pStyle w:val="BodyBullets"/>
      </w:pPr>
      <w:r>
        <w:lastRenderedPageBreak/>
        <w:t>Deputy Chair, National Health Performance Authority</w:t>
      </w:r>
    </w:p>
    <w:p w14:paraId="48032A60" w14:textId="77777777" w:rsidR="00D85FF4" w:rsidRDefault="00D85FF4" w:rsidP="00D85FF4">
      <w:pPr>
        <w:pStyle w:val="BodyBullets"/>
      </w:pPr>
      <w:r>
        <w:t>Retired Partner, PricewaterhouseCoopers</w:t>
      </w:r>
    </w:p>
    <w:p w14:paraId="3C7D70DA" w14:textId="77777777" w:rsidR="00D85FF4" w:rsidRDefault="00D85FF4" w:rsidP="00D85FF4">
      <w:pPr>
        <w:pStyle w:val="BodyBullets"/>
      </w:pPr>
      <w:r>
        <w:t xml:space="preserve">Actuary, </w:t>
      </w:r>
      <w:proofErr w:type="spellStart"/>
      <w:r>
        <w:t>Magoo</w:t>
      </w:r>
      <w:proofErr w:type="spellEnd"/>
      <w:r>
        <w:t xml:space="preserve"> Actuarial Consulting Pty Ltd</w:t>
      </w:r>
    </w:p>
    <w:p w14:paraId="335F3C14" w14:textId="77777777" w:rsidR="00D85FF4" w:rsidRDefault="00D85FF4" w:rsidP="00D85FF4">
      <w:pPr>
        <w:pStyle w:val="BodyBullets"/>
      </w:pPr>
      <w:r>
        <w:t>Scheme Actuary, New South Wales Lifetime Care and Support Authority</w:t>
      </w:r>
    </w:p>
    <w:p w14:paraId="67909FC8" w14:textId="77777777" w:rsidR="00D85FF4" w:rsidRDefault="00D85FF4" w:rsidP="00D85FF4">
      <w:pPr>
        <w:pStyle w:val="BodyBullets"/>
      </w:pPr>
      <w:r>
        <w:t>Peer review actuary, South Australian Lifetime Support Scheme</w:t>
      </w:r>
    </w:p>
    <w:p w14:paraId="324EB7AA" w14:textId="77777777" w:rsidR="00D85FF4" w:rsidRDefault="00D85FF4" w:rsidP="00D85FF4">
      <w:pPr>
        <w:pStyle w:val="BodyBullets-last"/>
      </w:pPr>
      <w:r>
        <w:t>Adjunct Professor, University of Sydney School of Medicine</w:t>
      </w:r>
    </w:p>
    <w:p w14:paraId="10E8BFD7" w14:textId="53D71A3A" w:rsidR="00D85FF4" w:rsidRDefault="00D85FF4" w:rsidP="00D85FF4">
      <w:pPr>
        <w:pStyle w:val="Heading3"/>
      </w:pPr>
      <w:proofErr w:type="spellStart"/>
      <w:r>
        <w:t>Mr</w:t>
      </w:r>
      <w:proofErr w:type="spellEnd"/>
      <w:r>
        <w:t xml:space="preserve"> Martin Laverty</w:t>
      </w:r>
    </w:p>
    <w:p w14:paraId="4C144EBB" w14:textId="77777777" w:rsidR="00D85FF4" w:rsidRDefault="00D85FF4" w:rsidP="00D85FF4">
      <w:pPr>
        <w:pStyle w:val="Notes"/>
      </w:pPr>
      <w:r>
        <w:t xml:space="preserve">LLM (NTU), PhD </w:t>
      </w:r>
      <w:proofErr w:type="spellStart"/>
      <w:r>
        <w:t>cand</w:t>
      </w:r>
      <w:proofErr w:type="spellEnd"/>
      <w:r>
        <w:t xml:space="preserve"> (UNE)</w:t>
      </w:r>
    </w:p>
    <w:p w14:paraId="421D3B8B" w14:textId="77777777" w:rsidR="00D85FF4" w:rsidRDefault="00D85FF4" w:rsidP="00D85FF4">
      <w:pPr>
        <w:pStyle w:val="BodyCopy"/>
      </w:pPr>
      <w:proofErr w:type="spellStart"/>
      <w:r>
        <w:t>Mr</w:t>
      </w:r>
      <w:proofErr w:type="spellEnd"/>
      <w:r>
        <w:t xml:space="preserve"> Martin Laverty is the CEO of the Royal Flying Doctor Service of Australia. Previously, he was CEO of the hospital and aged care group, Catholic Health Australia. </w:t>
      </w:r>
      <w:proofErr w:type="spellStart"/>
      <w:r>
        <w:t>Mr</w:t>
      </w:r>
      <w:proofErr w:type="spellEnd"/>
      <w:r>
        <w:t xml:space="preserve"> Laverty is a former Board chair of both the New South Wales disability service </w:t>
      </w:r>
      <w:proofErr w:type="spellStart"/>
      <w:r>
        <w:t>organisations</w:t>
      </w:r>
      <w:proofErr w:type="spellEnd"/>
      <w:r>
        <w:t xml:space="preserve">, Sunshine and Challenge Southern Highlands, and former Board member of the New South Wales Muscular Dystrophy Association. </w:t>
      </w:r>
      <w:proofErr w:type="spellStart"/>
      <w:r>
        <w:t>Mr</w:t>
      </w:r>
      <w:proofErr w:type="spellEnd"/>
      <w:r>
        <w:t xml:space="preserve"> Laverty is a member of the Board’s Audit, Risk and Finance Committee.</w:t>
      </w:r>
    </w:p>
    <w:p w14:paraId="768214A4" w14:textId="77777777" w:rsidR="00D85FF4" w:rsidRDefault="00D85FF4" w:rsidP="00D85FF4">
      <w:pPr>
        <w:pStyle w:val="BodyCopy"/>
      </w:pPr>
      <w:r>
        <w:t>Declared personal interests:</w:t>
      </w:r>
    </w:p>
    <w:p w14:paraId="775ECCEA" w14:textId="77777777" w:rsidR="00D85FF4" w:rsidRDefault="00D85FF4" w:rsidP="00D85FF4">
      <w:pPr>
        <w:pStyle w:val="BodyBullets"/>
      </w:pPr>
      <w:r>
        <w:t>CEO, Royal Flying Doctor Service of Australia</w:t>
      </w:r>
    </w:p>
    <w:p w14:paraId="0AE8183C" w14:textId="77777777" w:rsidR="00D85FF4" w:rsidRDefault="00D85FF4" w:rsidP="00D85FF4">
      <w:pPr>
        <w:pStyle w:val="BodyBullets"/>
      </w:pPr>
      <w:r>
        <w:t>Board Director, New South Wales Public Service Commission</w:t>
      </w:r>
    </w:p>
    <w:p w14:paraId="04F66694" w14:textId="77777777" w:rsidR="00D85FF4" w:rsidRDefault="00D85FF4" w:rsidP="00D85FF4">
      <w:pPr>
        <w:pStyle w:val="BodyBullets"/>
      </w:pPr>
      <w:r>
        <w:t>Council Member, National Rural Health Alliance</w:t>
      </w:r>
    </w:p>
    <w:p w14:paraId="7BC9F8C1" w14:textId="77777777" w:rsidR="00D85FF4" w:rsidRDefault="00D85FF4" w:rsidP="00D85FF4">
      <w:pPr>
        <w:pStyle w:val="BodyBullets"/>
      </w:pPr>
      <w:r>
        <w:t>Council Member, Commonwealth Department of Infrastructure and Regional Development Aviation Industry Consultative Council</w:t>
      </w:r>
    </w:p>
    <w:p w14:paraId="0E58FEC6" w14:textId="77777777" w:rsidR="00D85FF4" w:rsidRDefault="00D85FF4" w:rsidP="00D85FF4">
      <w:pPr>
        <w:pStyle w:val="BodyBullets"/>
      </w:pPr>
      <w:r>
        <w:t>Advisory Board Member, Australian Charities and Not-for-Profit Commission</w:t>
      </w:r>
    </w:p>
    <w:p w14:paraId="0732B2BF" w14:textId="77777777" w:rsidR="00D85FF4" w:rsidRDefault="00D85FF4" w:rsidP="00D85FF4">
      <w:pPr>
        <w:pStyle w:val="BodyBullets"/>
      </w:pPr>
      <w:r>
        <w:t>Life Member, Challenge Southern Highlands</w:t>
      </w:r>
    </w:p>
    <w:p w14:paraId="3F00016F" w14:textId="77777777" w:rsidR="00D85FF4" w:rsidRDefault="00D85FF4" w:rsidP="00D85FF4">
      <w:pPr>
        <w:pStyle w:val="BodyBullets-last"/>
      </w:pPr>
      <w:r>
        <w:t>Life Member, Lorna Hodgkinson Sunshine Home</w:t>
      </w:r>
    </w:p>
    <w:p w14:paraId="7E43D411" w14:textId="16F72F17" w:rsidR="00D85FF4" w:rsidRDefault="00D85FF4" w:rsidP="00D85FF4">
      <w:pPr>
        <w:pStyle w:val="Heading3"/>
      </w:pPr>
      <w:r>
        <w:t xml:space="preserve">Professor Rhonda </w:t>
      </w:r>
      <w:proofErr w:type="spellStart"/>
      <w:r>
        <w:t>Galbally</w:t>
      </w:r>
      <w:proofErr w:type="spellEnd"/>
      <w:r>
        <w:t xml:space="preserve"> AO</w:t>
      </w:r>
    </w:p>
    <w:p w14:paraId="0B2B7ABA" w14:textId="77777777" w:rsidR="00D85FF4" w:rsidRDefault="00D85FF4" w:rsidP="00D85FF4">
      <w:pPr>
        <w:pStyle w:val="Notes"/>
      </w:pPr>
      <w:r>
        <w:t xml:space="preserve">B </w:t>
      </w:r>
      <w:proofErr w:type="spellStart"/>
      <w:r>
        <w:t>Ec</w:t>
      </w:r>
      <w:proofErr w:type="spellEnd"/>
      <w:r>
        <w:t>, DipEd (Monash), M A Prelim (La Trobe), Dip Remedial (Hawthorn Institute) (</w:t>
      </w:r>
      <w:proofErr w:type="spellStart"/>
      <w:r>
        <w:t>Melb</w:t>
      </w:r>
      <w:proofErr w:type="spellEnd"/>
      <w:r>
        <w:t xml:space="preserve">), D </w:t>
      </w:r>
      <w:proofErr w:type="spellStart"/>
      <w:r>
        <w:t>SocSc</w:t>
      </w:r>
      <w:proofErr w:type="spellEnd"/>
      <w:r>
        <w:t xml:space="preserve"> (Hon) (RMIT), D </w:t>
      </w:r>
      <w:proofErr w:type="spellStart"/>
      <w:r>
        <w:t>HSc</w:t>
      </w:r>
      <w:proofErr w:type="spellEnd"/>
      <w:r>
        <w:t xml:space="preserve"> (Hon) (La Trobe).</w:t>
      </w:r>
    </w:p>
    <w:p w14:paraId="1E0FF070" w14:textId="77777777" w:rsidR="00D85FF4" w:rsidRDefault="00D85FF4" w:rsidP="00D85FF4">
      <w:pPr>
        <w:pStyle w:val="BodyCopy"/>
      </w:pPr>
      <w:r>
        <w:t xml:space="preserve">Professor Rhonda </w:t>
      </w:r>
      <w:proofErr w:type="spellStart"/>
      <w:r>
        <w:t>Galbally</w:t>
      </w:r>
      <w:proofErr w:type="spellEnd"/>
      <w:r>
        <w:t xml:space="preserve"> AO is a member of the NDIA Board, a member of the Board’s Sustainability Committee, and Principal Member of the Independent Advisory Council. Professor </w:t>
      </w:r>
      <w:proofErr w:type="spellStart"/>
      <w:r>
        <w:t>Galbally</w:t>
      </w:r>
      <w:proofErr w:type="spellEnd"/>
      <w:r>
        <w:t xml:space="preserve"> has vast experience in health development, disability, and social and housing policy, having in the past served as Chair of the National People with Disabilities and </w:t>
      </w:r>
      <w:proofErr w:type="spellStart"/>
      <w:r>
        <w:t>Carer</w:t>
      </w:r>
      <w:proofErr w:type="spellEnd"/>
      <w:r>
        <w:t xml:space="preserve"> Council. Previously a CEO, Chair Board Director or member of government, non-government and private entities, she too was heavily involved in the creation of the Scheme.</w:t>
      </w:r>
    </w:p>
    <w:p w14:paraId="6487BB5F" w14:textId="77777777" w:rsidR="00D85FF4" w:rsidRDefault="00D85FF4" w:rsidP="00D85FF4">
      <w:pPr>
        <w:pStyle w:val="BodyCopy"/>
      </w:pPr>
      <w:r>
        <w:t>Declared personal interests:</w:t>
      </w:r>
    </w:p>
    <w:p w14:paraId="462C1EAD" w14:textId="77777777" w:rsidR="00D85FF4" w:rsidRDefault="00D85FF4" w:rsidP="00D85FF4">
      <w:pPr>
        <w:pStyle w:val="BodyBullets"/>
      </w:pPr>
      <w:r>
        <w:t>Director, Australian Psychoanalytic Foundation</w:t>
      </w:r>
    </w:p>
    <w:p w14:paraId="25A1B3A8" w14:textId="77777777" w:rsidR="00D85FF4" w:rsidRDefault="00D85FF4" w:rsidP="00D85FF4">
      <w:pPr>
        <w:pStyle w:val="BodyBullets"/>
      </w:pPr>
      <w:r>
        <w:t xml:space="preserve">Patron, National Youth Homelessness Commission </w:t>
      </w:r>
    </w:p>
    <w:p w14:paraId="47760195" w14:textId="77777777" w:rsidR="00D85FF4" w:rsidRDefault="00D85FF4" w:rsidP="00D85FF4">
      <w:pPr>
        <w:pStyle w:val="BodyBullets"/>
      </w:pPr>
      <w:r>
        <w:lastRenderedPageBreak/>
        <w:t>Ambassador, Dying with Dignity</w:t>
      </w:r>
    </w:p>
    <w:p w14:paraId="15278AE5" w14:textId="77777777" w:rsidR="00D85FF4" w:rsidRDefault="00D85FF4" w:rsidP="00D85FF4">
      <w:pPr>
        <w:pStyle w:val="BodyBullets"/>
      </w:pPr>
      <w:r>
        <w:t>Chair, International Evaluation Board for the Thai Health Promotion Foundation</w:t>
      </w:r>
    </w:p>
    <w:p w14:paraId="29083DE6" w14:textId="77777777" w:rsidR="00D85FF4" w:rsidRDefault="00D85FF4" w:rsidP="00D85FF4">
      <w:pPr>
        <w:pStyle w:val="BodyBullets"/>
      </w:pPr>
      <w:r>
        <w:t>Patron, Compassionate Friends</w:t>
      </w:r>
    </w:p>
    <w:p w14:paraId="3C3B57B4" w14:textId="77777777" w:rsidR="00D85FF4" w:rsidRDefault="00D85FF4" w:rsidP="00D85FF4">
      <w:pPr>
        <w:pStyle w:val="BodyBullets-last"/>
      </w:pPr>
      <w:r>
        <w:t>Adjunct Professor in the Faculty of Health Sciences and Development at Deakin University</w:t>
      </w:r>
    </w:p>
    <w:p w14:paraId="4BA0623E" w14:textId="0CA27E79" w:rsidR="00D85FF4" w:rsidRDefault="00D85FF4" w:rsidP="00B26DB7">
      <w:pPr>
        <w:pStyle w:val="Heading3Tables"/>
      </w:pPr>
      <w:bookmarkStart w:id="41" w:name="_Toc464481224"/>
      <w:r>
        <w:t>Table 2: Board members’ positions, terms and meetings attended</w:t>
      </w:r>
      <w:bookmarkEnd w:id="41"/>
      <w:r>
        <w:t xml:space="preserve"> </w:t>
      </w:r>
    </w:p>
    <w:tbl>
      <w:tblPr>
        <w:tblW w:w="0" w:type="auto"/>
        <w:tblInd w:w="-8" w:type="dxa"/>
        <w:tblLayout w:type="fixed"/>
        <w:tblCellMar>
          <w:left w:w="0" w:type="dxa"/>
          <w:right w:w="0" w:type="dxa"/>
        </w:tblCellMar>
        <w:tblLook w:val="0000" w:firstRow="0" w:lastRow="0" w:firstColumn="0" w:lastColumn="0" w:noHBand="0" w:noVBand="0"/>
      </w:tblPr>
      <w:tblGrid>
        <w:gridCol w:w="1236"/>
        <w:gridCol w:w="1032"/>
        <w:gridCol w:w="1345"/>
        <w:gridCol w:w="1093"/>
        <w:gridCol w:w="1248"/>
        <w:gridCol w:w="992"/>
        <w:gridCol w:w="1134"/>
        <w:gridCol w:w="1134"/>
      </w:tblGrid>
      <w:tr w:rsidR="007303A7" w14:paraId="7F50636A" w14:textId="77777777" w:rsidTr="007303A7">
        <w:trPr>
          <w:trHeight w:val="60"/>
          <w:tblHeader/>
        </w:trPr>
        <w:tc>
          <w:tcPr>
            <w:tcW w:w="1236" w:type="dxa"/>
            <w:tcBorders>
              <w:top w:val="single" w:sz="6" w:space="0" w:color="FFFFFF"/>
              <w:left w:val="single" w:sz="6" w:space="0" w:color="FFFFFF"/>
              <w:bottom w:val="single" w:sz="6" w:space="0" w:color="8A8A84"/>
              <w:right w:val="single" w:sz="6" w:space="0" w:color="FFFFFF"/>
            </w:tcBorders>
            <w:shd w:val="solid" w:color="000000" w:fill="auto"/>
            <w:tcMar>
              <w:top w:w="85" w:type="dxa"/>
              <w:left w:w="113" w:type="dxa"/>
              <w:bottom w:w="85" w:type="dxa"/>
              <w:right w:w="80" w:type="dxa"/>
            </w:tcMar>
          </w:tcPr>
          <w:p w14:paraId="62E5B3CC" w14:textId="77777777" w:rsidR="00D85FF4" w:rsidRPr="007303A7" w:rsidRDefault="00D85FF4">
            <w:pPr>
              <w:pStyle w:val="Tableheader"/>
              <w:rPr>
                <w:color w:val="FFFFFF" w:themeColor="background1"/>
              </w:rPr>
            </w:pPr>
            <w:bookmarkStart w:id="42" w:name="Title_Table2" w:colFirst="0" w:colLast="0"/>
            <w:r w:rsidRPr="007303A7">
              <w:rPr>
                <w:rStyle w:val="Bold-White"/>
                <w:b/>
                <w:bCs/>
                <w:color w:val="FFFFFF" w:themeColor="background1"/>
              </w:rPr>
              <w:t>Board member</w:t>
            </w:r>
          </w:p>
        </w:tc>
        <w:tc>
          <w:tcPr>
            <w:tcW w:w="1032" w:type="dxa"/>
            <w:tcBorders>
              <w:top w:val="single" w:sz="6" w:space="0" w:color="FFFFFF"/>
              <w:left w:val="single" w:sz="6" w:space="0" w:color="FFFFFF"/>
              <w:bottom w:val="single" w:sz="6" w:space="0" w:color="8A8A84"/>
              <w:right w:val="single" w:sz="6" w:space="0" w:color="FFFFFF"/>
            </w:tcBorders>
            <w:shd w:val="solid" w:color="000000" w:fill="auto"/>
            <w:tcMar>
              <w:top w:w="85" w:type="dxa"/>
              <w:left w:w="113" w:type="dxa"/>
              <w:bottom w:w="85" w:type="dxa"/>
              <w:right w:w="80" w:type="dxa"/>
            </w:tcMar>
          </w:tcPr>
          <w:p w14:paraId="212F79B2" w14:textId="77777777" w:rsidR="00D85FF4" w:rsidRPr="007303A7" w:rsidRDefault="00D85FF4">
            <w:pPr>
              <w:pStyle w:val="Tableheader"/>
              <w:rPr>
                <w:color w:val="FFFFFF" w:themeColor="background1"/>
              </w:rPr>
            </w:pPr>
            <w:r w:rsidRPr="007303A7">
              <w:rPr>
                <w:rStyle w:val="Bold-White"/>
                <w:b/>
                <w:bCs/>
                <w:color w:val="FFFFFF" w:themeColor="background1"/>
              </w:rPr>
              <w:t>Position</w:t>
            </w:r>
          </w:p>
        </w:tc>
        <w:tc>
          <w:tcPr>
            <w:tcW w:w="1345" w:type="dxa"/>
            <w:tcBorders>
              <w:top w:val="single" w:sz="6" w:space="0" w:color="FFFFFF"/>
              <w:left w:val="single" w:sz="6" w:space="0" w:color="FFFFFF"/>
              <w:bottom w:val="single" w:sz="6" w:space="0" w:color="8A8A84"/>
              <w:right w:val="single" w:sz="6" w:space="0" w:color="FFFFFF"/>
            </w:tcBorders>
            <w:shd w:val="solid" w:color="000000" w:fill="auto"/>
            <w:tcMar>
              <w:top w:w="85" w:type="dxa"/>
              <w:left w:w="113" w:type="dxa"/>
              <w:bottom w:w="85" w:type="dxa"/>
              <w:right w:w="80" w:type="dxa"/>
            </w:tcMar>
          </w:tcPr>
          <w:p w14:paraId="355C5A50" w14:textId="77777777" w:rsidR="00D85FF4" w:rsidRPr="007303A7" w:rsidRDefault="00D85FF4">
            <w:pPr>
              <w:pStyle w:val="Tableheader"/>
              <w:rPr>
                <w:color w:val="FFFFFF" w:themeColor="background1"/>
              </w:rPr>
            </w:pPr>
            <w:r w:rsidRPr="007303A7">
              <w:rPr>
                <w:rStyle w:val="Bold-White"/>
                <w:b/>
                <w:bCs/>
                <w:color w:val="FFFFFF" w:themeColor="background1"/>
              </w:rPr>
              <w:t>Date of appointment</w:t>
            </w:r>
          </w:p>
        </w:tc>
        <w:tc>
          <w:tcPr>
            <w:tcW w:w="1093" w:type="dxa"/>
            <w:tcBorders>
              <w:top w:val="single" w:sz="6" w:space="0" w:color="FFFFFF"/>
              <w:left w:val="single" w:sz="6" w:space="0" w:color="FFFFFF"/>
              <w:bottom w:val="single" w:sz="6" w:space="0" w:color="8A8A84"/>
              <w:right w:val="single" w:sz="6" w:space="0" w:color="FFFFFF"/>
            </w:tcBorders>
            <w:shd w:val="solid" w:color="000000" w:fill="auto"/>
            <w:tcMar>
              <w:top w:w="85" w:type="dxa"/>
              <w:left w:w="113" w:type="dxa"/>
              <w:bottom w:w="85" w:type="dxa"/>
              <w:right w:w="80" w:type="dxa"/>
            </w:tcMar>
          </w:tcPr>
          <w:p w14:paraId="33016ED4" w14:textId="77777777" w:rsidR="00D85FF4" w:rsidRPr="007303A7" w:rsidRDefault="00D85FF4">
            <w:pPr>
              <w:pStyle w:val="Tableheader"/>
              <w:rPr>
                <w:color w:val="FFFFFF" w:themeColor="background1"/>
              </w:rPr>
            </w:pPr>
            <w:r w:rsidRPr="007303A7">
              <w:rPr>
                <w:rStyle w:val="Bold-White"/>
                <w:b/>
                <w:bCs/>
                <w:color w:val="FFFFFF" w:themeColor="background1"/>
              </w:rPr>
              <w:t>Term expiry</w:t>
            </w:r>
          </w:p>
        </w:tc>
        <w:tc>
          <w:tcPr>
            <w:tcW w:w="1248" w:type="dxa"/>
            <w:tcBorders>
              <w:top w:val="single" w:sz="6" w:space="0" w:color="FFFFFF"/>
              <w:left w:val="single" w:sz="6" w:space="0" w:color="FFFFFF"/>
              <w:bottom w:val="single" w:sz="6" w:space="0" w:color="8A8A84"/>
              <w:right w:val="single" w:sz="6" w:space="0" w:color="FFFFFF"/>
            </w:tcBorders>
            <w:shd w:val="solid" w:color="000000" w:fill="auto"/>
            <w:tcMar>
              <w:top w:w="85" w:type="dxa"/>
              <w:left w:w="113" w:type="dxa"/>
              <w:bottom w:w="85" w:type="dxa"/>
              <w:right w:w="80" w:type="dxa"/>
            </w:tcMar>
          </w:tcPr>
          <w:p w14:paraId="59058498" w14:textId="77777777" w:rsidR="00D85FF4" w:rsidRPr="007303A7" w:rsidRDefault="00D85FF4">
            <w:pPr>
              <w:pStyle w:val="Tableheader"/>
              <w:jc w:val="center"/>
              <w:rPr>
                <w:color w:val="FFFFFF" w:themeColor="background1"/>
              </w:rPr>
            </w:pPr>
            <w:r w:rsidRPr="007303A7">
              <w:rPr>
                <w:rStyle w:val="Bold-White"/>
                <w:b/>
                <w:bCs/>
                <w:color w:val="FFFFFF" w:themeColor="background1"/>
              </w:rPr>
              <w:t>Meetings attended 2014–15</w:t>
            </w:r>
          </w:p>
        </w:tc>
        <w:tc>
          <w:tcPr>
            <w:tcW w:w="992" w:type="dxa"/>
            <w:tcBorders>
              <w:top w:val="single" w:sz="6" w:space="0" w:color="FFFFFF"/>
              <w:left w:val="single" w:sz="6" w:space="0" w:color="FFFFFF"/>
              <w:bottom w:val="single" w:sz="6" w:space="0" w:color="8A8A84"/>
              <w:right w:val="single" w:sz="6" w:space="0" w:color="FFFFFF"/>
            </w:tcBorders>
            <w:shd w:val="solid" w:color="000000" w:fill="auto"/>
            <w:tcMar>
              <w:top w:w="85" w:type="dxa"/>
              <w:left w:w="113" w:type="dxa"/>
              <w:bottom w:w="85" w:type="dxa"/>
              <w:right w:w="80" w:type="dxa"/>
            </w:tcMar>
          </w:tcPr>
          <w:p w14:paraId="43BCA34B" w14:textId="77777777" w:rsidR="00D85FF4" w:rsidRPr="007303A7" w:rsidRDefault="00D85FF4">
            <w:pPr>
              <w:pStyle w:val="Tableheader"/>
              <w:jc w:val="center"/>
              <w:rPr>
                <w:color w:val="FFFFFF" w:themeColor="background1"/>
              </w:rPr>
            </w:pPr>
            <w:r w:rsidRPr="007303A7">
              <w:rPr>
                <w:rStyle w:val="Bold-White"/>
                <w:b/>
                <w:bCs/>
                <w:color w:val="FFFFFF" w:themeColor="background1"/>
              </w:rPr>
              <w:t>Eligible to attend 2014–15</w:t>
            </w:r>
          </w:p>
        </w:tc>
        <w:tc>
          <w:tcPr>
            <w:tcW w:w="1134" w:type="dxa"/>
            <w:tcBorders>
              <w:top w:val="single" w:sz="6" w:space="0" w:color="FFFFFF"/>
              <w:left w:val="single" w:sz="6" w:space="0" w:color="FFFFFF"/>
              <w:bottom w:val="single" w:sz="6" w:space="0" w:color="8A8A84"/>
              <w:right w:val="single" w:sz="6" w:space="0" w:color="FFFFFF"/>
            </w:tcBorders>
            <w:shd w:val="solid" w:color="000000" w:fill="auto"/>
            <w:tcMar>
              <w:top w:w="85" w:type="dxa"/>
              <w:left w:w="113" w:type="dxa"/>
              <w:bottom w:w="85" w:type="dxa"/>
              <w:right w:w="80" w:type="dxa"/>
            </w:tcMar>
          </w:tcPr>
          <w:p w14:paraId="36D1598D" w14:textId="77777777" w:rsidR="00D85FF4" w:rsidRPr="007303A7" w:rsidRDefault="00D85FF4">
            <w:pPr>
              <w:pStyle w:val="Tableheader"/>
              <w:jc w:val="center"/>
              <w:rPr>
                <w:color w:val="FFFFFF" w:themeColor="background1"/>
              </w:rPr>
            </w:pPr>
            <w:r w:rsidRPr="007303A7">
              <w:rPr>
                <w:rStyle w:val="Bold-White"/>
                <w:b/>
                <w:bCs/>
                <w:color w:val="FFFFFF" w:themeColor="background1"/>
              </w:rPr>
              <w:t>Meetings attended 2015-16</w:t>
            </w:r>
          </w:p>
        </w:tc>
        <w:tc>
          <w:tcPr>
            <w:tcW w:w="1134" w:type="dxa"/>
            <w:tcBorders>
              <w:top w:val="single" w:sz="6" w:space="0" w:color="FFFFFF"/>
              <w:left w:val="single" w:sz="6" w:space="0" w:color="FFFFFF"/>
              <w:bottom w:val="single" w:sz="6" w:space="0" w:color="8A8A84"/>
              <w:right w:val="single" w:sz="6" w:space="0" w:color="FFFFFF"/>
            </w:tcBorders>
            <w:shd w:val="solid" w:color="000000" w:fill="auto"/>
            <w:tcMar>
              <w:top w:w="85" w:type="dxa"/>
              <w:left w:w="113" w:type="dxa"/>
              <w:bottom w:w="85" w:type="dxa"/>
              <w:right w:w="80" w:type="dxa"/>
            </w:tcMar>
          </w:tcPr>
          <w:p w14:paraId="18653FE1" w14:textId="77777777" w:rsidR="00D85FF4" w:rsidRPr="007303A7" w:rsidRDefault="00D85FF4">
            <w:pPr>
              <w:pStyle w:val="Tableheader"/>
              <w:jc w:val="center"/>
              <w:rPr>
                <w:color w:val="FFFFFF" w:themeColor="background1"/>
              </w:rPr>
            </w:pPr>
            <w:r w:rsidRPr="007303A7">
              <w:rPr>
                <w:rStyle w:val="Bold-White"/>
                <w:b/>
                <w:bCs/>
                <w:color w:val="FFFFFF" w:themeColor="background1"/>
              </w:rPr>
              <w:t>Eligible to attend 2015-16</w:t>
            </w:r>
          </w:p>
        </w:tc>
      </w:tr>
      <w:bookmarkEnd w:id="42"/>
      <w:tr w:rsidR="007303A7" w14:paraId="3A6CE4FF" w14:textId="77777777" w:rsidTr="007303A7">
        <w:trPr>
          <w:trHeight w:val="60"/>
        </w:trPr>
        <w:tc>
          <w:tcPr>
            <w:tcW w:w="1236" w:type="dxa"/>
            <w:tcBorders>
              <w:top w:val="single" w:sz="2" w:space="0" w:color="8A8A84"/>
              <w:left w:val="single" w:sz="6" w:space="0" w:color="FFFFFF"/>
              <w:bottom w:val="single" w:sz="2" w:space="0" w:color="8A8A84"/>
              <w:right w:val="single" w:sz="6" w:space="0" w:color="000000"/>
            </w:tcBorders>
            <w:shd w:val="solid" w:color="EBE7E2" w:fill="auto"/>
            <w:tcMar>
              <w:top w:w="85" w:type="dxa"/>
              <w:left w:w="113" w:type="dxa"/>
              <w:bottom w:w="85" w:type="dxa"/>
              <w:right w:w="80" w:type="dxa"/>
            </w:tcMar>
          </w:tcPr>
          <w:p w14:paraId="4A02E10E" w14:textId="77777777" w:rsidR="00D85FF4" w:rsidRDefault="00D85FF4">
            <w:pPr>
              <w:pStyle w:val="Tabletextbold"/>
            </w:pPr>
            <w:r>
              <w:t>Mr Bruce Bonyhady AM</w:t>
            </w:r>
          </w:p>
        </w:tc>
        <w:tc>
          <w:tcPr>
            <w:tcW w:w="1032" w:type="dxa"/>
            <w:tcBorders>
              <w:top w:val="single" w:sz="2" w:space="0" w:color="8A8A84"/>
              <w:left w:val="single" w:sz="6" w:space="0" w:color="000000"/>
              <w:bottom w:val="single" w:sz="2" w:space="0" w:color="8A8A84"/>
              <w:right w:val="single" w:sz="6" w:space="0" w:color="000000"/>
            </w:tcBorders>
            <w:shd w:val="solid" w:color="EBE7E2" w:fill="auto"/>
            <w:tcMar>
              <w:top w:w="85" w:type="dxa"/>
              <w:left w:w="113" w:type="dxa"/>
              <w:bottom w:w="85" w:type="dxa"/>
              <w:right w:w="80" w:type="dxa"/>
            </w:tcMar>
          </w:tcPr>
          <w:p w14:paraId="6B80A030" w14:textId="77777777" w:rsidR="00D85FF4" w:rsidRDefault="00D85FF4">
            <w:pPr>
              <w:pStyle w:val="Tabletext"/>
            </w:pPr>
            <w:r>
              <w:t>Chair</w:t>
            </w:r>
          </w:p>
        </w:tc>
        <w:tc>
          <w:tcPr>
            <w:tcW w:w="1345" w:type="dxa"/>
            <w:tcBorders>
              <w:top w:val="single" w:sz="2" w:space="0" w:color="8A8A84"/>
              <w:left w:val="single" w:sz="6" w:space="0" w:color="000000"/>
              <w:bottom w:val="single" w:sz="2" w:space="0" w:color="8A8A84"/>
              <w:right w:val="single" w:sz="6" w:space="0" w:color="000000"/>
            </w:tcBorders>
            <w:shd w:val="solid" w:color="EBE7E2" w:fill="auto"/>
            <w:tcMar>
              <w:top w:w="85" w:type="dxa"/>
              <w:left w:w="113" w:type="dxa"/>
              <w:bottom w:w="85" w:type="dxa"/>
              <w:right w:w="80" w:type="dxa"/>
            </w:tcMar>
          </w:tcPr>
          <w:p w14:paraId="408E43EE" w14:textId="77777777" w:rsidR="00D85FF4" w:rsidRDefault="00D85FF4">
            <w:pPr>
              <w:pStyle w:val="Tabletext"/>
            </w:pPr>
            <w:r>
              <w:t>1 July 2013</w:t>
            </w:r>
          </w:p>
        </w:tc>
        <w:tc>
          <w:tcPr>
            <w:tcW w:w="1093" w:type="dxa"/>
            <w:tcBorders>
              <w:top w:val="single" w:sz="2" w:space="0" w:color="8A8A84"/>
              <w:left w:val="single" w:sz="6" w:space="0" w:color="000000"/>
              <w:bottom w:val="single" w:sz="2" w:space="0" w:color="8A8A84"/>
              <w:right w:val="single" w:sz="6" w:space="0" w:color="000000"/>
            </w:tcBorders>
            <w:shd w:val="solid" w:color="EBE7E2" w:fill="auto"/>
            <w:tcMar>
              <w:top w:w="85" w:type="dxa"/>
              <w:left w:w="113" w:type="dxa"/>
              <w:bottom w:w="85" w:type="dxa"/>
              <w:right w:w="80" w:type="dxa"/>
            </w:tcMar>
          </w:tcPr>
          <w:p w14:paraId="2CD0C9EB" w14:textId="77777777" w:rsidR="00D85FF4" w:rsidRDefault="00D85FF4">
            <w:pPr>
              <w:pStyle w:val="Tabletext"/>
            </w:pPr>
            <w:r>
              <w:t>30 June 2016, reappointed to 31 December 2016</w:t>
            </w:r>
          </w:p>
        </w:tc>
        <w:tc>
          <w:tcPr>
            <w:tcW w:w="1248" w:type="dxa"/>
            <w:tcBorders>
              <w:top w:val="single" w:sz="2" w:space="0" w:color="8A8A84"/>
              <w:left w:val="single" w:sz="6" w:space="0" w:color="000000"/>
              <w:bottom w:val="single" w:sz="2" w:space="0" w:color="8A8A84"/>
              <w:right w:val="single" w:sz="6" w:space="0" w:color="000000"/>
            </w:tcBorders>
            <w:shd w:val="solid" w:color="EBE7E2" w:fill="auto"/>
            <w:tcMar>
              <w:top w:w="85" w:type="dxa"/>
              <w:left w:w="113" w:type="dxa"/>
              <w:bottom w:w="85" w:type="dxa"/>
              <w:right w:w="80" w:type="dxa"/>
            </w:tcMar>
          </w:tcPr>
          <w:p w14:paraId="60DF08A5" w14:textId="77777777" w:rsidR="00D85FF4" w:rsidRDefault="00D85FF4">
            <w:pPr>
              <w:pStyle w:val="Tabletext"/>
              <w:jc w:val="center"/>
            </w:pPr>
            <w:r>
              <w:t>10</w:t>
            </w:r>
          </w:p>
        </w:tc>
        <w:tc>
          <w:tcPr>
            <w:tcW w:w="992" w:type="dxa"/>
            <w:tcBorders>
              <w:top w:val="single" w:sz="2" w:space="0" w:color="8A8A84"/>
              <w:left w:val="single" w:sz="6" w:space="0" w:color="000000"/>
              <w:bottom w:val="single" w:sz="2" w:space="0" w:color="8A8A84"/>
              <w:right w:val="single" w:sz="6" w:space="0" w:color="000000"/>
            </w:tcBorders>
            <w:shd w:val="solid" w:color="EBE7E2" w:fill="auto"/>
            <w:tcMar>
              <w:top w:w="85" w:type="dxa"/>
              <w:left w:w="113" w:type="dxa"/>
              <w:bottom w:w="85" w:type="dxa"/>
              <w:right w:w="80" w:type="dxa"/>
            </w:tcMar>
          </w:tcPr>
          <w:p w14:paraId="675B9EB2" w14:textId="77777777" w:rsidR="00D85FF4" w:rsidRDefault="00D85FF4">
            <w:pPr>
              <w:pStyle w:val="Tabletext"/>
              <w:jc w:val="center"/>
            </w:pPr>
            <w:r>
              <w:t>10</w:t>
            </w:r>
          </w:p>
        </w:tc>
        <w:tc>
          <w:tcPr>
            <w:tcW w:w="1134" w:type="dxa"/>
            <w:tcBorders>
              <w:top w:val="single" w:sz="2" w:space="0" w:color="8A8A84"/>
              <w:left w:val="single" w:sz="6" w:space="0" w:color="000000"/>
              <w:bottom w:val="single" w:sz="2" w:space="0" w:color="8A8A84"/>
              <w:right w:val="single" w:sz="6" w:space="0" w:color="FFFFFF"/>
            </w:tcBorders>
            <w:shd w:val="solid" w:color="EBE7E2" w:fill="auto"/>
            <w:tcMar>
              <w:top w:w="85" w:type="dxa"/>
              <w:left w:w="113" w:type="dxa"/>
              <w:bottom w:w="85" w:type="dxa"/>
              <w:right w:w="80" w:type="dxa"/>
            </w:tcMar>
          </w:tcPr>
          <w:p w14:paraId="40E3FD10" w14:textId="77777777" w:rsidR="00D85FF4" w:rsidRDefault="00D85FF4">
            <w:pPr>
              <w:pStyle w:val="Tabletext"/>
              <w:jc w:val="center"/>
            </w:pPr>
            <w:r>
              <w:t>9</w:t>
            </w:r>
          </w:p>
        </w:tc>
        <w:tc>
          <w:tcPr>
            <w:tcW w:w="1134" w:type="dxa"/>
            <w:tcBorders>
              <w:top w:val="single" w:sz="2" w:space="0" w:color="8A8A84"/>
              <w:left w:val="single" w:sz="6" w:space="0" w:color="FFFFFF"/>
              <w:bottom w:val="single" w:sz="2" w:space="0" w:color="8A8A84"/>
              <w:right w:val="single" w:sz="6" w:space="0" w:color="000000"/>
            </w:tcBorders>
            <w:shd w:val="solid" w:color="EBE7E2" w:fill="auto"/>
            <w:tcMar>
              <w:top w:w="85" w:type="dxa"/>
              <w:left w:w="113" w:type="dxa"/>
              <w:bottom w:w="85" w:type="dxa"/>
              <w:right w:w="80" w:type="dxa"/>
            </w:tcMar>
          </w:tcPr>
          <w:p w14:paraId="057025F5" w14:textId="77777777" w:rsidR="00D85FF4" w:rsidRDefault="00D85FF4">
            <w:pPr>
              <w:pStyle w:val="Tabletext"/>
              <w:jc w:val="center"/>
            </w:pPr>
            <w:r>
              <w:t>9</w:t>
            </w:r>
          </w:p>
        </w:tc>
      </w:tr>
      <w:tr w:rsidR="007303A7" w14:paraId="57903B17" w14:textId="77777777" w:rsidTr="007303A7">
        <w:trPr>
          <w:trHeight w:val="60"/>
        </w:trPr>
        <w:tc>
          <w:tcPr>
            <w:tcW w:w="1236" w:type="dxa"/>
            <w:tcBorders>
              <w:top w:val="single" w:sz="2" w:space="0" w:color="8A8A84"/>
              <w:left w:val="single" w:sz="6" w:space="0" w:color="FFFFFF"/>
              <w:bottom w:val="single" w:sz="2" w:space="0" w:color="8A8A84"/>
              <w:right w:val="single" w:sz="6" w:space="0" w:color="000000"/>
            </w:tcBorders>
            <w:shd w:val="solid" w:color="EBE7E2" w:fill="auto"/>
            <w:tcMar>
              <w:top w:w="85" w:type="dxa"/>
              <w:left w:w="113" w:type="dxa"/>
              <w:bottom w:w="85" w:type="dxa"/>
              <w:right w:w="80" w:type="dxa"/>
            </w:tcMar>
          </w:tcPr>
          <w:p w14:paraId="7E99DEED" w14:textId="77777777" w:rsidR="00D85FF4" w:rsidRDefault="00D85FF4">
            <w:pPr>
              <w:pStyle w:val="Tabletextbold"/>
            </w:pPr>
            <w:r>
              <w:t xml:space="preserve">Professor Rhonda </w:t>
            </w:r>
            <w:proofErr w:type="spellStart"/>
            <w:r>
              <w:t>Galbally</w:t>
            </w:r>
            <w:proofErr w:type="spellEnd"/>
            <w:r>
              <w:t xml:space="preserve"> AO</w:t>
            </w:r>
          </w:p>
        </w:tc>
        <w:tc>
          <w:tcPr>
            <w:tcW w:w="1032" w:type="dxa"/>
            <w:tcBorders>
              <w:top w:val="single" w:sz="2" w:space="0" w:color="8A8A84"/>
              <w:left w:val="single" w:sz="6" w:space="0" w:color="000000"/>
              <w:bottom w:val="single" w:sz="2" w:space="0" w:color="8A8A84"/>
              <w:right w:val="single" w:sz="6" w:space="0" w:color="000000"/>
            </w:tcBorders>
            <w:shd w:val="solid" w:color="EBE7E2" w:fill="auto"/>
            <w:tcMar>
              <w:top w:w="85" w:type="dxa"/>
              <w:left w:w="113" w:type="dxa"/>
              <w:bottom w:w="85" w:type="dxa"/>
              <w:right w:w="80" w:type="dxa"/>
            </w:tcMar>
          </w:tcPr>
          <w:p w14:paraId="700A378F" w14:textId="77777777" w:rsidR="00D85FF4" w:rsidRDefault="00D85FF4">
            <w:pPr>
              <w:pStyle w:val="Tabletext"/>
            </w:pPr>
            <w:r>
              <w:t>Member</w:t>
            </w:r>
          </w:p>
        </w:tc>
        <w:tc>
          <w:tcPr>
            <w:tcW w:w="1345" w:type="dxa"/>
            <w:tcBorders>
              <w:top w:val="single" w:sz="2" w:space="0" w:color="8A8A84"/>
              <w:left w:val="single" w:sz="6" w:space="0" w:color="000000"/>
              <w:bottom w:val="single" w:sz="2" w:space="0" w:color="8A8A84"/>
              <w:right w:val="single" w:sz="6" w:space="0" w:color="000000"/>
            </w:tcBorders>
            <w:shd w:val="solid" w:color="EBE7E2" w:fill="auto"/>
            <w:tcMar>
              <w:top w:w="85" w:type="dxa"/>
              <w:left w:w="113" w:type="dxa"/>
              <w:bottom w:w="85" w:type="dxa"/>
              <w:right w:w="80" w:type="dxa"/>
            </w:tcMar>
          </w:tcPr>
          <w:p w14:paraId="530266C1" w14:textId="77777777" w:rsidR="00D85FF4" w:rsidRDefault="00D85FF4">
            <w:pPr>
              <w:pStyle w:val="Tabletext"/>
            </w:pPr>
            <w:r>
              <w:t>1 July 2013</w:t>
            </w:r>
          </w:p>
        </w:tc>
        <w:tc>
          <w:tcPr>
            <w:tcW w:w="1093" w:type="dxa"/>
            <w:tcBorders>
              <w:top w:val="single" w:sz="2" w:space="0" w:color="8A8A84"/>
              <w:left w:val="single" w:sz="6" w:space="0" w:color="000000"/>
              <w:bottom w:val="single" w:sz="2" w:space="0" w:color="8A8A84"/>
              <w:right w:val="single" w:sz="6" w:space="0" w:color="000000"/>
            </w:tcBorders>
            <w:shd w:val="solid" w:color="EBE7E2" w:fill="auto"/>
            <w:tcMar>
              <w:top w:w="85" w:type="dxa"/>
              <w:left w:w="113" w:type="dxa"/>
              <w:bottom w:w="85" w:type="dxa"/>
              <w:right w:w="80" w:type="dxa"/>
            </w:tcMar>
          </w:tcPr>
          <w:p w14:paraId="1E2CD30E" w14:textId="77777777" w:rsidR="00D85FF4" w:rsidRDefault="00D85FF4">
            <w:pPr>
              <w:pStyle w:val="Tabletext"/>
            </w:pPr>
            <w:r>
              <w:t>30 June 2016, reappointed to 30 June 2017</w:t>
            </w:r>
          </w:p>
        </w:tc>
        <w:tc>
          <w:tcPr>
            <w:tcW w:w="1248" w:type="dxa"/>
            <w:tcBorders>
              <w:top w:val="single" w:sz="2" w:space="0" w:color="8A8A84"/>
              <w:left w:val="single" w:sz="6" w:space="0" w:color="000000"/>
              <w:bottom w:val="single" w:sz="2" w:space="0" w:color="8A8A84"/>
              <w:right w:val="single" w:sz="6" w:space="0" w:color="000000"/>
            </w:tcBorders>
            <w:shd w:val="solid" w:color="EBE7E2" w:fill="auto"/>
            <w:tcMar>
              <w:top w:w="85" w:type="dxa"/>
              <w:left w:w="113" w:type="dxa"/>
              <w:bottom w:w="85" w:type="dxa"/>
              <w:right w:w="80" w:type="dxa"/>
            </w:tcMar>
          </w:tcPr>
          <w:p w14:paraId="38A98ADD" w14:textId="77777777" w:rsidR="00D85FF4" w:rsidRDefault="00D85FF4">
            <w:pPr>
              <w:pStyle w:val="Tabletext"/>
              <w:jc w:val="center"/>
            </w:pPr>
            <w:r>
              <w:t>9</w:t>
            </w:r>
          </w:p>
        </w:tc>
        <w:tc>
          <w:tcPr>
            <w:tcW w:w="992" w:type="dxa"/>
            <w:tcBorders>
              <w:top w:val="single" w:sz="2" w:space="0" w:color="8A8A84"/>
              <w:left w:val="single" w:sz="6" w:space="0" w:color="000000"/>
              <w:bottom w:val="single" w:sz="2" w:space="0" w:color="8A8A84"/>
              <w:right w:val="single" w:sz="6" w:space="0" w:color="000000"/>
            </w:tcBorders>
            <w:shd w:val="solid" w:color="EBE7E2" w:fill="auto"/>
            <w:tcMar>
              <w:top w:w="85" w:type="dxa"/>
              <w:left w:w="113" w:type="dxa"/>
              <w:bottom w:w="85" w:type="dxa"/>
              <w:right w:w="80" w:type="dxa"/>
            </w:tcMar>
          </w:tcPr>
          <w:p w14:paraId="5B4124C3" w14:textId="77777777" w:rsidR="00D85FF4" w:rsidRDefault="00D85FF4">
            <w:pPr>
              <w:pStyle w:val="Tabletext"/>
              <w:jc w:val="center"/>
            </w:pPr>
            <w:r>
              <w:t>10</w:t>
            </w:r>
          </w:p>
        </w:tc>
        <w:tc>
          <w:tcPr>
            <w:tcW w:w="1134" w:type="dxa"/>
            <w:tcBorders>
              <w:top w:val="single" w:sz="2" w:space="0" w:color="8A8A84"/>
              <w:left w:val="single" w:sz="6" w:space="0" w:color="000000"/>
              <w:bottom w:val="single" w:sz="2" w:space="0" w:color="8A8A84"/>
              <w:right w:val="single" w:sz="6" w:space="0" w:color="FFFFFF"/>
            </w:tcBorders>
            <w:shd w:val="solid" w:color="EBE7E2" w:fill="auto"/>
            <w:tcMar>
              <w:top w:w="85" w:type="dxa"/>
              <w:left w:w="113" w:type="dxa"/>
              <w:bottom w:w="85" w:type="dxa"/>
              <w:right w:w="80" w:type="dxa"/>
            </w:tcMar>
          </w:tcPr>
          <w:p w14:paraId="6D2C3CEE" w14:textId="77777777" w:rsidR="00D85FF4" w:rsidRDefault="00D85FF4">
            <w:pPr>
              <w:pStyle w:val="Tabletext"/>
              <w:jc w:val="center"/>
            </w:pPr>
            <w:r>
              <w:t>9</w:t>
            </w:r>
          </w:p>
        </w:tc>
        <w:tc>
          <w:tcPr>
            <w:tcW w:w="1134" w:type="dxa"/>
            <w:tcBorders>
              <w:top w:val="single" w:sz="2" w:space="0" w:color="8A8A84"/>
              <w:left w:val="single" w:sz="6" w:space="0" w:color="FFFFFF"/>
              <w:bottom w:val="single" w:sz="2" w:space="0" w:color="8A8A84"/>
              <w:right w:val="single" w:sz="6" w:space="0" w:color="000000"/>
            </w:tcBorders>
            <w:shd w:val="solid" w:color="EBE7E2" w:fill="auto"/>
            <w:tcMar>
              <w:top w:w="85" w:type="dxa"/>
              <w:left w:w="113" w:type="dxa"/>
              <w:bottom w:w="85" w:type="dxa"/>
              <w:right w:w="80" w:type="dxa"/>
            </w:tcMar>
          </w:tcPr>
          <w:p w14:paraId="552A6C79" w14:textId="77777777" w:rsidR="00D85FF4" w:rsidRDefault="00D85FF4">
            <w:pPr>
              <w:pStyle w:val="Tabletext"/>
              <w:jc w:val="center"/>
            </w:pPr>
            <w:r>
              <w:t>9</w:t>
            </w:r>
          </w:p>
        </w:tc>
      </w:tr>
      <w:tr w:rsidR="007303A7" w14:paraId="66EF145A" w14:textId="77777777" w:rsidTr="007303A7">
        <w:trPr>
          <w:trHeight w:val="60"/>
        </w:trPr>
        <w:tc>
          <w:tcPr>
            <w:tcW w:w="1236" w:type="dxa"/>
            <w:tcBorders>
              <w:top w:val="single" w:sz="2" w:space="0" w:color="8A8A84"/>
              <w:left w:val="single" w:sz="6" w:space="0" w:color="FFFFFF"/>
              <w:bottom w:val="single" w:sz="2" w:space="0" w:color="8A8A84"/>
              <w:right w:val="single" w:sz="6" w:space="0" w:color="000000"/>
            </w:tcBorders>
            <w:shd w:val="solid" w:color="EBE7E2" w:fill="auto"/>
            <w:tcMar>
              <w:top w:w="85" w:type="dxa"/>
              <w:left w:w="113" w:type="dxa"/>
              <w:bottom w:w="85" w:type="dxa"/>
              <w:right w:w="80" w:type="dxa"/>
            </w:tcMar>
          </w:tcPr>
          <w:p w14:paraId="5337D917" w14:textId="77777777" w:rsidR="00D85FF4" w:rsidRDefault="00D85FF4">
            <w:pPr>
              <w:pStyle w:val="Tabletextbold"/>
            </w:pPr>
            <w:r>
              <w:t>Ms Geraldine Harwood</w:t>
            </w:r>
          </w:p>
        </w:tc>
        <w:tc>
          <w:tcPr>
            <w:tcW w:w="1032" w:type="dxa"/>
            <w:tcBorders>
              <w:top w:val="single" w:sz="2" w:space="0" w:color="8A8A84"/>
              <w:left w:val="single" w:sz="6" w:space="0" w:color="000000"/>
              <w:bottom w:val="single" w:sz="2" w:space="0" w:color="8A8A84"/>
              <w:right w:val="single" w:sz="6" w:space="0" w:color="000000"/>
            </w:tcBorders>
            <w:shd w:val="solid" w:color="EBE7E2" w:fill="auto"/>
            <w:tcMar>
              <w:top w:w="85" w:type="dxa"/>
              <w:left w:w="113" w:type="dxa"/>
              <w:bottom w:w="85" w:type="dxa"/>
              <w:right w:w="80" w:type="dxa"/>
            </w:tcMar>
          </w:tcPr>
          <w:p w14:paraId="20902B3D" w14:textId="77777777" w:rsidR="00D85FF4" w:rsidRDefault="00D85FF4">
            <w:pPr>
              <w:pStyle w:val="Tabletext"/>
            </w:pPr>
            <w:r>
              <w:t>Member</w:t>
            </w:r>
          </w:p>
        </w:tc>
        <w:tc>
          <w:tcPr>
            <w:tcW w:w="1345" w:type="dxa"/>
            <w:tcBorders>
              <w:top w:val="single" w:sz="2" w:space="0" w:color="8A8A84"/>
              <w:left w:val="single" w:sz="6" w:space="0" w:color="000000"/>
              <w:bottom w:val="single" w:sz="2" w:space="0" w:color="8A8A84"/>
              <w:right w:val="single" w:sz="6" w:space="0" w:color="000000"/>
            </w:tcBorders>
            <w:shd w:val="solid" w:color="EBE7E2" w:fill="auto"/>
            <w:tcMar>
              <w:top w:w="85" w:type="dxa"/>
              <w:left w:w="113" w:type="dxa"/>
              <w:bottom w:w="85" w:type="dxa"/>
              <w:right w:w="80" w:type="dxa"/>
            </w:tcMar>
          </w:tcPr>
          <w:p w14:paraId="55D77B81" w14:textId="77777777" w:rsidR="00D85FF4" w:rsidRDefault="00D85FF4">
            <w:pPr>
              <w:pStyle w:val="Tabletext"/>
            </w:pPr>
            <w:r>
              <w:t>1 July 2013</w:t>
            </w:r>
          </w:p>
        </w:tc>
        <w:tc>
          <w:tcPr>
            <w:tcW w:w="1093" w:type="dxa"/>
            <w:tcBorders>
              <w:top w:val="single" w:sz="2" w:space="0" w:color="8A8A84"/>
              <w:left w:val="single" w:sz="6" w:space="0" w:color="000000"/>
              <w:bottom w:val="single" w:sz="2" w:space="0" w:color="8A8A84"/>
              <w:right w:val="single" w:sz="6" w:space="0" w:color="000000"/>
            </w:tcBorders>
            <w:shd w:val="solid" w:color="EBE7E2" w:fill="auto"/>
            <w:tcMar>
              <w:top w:w="85" w:type="dxa"/>
              <w:left w:w="113" w:type="dxa"/>
              <w:bottom w:w="85" w:type="dxa"/>
              <w:right w:w="80" w:type="dxa"/>
            </w:tcMar>
          </w:tcPr>
          <w:p w14:paraId="46A9F47B" w14:textId="77777777" w:rsidR="00D85FF4" w:rsidRDefault="00D85FF4">
            <w:pPr>
              <w:pStyle w:val="Tabletext"/>
            </w:pPr>
            <w:r>
              <w:t>30 June 2016, reappointed to 31 December 2016</w:t>
            </w:r>
          </w:p>
        </w:tc>
        <w:tc>
          <w:tcPr>
            <w:tcW w:w="1248" w:type="dxa"/>
            <w:tcBorders>
              <w:top w:val="single" w:sz="2" w:space="0" w:color="8A8A84"/>
              <w:left w:val="single" w:sz="6" w:space="0" w:color="000000"/>
              <w:bottom w:val="single" w:sz="2" w:space="0" w:color="8A8A84"/>
              <w:right w:val="single" w:sz="6" w:space="0" w:color="000000"/>
            </w:tcBorders>
            <w:shd w:val="solid" w:color="EBE7E2" w:fill="auto"/>
            <w:tcMar>
              <w:top w:w="85" w:type="dxa"/>
              <w:left w:w="113" w:type="dxa"/>
              <w:bottom w:w="85" w:type="dxa"/>
              <w:right w:w="80" w:type="dxa"/>
            </w:tcMar>
          </w:tcPr>
          <w:p w14:paraId="0114ECC0" w14:textId="77777777" w:rsidR="00D85FF4" w:rsidRDefault="00D85FF4">
            <w:pPr>
              <w:pStyle w:val="Tabletext"/>
              <w:jc w:val="center"/>
            </w:pPr>
            <w:r>
              <w:t>10</w:t>
            </w:r>
          </w:p>
        </w:tc>
        <w:tc>
          <w:tcPr>
            <w:tcW w:w="992" w:type="dxa"/>
            <w:tcBorders>
              <w:top w:val="single" w:sz="2" w:space="0" w:color="8A8A84"/>
              <w:left w:val="single" w:sz="6" w:space="0" w:color="000000"/>
              <w:bottom w:val="single" w:sz="2" w:space="0" w:color="8A8A84"/>
              <w:right w:val="single" w:sz="6" w:space="0" w:color="000000"/>
            </w:tcBorders>
            <w:shd w:val="solid" w:color="EBE7E2" w:fill="auto"/>
            <w:tcMar>
              <w:top w:w="85" w:type="dxa"/>
              <w:left w:w="113" w:type="dxa"/>
              <w:bottom w:w="85" w:type="dxa"/>
              <w:right w:w="80" w:type="dxa"/>
            </w:tcMar>
          </w:tcPr>
          <w:p w14:paraId="1ACB41F7" w14:textId="77777777" w:rsidR="00D85FF4" w:rsidRDefault="00D85FF4">
            <w:pPr>
              <w:pStyle w:val="Tabletext"/>
              <w:jc w:val="center"/>
            </w:pPr>
            <w:r>
              <w:t>10</w:t>
            </w:r>
          </w:p>
        </w:tc>
        <w:tc>
          <w:tcPr>
            <w:tcW w:w="1134" w:type="dxa"/>
            <w:tcBorders>
              <w:top w:val="single" w:sz="2" w:space="0" w:color="8A8A84"/>
              <w:left w:val="single" w:sz="6" w:space="0" w:color="000000"/>
              <w:bottom w:val="single" w:sz="2" w:space="0" w:color="8A8A84"/>
              <w:right w:val="single" w:sz="6" w:space="0" w:color="FFFFFF"/>
            </w:tcBorders>
            <w:shd w:val="solid" w:color="EBE7E2" w:fill="auto"/>
            <w:tcMar>
              <w:top w:w="85" w:type="dxa"/>
              <w:left w:w="113" w:type="dxa"/>
              <w:bottom w:w="85" w:type="dxa"/>
              <w:right w:w="80" w:type="dxa"/>
            </w:tcMar>
          </w:tcPr>
          <w:p w14:paraId="02AE6DC3" w14:textId="77777777" w:rsidR="00D85FF4" w:rsidRDefault="00D85FF4">
            <w:pPr>
              <w:pStyle w:val="Tabletext"/>
              <w:jc w:val="center"/>
            </w:pPr>
            <w:r>
              <w:t>9</w:t>
            </w:r>
          </w:p>
        </w:tc>
        <w:tc>
          <w:tcPr>
            <w:tcW w:w="1134" w:type="dxa"/>
            <w:tcBorders>
              <w:top w:val="single" w:sz="2" w:space="0" w:color="8A8A84"/>
              <w:left w:val="single" w:sz="6" w:space="0" w:color="FFFFFF"/>
              <w:bottom w:val="single" w:sz="2" w:space="0" w:color="8A8A84"/>
              <w:right w:val="single" w:sz="6" w:space="0" w:color="000000"/>
            </w:tcBorders>
            <w:shd w:val="solid" w:color="EBE7E2" w:fill="auto"/>
            <w:tcMar>
              <w:top w:w="85" w:type="dxa"/>
              <w:left w:w="113" w:type="dxa"/>
              <w:bottom w:w="85" w:type="dxa"/>
              <w:right w:w="80" w:type="dxa"/>
            </w:tcMar>
          </w:tcPr>
          <w:p w14:paraId="78B58653" w14:textId="77777777" w:rsidR="00D85FF4" w:rsidRDefault="00D85FF4">
            <w:pPr>
              <w:pStyle w:val="Tabletext"/>
              <w:jc w:val="center"/>
            </w:pPr>
            <w:r>
              <w:t>9</w:t>
            </w:r>
          </w:p>
        </w:tc>
      </w:tr>
      <w:tr w:rsidR="007303A7" w14:paraId="1F0C7A95" w14:textId="77777777" w:rsidTr="007303A7">
        <w:trPr>
          <w:trHeight w:val="60"/>
        </w:trPr>
        <w:tc>
          <w:tcPr>
            <w:tcW w:w="1236" w:type="dxa"/>
            <w:tcBorders>
              <w:top w:val="single" w:sz="2" w:space="0" w:color="8A8A84"/>
              <w:left w:val="single" w:sz="6" w:space="0" w:color="FFFFFF"/>
              <w:bottom w:val="single" w:sz="2" w:space="0" w:color="8A8A84"/>
              <w:right w:val="single" w:sz="6" w:space="0" w:color="000000"/>
            </w:tcBorders>
            <w:shd w:val="solid" w:color="EBE7E2" w:fill="auto"/>
            <w:tcMar>
              <w:top w:w="85" w:type="dxa"/>
              <w:left w:w="113" w:type="dxa"/>
              <w:bottom w:w="85" w:type="dxa"/>
              <w:right w:w="80" w:type="dxa"/>
            </w:tcMar>
          </w:tcPr>
          <w:p w14:paraId="7CECB31B" w14:textId="77777777" w:rsidR="00D85FF4" w:rsidRDefault="00D85FF4">
            <w:pPr>
              <w:pStyle w:val="Tabletextbold"/>
            </w:pPr>
            <w:r>
              <w:t>Mr John Hill PSM</w:t>
            </w:r>
          </w:p>
        </w:tc>
        <w:tc>
          <w:tcPr>
            <w:tcW w:w="1032" w:type="dxa"/>
            <w:tcBorders>
              <w:top w:val="single" w:sz="2" w:space="0" w:color="8A8A84"/>
              <w:left w:val="single" w:sz="6" w:space="0" w:color="000000"/>
              <w:bottom w:val="single" w:sz="2" w:space="0" w:color="8A8A84"/>
              <w:right w:val="single" w:sz="6" w:space="0" w:color="000000"/>
            </w:tcBorders>
            <w:shd w:val="solid" w:color="EBE7E2" w:fill="auto"/>
            <w:tcMar>
              <w:top w:w="85" w:type="dxa"/>
              <w:left w:w="113" w:type="dxa"/>
              <w:bottom w:w="85" w:type="dxa"/>
              <w:right w:w="80" w:type="dxa"/>
            </w:tcMar>
          </w:tcPr>
          <w:p w14:paraId="1FA02106" w14:textId="77777777" w:rsidR="00D85FF4" w:rsidRDefault="00D85FF4">
            <w:pPr>
              <w:pStyle w:val="Tabletext"/>
            </w:pPr>
            <w:r>
              <w:t>Member</w:t>
            </w:r>
          </w:p>
        </w:tc>
        <w:tc>
          <w:tcPr>
            <w:tcW w:w="1345" w:type="dxa"/>
            <w:tcBorders>
              <w:top w:val="single" w:sz="2" w:space="0" w:color="8A8A84"/>
              <w:left w:val="single" w:sz="6" w:space="0" w:color="000000"/>
              <w:bottom w:val="single" w:sz="2" w:space="0" w:color="8A8A84"/>
              <w:right w:val="single" w:sz="6" w:space="0" w:color="000000"/>
            </w:tcBorders>
            <w:shd w:val="solid" w:color="EBE7E2" w:fill="auto"/>
            <w:tcMar>
              <w:top w:w="85" w:type="dxa"/>
              <w:left w:w="113" w:type="dxa"/>
              <w:bottom w:w="85" w:type="dxa"/>
              <w:right w:w="80" w:type="dxa"/>
            </w:tcMar>
          </w:tcPr>
          <w:p w14:paraId="5D1FB3BA" w14:textId="77777777" w:rsidR="00D85FF4" w:rsidRDefault="00D85FF4">
            <w:pPr>
              <w:pStyle w:val="Tabletext"/>
            </w:pPr>
            <w:r>
              <w:t>1 July 2013</w:t>
            </w:r>
          </w:p>
        </w:tc>
        <w:tc>
          <w:tcPr>
            <w:tcW w:w="1093" w:type="dxa"/>
            <w:tcBorders>
              <w:top w:val="single" w:sz="2" w:space="0" w:color="8A8A84"/>
              <w:left w:val="single" w:sz="6" w:space="0" w:color="000000"/>
              <w:bottom w:val="single" w:sz="2" w:space="0" w:color="8A8A84"/>
              <w:right w:val="single" w:sz="6" w:space="0" w:color="000000"/>
            </w:tcBorders>
            <w:shd w:val="solid" w:color="EBE7E2" w:fill="auto"/>
            <w:tcMar>
              <w:top w:w="85" w:type="dxa"/>
              <w:left w:w="113" w:type="dxa"/>
              <w:bottom w:w="85" w:type="dxa"/>
              <w:right w:w="80" w:type="dxa"/>
            </w:tcMar>
          </w:tcPr>
          <w:p w14:paraId="243ECA87" w14:textId="77777777" w:rsidR="00D85FF4" w:rsidRDefault="00D85FF4">
            <w:pPr>
              <w:pStyle w:val="Tabletext"/>
            </w:pPr>
            <w:r>
              <w:t>30 June 2016, reappointed to 31 December 2016</w:t>
            </w:r>
          </w:p>
        </w:tc>
        <w:tc>
          <w:tcPr>
            <w:tcW w:w="1248" w:type="dxa"/>
            <w:tcBorders>
              <w:top w:val="single" w:sz="2" w:space="0" w:color="8A8A84"/>
              <w:left w:val="single" w:sz="6" w:space="0" w:color="000000"/>
              <w:bottom w:val="single" w:sz="2" w:space="0" w:color="8A8A84"/>
              <w:right w:val="single" w:sz="6" w:space="0" w:color="000000"/>
            </w:tcBorders>
            <w:shd w:val="solid" w:color="EBE7E2" w:fill="auto"/>
            <w:tcMar>
              <w:top w:w="85" w:type="dxa"/>
              <w:left w:w="113" w:type="dxa"/>
              <w:bottom w:w="85" w:type="dxa"/>
              <w:right w:w="80" w:type="dxa"/>
            </w:tcMar>
          </w:tcPr>
          <w:p w14:paraId="17EC5C5C" w14:textId="77777777" w:rsidR="00D85FF4" w:rsidRDefault="00D85FF4">
            <w:pPr>
              <w:pStyle w:val="Tabletext"/>
              <w:jc w:val="center"/>
            </w:pPr>
            <w:r>
              <w:t>10</w:t>
            </w:r>
          </w:p>
        </w:tc>
        <w:tc>
          <w:tcPr>
            <w:tcW w:w="992" w:type="dxa"/>
            <w:tcBorders>
              <w:top w:val="single" w:sz="2" w:space="0" w:color="8A8A84"/>
              <w:left w:val="single" w:sz="6" w:space="0" w:color="000000"/>
              <w:bottom w:val="single" w:sz="2" w:space="0" w:color="8A8A84"/>
              <w:right w:val="single" w:sz="6" w:space="0" w:color="000000"/>
            </w:tcBorders>
            <w:shd w:val="solid" w:color="EBE7E2" w:fill="auto"/>
            <w:tcMar>
              <w:top w:w="85" w:type="dxa"/>
              <w:left w:w="113" w:type="dxa"/>
              <w:bottom w:w="85" w:type="dxa"/>
              <w:right w:w="80" w:type="dxa"/>
            </w:tcMar>
          </w:tcPr>
          <w:p w14:paraId="619FFB8E" w14:textId="77777777" w:rsidR="00D85FF4" w:rsidRDefault="00D85FF4">
            <w:pPr>
              <w:pStyle w:val="Tabletext"/>
              <w:jc w:val="center"/>
            </w:pPr>
            <w:r>
              <w:t>10</w:t>
            </w:r>
          </w:p>
        </w:tc>
        <w:tc>
          <w:tcPr>
            <w:tcW w:w="1134" w:type="dxa"/>
            <w:tcBorders>
              <w:top w:val="single" w:sz="2" w:space="0" w:color="8A8A84"/>
              <w:left w:val="single" w:sz="6" w:space="0" w:color="000000"/>
              <w:bottom w:val="single" w:sz="2" w:space="0" w:color="8A8A84"/>
              <w:right w:val="single" w:sz="6" w:space="0" w:color="FFFFFF"/>
            </w:tcBorders>
            <w:shd w:val="solid" w:color="EBE7E2" w:fill="auto"/>
            <w:tcMar>
              <w:top w:w="85" w:type="dxa"/>
              <w:left w:w="113" w:type="dxa"/>
              <w:bottom w:w="85" w:type="dxa"/>
              <w:right w:w="80" w:type="dxa"/>
            </w:tcMar>
          </w:tcPr>
          <w:p w14:paraId="51825106" w14:textId="77777777" w:rsidR="00D85FF4" w:rsidRDefault="00D85FF4">
            <w:pPr>
              <w:pStyle w:val="Tabletext"/>
              <w:jc w:val="center"/>
            </w:pPr>
            <w:r>
              <w:t>9</w:t>
            </w:r>
          </w:p>
        </w:tc>
        <w:tc>
          <w:tcPr>
            <w:tcW w:w="1134" w:type="dxa"/>
            <w:tcBorders>
              <w:top w:val="single" w:sz="2" w:space="0" w:color="8A8A84"/>
              <w:left w:val="single" w:sz="6" w:space="0" w:color="FFFFFF"/>
              <w:bottom w:val="single" w:sz="2" w:space="0" w:color="8A8A84"/>
              <w:right w:val="single" w:sz="6" w:space="0" w:color="000000"/>
            </w:tcBorders>
            <w:shd w:val="solid" w:color="EBE7E2" w:fill="auto"/>
            <w:tcMar>
              <w:top w:w="85" w:type="dxa"/>
              <w:left w:w="113" w:type="dxa"/>
              <w:bottom w:w="85" w:type="dxa"/>
              <w:right w:w="80" w:type="dxa"/>
            </w:tcMar>
          </w:tcPr>
          <w:p w14:paraId="0F6B363D" w14:textId="77777777" w:rsidR="00D85FF4" w:rsidRDefault="00D85FF4">
            <w:pPr>
              <w:pStyle w:val="Tabletext"/>
              <w:jc w:val="center"/>
            </w:pPr>
            <w:r>
              <w:t>9</w:t>
            </w:r>
          </w:p>
        </w:tc>
      </w:tr>
      <w:tr w:rsidR="007303A7" w14:paraId="43C7AFA6" w14:textId="77777777" w:rsidTr="007303A7">
        <w:trPr>
          <w:trHeight w:val="60"/>
        </w:trPr>
        <w:tc>
          <w:tcPr>
            <w:tcW w:w="1236" w:type="dxa"/>
            <w:tcBorders>
              <w:top w:val="single" w:sz="2" w:space="0" w:color="8A8A84"/>
              <w:left w:val="single" w:sz="6" w:space="0" w:color="FFFFFF"/>
              <w:bottom w:val="single" w:sz="2" w:space="0" w:color="8A8A84"/>
              <w:right w:val="single" w:sz="6" w:space="0" w:color="000000"/>
            </w:tcBorders>
            <w:shd w:val="solid" w:color="EBE7E2" w:fill="auto"/>
            <w:tcMar>
              <w:top w:w="85" w:type="dxa"/>
              <w:left w:w="113" w:type="dxa"/>
              <w:bottom w:w="85" w:type="dxa"/>
              <w:right w:w="80" w:type="dxa"/>
            </w:tcMar>
          </w:tcPr>
          <w:p w14:paraId="3CC7775A" w14:textId="77777777" w:rsidR="00D85FF4" w:rsidRDefault="00D85FF4">
            <w:pPr>
              <w:pStyle w:val="Tabletextbold"/>
            </w:pPr>
            <w:r>
              <w:t>Mr Glenn Keys</w:t>
            </w:r>
          </w:p>
        </w:tc>
        <w:tc>
          <w:tcPr>
            <w:tcW w:w="1032" w:type="dxa"/>
            <w:tcBorders>
              <w:top w:val="single" w:sz="2" w:space="0" w:color="8A8A84"/>
              <w:left w:val="single" w:sz="6" w:space="0" w:color="000000"/>
              <w:bottom w:val="single" w:sz="2" w:space="0" w:color="8A8A84"/>
              <w:right w:val="single" w:sz="6" w:space="0" w:color="000000"/>
            </w:tcBorders>
            <w:shd w:val="solid" w:color="EBE7E2" w:fill="auto"/>
            <w:tcMar>
              <w:top w:w="85" w:type="dxa"/>
              <w:left w:w="113" w:type="dxa"/>
              <w:bottom w:w="85" w:type="dxa"/>
              <w:right w:w="80" w:type="dxa"/>
            </w:tcMar>
          </w:tcPr>
          <w:p w14:paraId="4B3A8DA3" w14:textId="77777777" w:rsidR="00D85FF4" w:rsidRDefault="00D85FF4">
            <w:pPr>
              <w:pStyle w:val="Tabletext"/>
            </w:pPr>
            <w:r>
              <w:t>Member</w:t>
            </w:r>
          </w:p>
        </w:tc>
        <w:tc>
          <w:tcPr>
            <w:tcW w:w="1345" w:type="dxa"/>
            <w:tcBorders>
              <w:top w:val="single" w:sz="2" w:space="0" w:color="8A8A84"/>
              <w:left w:val="single" w:sz="6" w:space="0" w:color="000000"/>
              <w:bottom w:val="single" w:sz="2" w:space="0" w:color="8A8A84"/>
              <w:right w:val="single" w:sz="6" w:space="0" w:color="000000"/>
            </w:tcBorders>
            <w:shd w:val="solid" w:color="EBE7E2" w:fill="auto"/>
            <w:tcMar>
              <w:top w:w="85" w:type="dxa"/>
              <w:left w:w="113" w:type="dxa"/>
              <w:bottom w:w="85" w:type="dxa"/>
              <w:right w:w="80" w:type="dxa"/>
            </w:tcMar>
          </w:tcPr>
          <w:p w14:paraId="20588D2B" w14:textId="77777777" w:rsidR="00D85FF4" w:rsidRDefault="00D85FF4">
            <w:pPr>
              <w:pStyle w:val="Tabletext"/>
            </w:pPr>
            <w:r>
              <w:t>1 July 2013</w:t>
            </w:r>
          </w:p>
        </w:tc>
        <w:tc>
          <w:tcPr>
            <w:tcW w:w="1093" w:type="dxa"/>
            <w:tcBorders>
              <w:top w:val="single" w:sz="2" w:space="0" w:color="8A8A84"/>
              <w:left w:val="single" w:sz="6" w:space="0" w:color="000000"/>
              <w:bottom w:val="single" w:sz="2" w:space="0" w:color="8A8A84"/>
              <w:right w:val="single" w:sz="6" w:space="0" w:color="000000"/>
            </w:tcBorders>
            <w:shd w:val="solid" w:color="EBE7E2" w:fill="auto"/>
            <w:tcMar>
              <w:top w:w="85" w:type="dxa"/>
              <w:left w:w="113" w:type="dxa"/>
              <w:bottom w:w="85" w:type="dxa"/>
              <w:right w:w="80" w:type="dxa"/>
            </w:tcMar>
          </w:tcPr>
          <w:p w14:paraId="002C7421" w14:textId="77777777" w:rsidR="00D85FF4" w:rsidRDefault="00D85FF4">
            <w:pPr>
              <w:pStyle w:val="Tabletext"/>
            </w:pPr>
            <w:r>
              <w:t>30 June 2016, reappointed to 30 June 2017</w:t>
            </w:r>
          </w:p>
        </w:tc>
        <w:tc>
          <w:tcPr>
            <w:tcW w:w="1248" w:type="dxa"/>
            <w:tcBorders>
              <w:top w:val="single" w:sz="2" w:space="0" w:color="8A8A84"/>
              <w:left w:val="single" w:sz="6" w:space="0" w:color="000000"/>
              <w:bottom w:val="single" w:sz="2" w:space="0" w:color="8A8A84"/>
              <w:right w:val="single" w:sz="6" w:space="0" w:color="000000"/>
            </w:tcBorders>
            <w:shd w:val="solid" w:color="EBE7E2" w:fill="auto"/>
            <w:tcMar>
              <w:top w:w="85" w:type="dxa"/>
              <w:left w:w="113" w:type="dxa"/>
              <w:bottom w:w="85" w:type="dxa"/>
              <w:right w:w="80" w:type="dxa"/>
            </w:tcMar>
          </w:tcPr>
          <w:p w14:paraId="446FD0BB" w14:textId="77777777" w:rsidR="00D85FF4" w:rsidRDefault="00D85FF4">
            <w:pPr>
              <w:pStyle w:val="Tabletext"/>
              <w:jc w:val="center"/>
            </w:pPr>
            <w:r>
              <w:t>8</w:t>
            </w:r>
          </w:p>
        </w:tc>
        <w:tc>
          <w:tcPr>
            <w:tcW w:w="992" w:type="dxa"/>
            <w:tcBorders>
              <w:top w:val="single" w:sz="2" w:space="0" w:color="8A8A84"/>
              <w:left w:val="single" w:sz="6" w:space="0" w:color="000000"/>
              <w:bottom w:val="single" w:sz="2" w:space="0" w:color="8A8A84"/>
              <w:right w:val="single" w:sz="6" w:space="0" w:color="000000"/>
            </w:tcBorders>
            <w:shd w:val="solid" w:color="EBE7E2" w:fill="auto"/>
            <w:tcMar>
              <w:top w:w="85" w:type="dxa"/>
              <w:left w:w="113" w:type="dxa"/>
              <w:bottom w:w="85" w:type="dxa"/>
              <w:right w:w="80" w:type="dxa"/>
            </w:tcMar>
          </w:tcPr>
          <w:p w14:paraId="10A77F5D" w14:textId="77777777" w:rsidR="00D85FF4" w:rsidRDefault="00D85FF4">
            <w:pPr>
              <w:pStyle w:val="Tabletext"/>
              <w:jc w:val="center"/>
            </w:pPr>
            <w:r>
              <w:t>10</w:t>
            </w:r>
          </w:p>
        </w:tc>
        <w:tc>
          <w:tcPr>
            <w:tcW w:w="1134" w:type="dxa"/>
            <w:tcBorders>
              <w:top w:val="single" w:sz="2" w:space="0" w:color="8A8A84"/>
              <w:left w:val="single" w:sz="6" w:space="0" w:color="000000"/>
              <w:bottom w:val="single" w:sz="2" w:space="0" w:color="8A8A84"/>
              <w:right w:val="single" w:sz="6" w:space="0" w:color="FFFFFF"/>
            </w:tcBorders>
            <w:shd w:val="solid" w:color="EBE7E2" w:fill="auto"/>
            <w:tcMar>
              <w:top w:w="85" w:type="dxa"/>
              <w:left w:w="113" w:type="dxa"/>
              <w:bottom w:w="85" w:type="dxa"/>
              <w:right w:w="80" w:type="dxa"/>
            </w:tcMar>
          </w:tcPr>
          <w:p w14:paraId="04CDC418" w14:textId="77777777" w:rsidR="00D85FF4" w:rsidRDefault="00D85FF4">
            <w:pPr>
              <w:pStyle w:val="Tabletext"/>
              <w:jc w:val="center"/>
            </w:pPr>
            <w:r>
              <w:t>8</w:t>
            </w:r>
          </w:p>
        </w:tc>
        <w:tc>
          <w:tcPr>
            <w:tcW w:w="1134" w:type="dxa"/>
            <w:tcBorders>
              <w:top w:val="single" w:sz="2" w:space="0" w:color="8A8A84"/>
              <w:left w:val="single" w:sz="6" w:space="0" w:color="FFFFFF"/>
              <w:bottom w:val="single" w:sz="2" w:space="0" w:color="8A8A84"/>
              <w:right w:val="single" w:sz="6" w:space="0" w:color="000000"/>
            </w:tcBorders>
            <w:shd w:val="solid" w:color="EBE7E2" w:fill="auto"/>
            <w:tcMar>
              <w:top w:w="85" w:type="dxa"/>
              <w:left w:w="113" w:type="dxa"/>
              <w:bottom w:w="85" w:type="dxa"/>
              <w:right w:w="80" w:type="dxa"/>
            </w:tcMar>
          </w:tcPr>
          <w:p w14:paraId="64E86DC3" w14:textId="77777777" w:rsidR="00D85FF4" w:rsidRDefault="00D85FF4">
            <w:pPr>
              <w:pStyle w:val="Tabletext"/>
              <w:jc w:val="center"/>
            </w:pPr>
            <w:r>
              <w:t>9</w:t>
            </w:r>
          </w:p>
        </w:tc>
      </w:tr>
      <w:tr w:rsidR="007303A7" w14:paraId="2207CDD6" w14:textId="77777777" w:rsidTr="007303A7">
        <w:trPr>
          <w:trHeight w:val="60"/>
        </w:trPr>
        <w:tc>
          <w:tcPr>
            <w:tcW w:w="1236" w:type="dxa"/>
            <w:tcBorders>
              <w:top w:val="single" w:sz="2" w:space="0" w:color="8A8A84"/>
              <w:left w:val="single" w:sz="6" w:space="0" w:color="FFFFFF"/>
              <w:bottom w:val="single" w:sz="2" w:space="0" w:color="8A8A84"/>
              <w:right w:val="single" w:sz="6" w:space="0" w:color="000000"/>
            </w:tcBorders>
            <w:shd w:val="solid" w:color="EBE7E2" w:fill="auto"/>
            <w:tcMar>
              <w:top w:w="85" w:type="dxa"/>
              <w:left w:w="113" w:type="dxa"/>
              <w:bottom w:w="85" w:type="dxa"/>
              <w:right w:w="80" w:type="dxa"/>
            </w:tcMar>
          </w:tcPr>
          <w:p w14:paraId="5EAA5D07" w14:textId="77777777" w:rsidR="00D85FF4" w:rsidRDefault="00D85FF4">
            <w:pPr>
              <w:pStyle w:val="Tabletextbold"/>
            </w:pPr>
            <w:r>
              <w:t>Mr Martin Laverty</w:t>
            </w:r>
          </w:p>
        </w:tc>
        <w:tc>
          <w:tcPr>
            <w:tcW w:w="1032" w:type="dxa"/>
            <w:tcBorders>
              <w:top w:val="single" w:sz="2" w:space="0" w:color="8A8A84"/>
              <w:left w:val="single" w:sz="6" w:space="0" w:color="000000"/>
              <w:bottom w:val="single" w:sz="2" w:space="0" w:color="8A8A84"/>
              <w:right w:val="single" w:sz="6" w:space="0" w:color="000000"/>
            </w:tcBorders>
            <w:shd w:val="solid" w:color="EBE7E2" w:fill="auto"/>
            <w:tcMar>
              <w:top w:w="85" w:type="dxa"/>
              <w:left w:w="113" w:type="dxa"/>
              <w:bottom w:w="85" w:type="dxa"/>
              <w:right w:w="80" w:type="dxa"/>
            </w:tcMar>
          </w:tcPr>
          <w:p w14:paraId="48BFBAB2" w14:textId="77777777" w:rsidR="00D85FF4" w:rsidRDefault="00D85FF4">
            <w:pPr>
              <w:pStyle w:val="Tabletext"/>
            </w:pPr>
            <w:r>
              <w:t>Member</w:t>
            </w:r>
          </w:p>
        </w:tc>
        <w:tc>
          <w:tcPr>
            <w:tcW w:w="1345" w:type="dxa"/>
            <w:tcBorders>
              <w:top w:val="single" w:sz="2" w:space="0" w:color="8A8A84"/>
              <w:left w:val="single" w:sz="6" w:space="0" w:color="000000"/>
              <w:bottom w:val="single" w:sz="2" w:space="0" w:color="8A8A84"/>
              <w:right w:val="single" w:sz="6" w:space="0" w:color="000000"/>
            </w:tcBorders>
            <w:shd w:val="solid" w:color="EBE7E2" w:fill="auto"/>
            <w:tcMar>
              <w:top w:w="85" w:type="dxa"/>
              <w:left w:w="113" w:type="dxa"/>
              <w:bottom w:w="85" w:type="dxa"/>
              <w:right w:w="80" w:type="dxa"/>
            </w:tcMar>
          </w:tcPr>
          <w:p w14:paraId="7E6A20BE" w14:textId="77777777" w:rsidR="00D85FF4" w:rsidRDefault="00D85FF4">
            <w:pPr>
              <w:pStyle w:val="Tabletext"/>
            </w:pPr>
            <w:r>
              <w:t>1 July 2013</w:t>
            </w:r>
          </w:p>
        </w:tc>
        <w:tc>
          <w:tcPr>
            <w:tcW w:w="1093" w:type="dxa"/>
            <w:tcBorders>
              <w:top w:val="single" w:sz="2" w:space="0" w:color="8A8A84"/>
              <w:left w:val="single" w:sz="6" w:space="0" w:color="000000"/>
              <w:bottom w:val="single" w:sz="2" w:space="0" w:color="8A8A84"/>
              <w:right w:val="single" w:sz="6" w:space="0" w:color="000000"/>
            </w:tcBorders>
            <w:shd w:val="solid" w:color="EBE7E2" w:fill="auto"/>
            <w:tcMar>
              <w:top w:w="85" w:type="dxa"/>
              <w:left w:w="113" w:type="dxa"/>
              <w:bottom w:w="85" w:type="dxa"/>
              <w:right w:w="80" w:type="dxa"/>
            </w:tcMar>
          </w:tcPr>
          <w:p w14:paraId="4877104F" w14:textId="77777777" w:rsidR="00D85FF4" w:rsidRDefault="00D85FF4">
            <w:pPr>
              <w:pStyle w:val="Tabletext"/>
            </w:pPr>
            <w:r>
              <w:t>30 June 2016, reappointed to 30 June 2017</w:t>
            </w:r>
          </w:p>
        </w:tc>
        <w:tc>
          <w:tcPr>
            <w:tcW w:w="1248" w:type="dxa"/>
            <w:tcBorders>
              <w:top w:val="single" w:sz="2" w:space="0" w:color="8A8A84"/>
              <w:left w:val="single" w:sz="6" w:space="0" w:color="000000"/>
              <w:bottom w:val="single" w:sz="2" w:space="0" w:color="8A8A84"/>
              <w:right w:val="single" w:sz="6" w:space="0" w:color="000000"/>
            </w:tcBorders>
            <w:shd w:val="solid" w:color="EBE7E2" w:fill="auto"/>
            <w:tcMar>
              <w:top w:w="85" w:type="dxa"/>
              <w:left w:w="113" w:type="dxa"/>
              <w:bottom w:w="85" w:type="dxa"/>
              <w:right w:w="80" w:type="dxa"/>
            </w:tcMar>
          </w:tcPr>
          <w:p w14:paraId="1AB98722" w14:textId="77777777" w:rsidR="00D85FF4" w:rsidRDefault="00D85FF4">
            <w:pPr>
              <w:pStyle w:val="Tabletext"/>
              <w:jc w:val="center"/>
            </w:pPr>
            <w:r>
              <w:t>10</w:t>
            </w:r>
          </w:p>
        </w:tc>
        <w:tc>
          <w:tcPr>
            <w:tcW w:w="992" w:type="dxa"/>
            <w:tcBorders>
              <w:top w:val="single" w:sz="2" w:space="0" w:color="8A8A84"/>
              <w:left w:val="single" w:sz="6" w:space="0" w:color="000000"/>
              <w:bottom w:val="single" w:sz="2" w:space="0" w:color="8A8A84"/>
              <w:right w:val="single" w:sz="6" w:space="0" w:color="000000"/>
            </w:tcBorders>
            <w:shd w:val="solid" w:color="EBE7E2" w:fill="auto"/>
            <w:tcMar>
              <w:top w:w="85" w:type="dxa"/>
              <w:left w:w="113" w:type="dxa"/>
              <w:bottom w:w="85" w:type="dxa"/>
              <w:right w:w="80" w:type="dxa"/>
            </w:tcMar>
          </w:tcPr>
          <w:p w14:paraId="5A81F46C" w14:textId="77777777" w:rsidR="00D85FF4" w:rsidRDefault="00D85FF4">
            <w:pPr>
              <w:pStyle w:val="Tabletext"/>
              <w:jc w:val="center"/>
            </w:pPr>
            <w:r>
              <w:t>10</w:t>
            </w:r>
          </w:p>
        </w:tc>
        <w:tc>
          <w:tcPr>
            <w:tcW w:w="1134" w:type="dxa"/>
            <w:tcBorders>
              <w:top w:val="single" w:sz="2" w:space="0" w:color="8A8A84"/>
              <w:left w:val="single" w:sz="6" w:space="0" w:color="000000"/>
              <w:bottom w:val="single" w:sz="2" w:space="0" w:color="8A8A84"/>
              <w:right w:val="single" w:sz="6" w:space="0" w:color="FFFFFF"/>
            </w:tcBorders>
            <w:shd w:val="solid" w:color="EBE7E2" w:fill="auto"/>
            <w:tcMar>
              <w:top w:w="85" w:type="dxa"/>
              <w:left w:w="113" w:type="dxa"/>
              <w:bottom w:w="85" w:type="dxa"/>
              <w:right w:w="80" w:type="dxa"/>
            </w:tcMar>
          </w:tcPr>
          <w:p w14:paraId="468AC19B" w14:textId="77777777" w:rsidR="00D85FF4" w:rsidRDefault="00D85FF4">
            <w:pPr>
              <w:pStyle w:val="Tabletext"/>
              <w:jc w:val="center"/>
            </w:pPr>
            <w:r>
              <w:t>8</w:t>
            </w:r>
          </w:p>
        </w:tc>
        <w:tc>
          <w:tcPr>
            <w:tcW w:w="1134" w:type="dxa"/>
            <w:tcBorders>
              <w:top w:val="single" w:sz="2" w:space="0" w:color="8A8A84"/>
              <w:left w:val="single" w:sz="6" w:space="0" w:color="FFFFFF"/>
              <w:bottom w:val="single" w:sz="2" w:space="0" w:color="8A8A84"/>
              <w:right w:val="single" w:sz="6" w:space="0" w:color="000000"/>
            </w:tcBorders>
            <w:shd w:val="solid" w:color="EBE7E2" w:fill="auto"/>
            <w:tcMar>
              <w:top w:w="85" w:type="dxa"/>
              <w:left w:w="113" w:type="dxa"/>
              <w:bottom w:w="85" w:type="dxa"/>
              <w:right w:w="80" w:type="dxa"/>
            </w:tcMar>
          </w:tcPr>
          <w:p w14:paraId="54322023" w14:textId="77777777" w:rsidR="00D85FF4" w:rsidRDefault="00D85FF4">
            <w:pPr>
              <w:pStyle w:val="Tabletext"/>
              <w:jc w:val="center"/>
            </w:pPr>
            <w:r>
              <w:t>9</w:t>
            </w:r>
          </w:p>
        </w:tc>
      </w:tr>
      <w:tr w:rsidR="007303A7" w14:paraId="26897066" w14:textId="77777777" w:rsidTr="007303A7">
        <w:trPr>
          <w:trHeight w:val="60"/>
        </w:trPr>
        <w:tc>
          <w:tcPr>
            <w:tcW w:w="1236" w:type="dxa"/>
            <w:tcBorders>
              <w:top w:val="single" w:sz="2" w:space="0" w:color="8A8A84"/>
              <w:left w:val="single" w:sz="6" w:space="0" w:color="FFFFFF"/>
              <w:bottom w:val="single" w:sz="2" w:space="0" w:color="8A8A84"/>
              <w:right w:val="single" w:sz="6" w:space="0" w:color="000000"/>
            </w:tcBorders>
            <w:shd w:val="solid" w:color="EBE7E2" w:fill="auto"/>
            <w:tcMar>
              <w:top w:w="85" w:type="dxa"/>
              <w:left w:w="113" w:type="dxa"/>
              <w:bottom w:w="85" w:type="dxa"/>
              <w:right w:w="80" w:type="dxa"/>
            </w:tcMar>
          </w:tcPr>
          <w:p w14:paraId="20704C88" w14:textId="77777777" w:rsidR="00D85FF4" w:rsidRDefault="00D85FF4">
            <w:pPr>
              <w:pStyle w:val="Tabletextbold"/>
            </w:pPr>
            <w:r>
              <w:lastRenderedPageBreak/>
              <w:t>Ms Fiona Payne</w:t>
            </w:r>
          </w:p>
        </w:tc>
        <w:tc>
          <w:tcPr>
            <w:tcW w:w="1032" w:type="dxa"/>
            <w:tcBorders>
              <w:top w:val="single" w:sz="2" w:space="0" w:color="8A8A84"/>
              <w:left w:val="single" w:sz="6" w:space="0" w:color="000000"/>
              <w:bottom w:val="single" w:sz="2" w:space="0" w:color="8A8A84"/>
              <w:right w:val="single" w:sz="6" w:space="0" w:color="000000"/>
            </w:tcBorders>
            <w:shd w:val="solid" w:color="EBE7E2" w:fill="auto"/>
            <w:tcMar>
              <w:top w:w="85" w:type="dxa"/>
              <w:left w:w="113" w:type="dxa"/>
              <w:bottom w:w="85" w:type="dxa"/>
              <w:right w:w="80" w:type="dxa"/>
            </w:tcMar>
          </w:tcPr>
          <w:p w14:paraId="0F34C351" w14:textId="77777777" w:rsidR="00D85FF4" w:rsidRDefault="00D85FF4">
            <w:pPr>
              <w:pStyle w:val="Tabletext"/>
            </w:pPr>
            <w:r>
              <w:t>Member</w:t>
            </w:r>
          </w:p>
        </w:tc>
        <w:tc>
          <w:tcPr>
            <w:tcW w:w="1345" w:type="dxa"/>
            <w:tcBorders>
              <w:top w:val="single" w:sz="2" w:space="0" w:color="8A8A84"/>
              <w:left w:val="single" w:sz="6" w:space="0" w:color="000000"/>
              <w:bottom w:val="single" w:sz="2" w:space="0" w:color="8A8A84"/>
              <w:right w:val="single" w:sz="6" w:space="0" w:color="000000"/>
            </w:tcBorders>
            <w:shd w:val="solid" w:color="EBE7E2" w:fill="auto"/>
            <w:tcMar>
              <w:top w:w="85" w:type="dxa"/>
              <w:left w:w="113" w:type="dxa"/>
              <w:bottom w:w="85" w:type="dxa"/>
              <w:right w:w="80" w:type="dxa"/>
            </w:tcMar>
          </w:tcPr>
          <w:p w14:paraId="7635BFF5" w14:textId="77777777" w:rsidR="00D85FF4" w:rsidRDefault="00D85FF4">
            <w:pPr>
              <w:pStyle w:val="Tabletext"/>
            </w:pPr>
            <w:r>
              <w:t>1 July 2013</w:t>
            </w:r>
          </w:p>
        </w:tc>
        <w:tc>
          <w:tcPr>
            <w:tcW w:w="1093" w:type="dxa"/>
            <w:tcBorders>
              <w:top w:val="single" w:sz="2" w:space="0" w:color="8A8A84"/>
              <w:left w:val="single" w:sz="6" w:space="0" w:color="000000"/>
              <w:bottom w:val="single" w:sz="2" w:space="0" w:color="8A8A84"/>
              <w:right w:val="single" w:sz="6" w:space="0" w:color="000000"/>
            </w:tcBorders>
            <w:shd w:val="solid" w:color="EBE7E2" w:fill="auto"/>
            <w:tcMar>
              <w:top w:w="85" w:type="dxa"/>
              <w:left w:w="113" w:type="dxa"/>
              <w:bottom w:w="85" w:type="dxa"/>
              <w:right w:w="80" w:type="dxa"/>
            </w:tcMar>
          </w:tcPr>
          <w:p w14:paraId="0712096D" w14:textId="77777777" w:rsidR="00D85FF4" w:rsidRDefault="00D85FF4">
            <w:pPr>
              <w:pStyle w:val="Tabletext"/>
            </w:pPr>
            <w:r>
              <w:t xml:space="preserve">30 June 2016, reappointed to 31 December 2016 </w:t>
            </w:r>
          </w:p>
        </w:tc>
        <w:tc>
          <w:tcPr>
            <w:tcW w:w="1248" w:type="dxa"/>
            <w:tcBorders>
              <w:top w:val="single" w:sz="2" w:space="0" w:color="8A8A84"/>
              <w:left w:val="single" w:sz="6" w:space="0" w:color="000000"/>
              <w:bottom w:val="single" w:sz="2" w:space="0" w:color="8A8A84"/>
              <w:right w:val="single" w:sz="6" w:space="0" w:color="000000"/>
            </w:tcBorders>
            <w:shd w:val="solid" w:color="EBE7E2" w:fill="auto"/>
            <w:tcMar>
              <w:top w:w="85" w:type="dxa"/>
              <w:left w:w="113" w:type="dxa"/>
              <w:bottom w:w="85" w:type="dxa"/>
              <w:right w:w="80" w:type="dxa"/>
            </w:tcMar>
          </w:tcPr>
          <w:p w14:paraId="5A0051F8" w14:textId="77777777" w:rsidR="00D85FF4" w:rsidRDefault="00D85FF4">
            <w:pPr>
              <w:pStyle w:val="Tabletext"/>
              <w:jc w:val="center"/>
            </w:pPr>
            <w:r>
              <w:t>10</w:t>
            </w:r>
          </w:p>
        </w:tc>
        <w:tc>
          <w:tcPr>
            <w:tcW w:w="992" w:type="dxa"/>
            <w:tcBorders>
              <w:top w:val="single" w:sz="2" w:space="0" w:color="8A8A84"/>
              <w:left w:val="single" w:sz="6" w:space="0" w:color="000000"/>
              <w:bottom w:val="single" w:sz="2" w:space="0" w:color="8A8A84"/>
              <w:right w:val="single" w:sz="6" w:space="0" w:color="000000"/>
            </w:tcBorders>
            <w:shd w:val="solid" w:color="EBE7E2" w:fill="auto"/>
            <w:tcMar>
              <w:top w:w="85" w:type="dxa"/>
              <w:left w:w="113" w:type="dxa"/>
              <w:bottom w:w="85" w:type="dxa"/>
              <w:right w:w="80" w:type="dxa"/>
            </w:tcMar>
          </w:tcPr>
          <w:p w14:paraId="595579D9" w14:textId="77777777" w:rsidR="00D85FF4" w:rsidRDefault="00D85FF4">
            <w:pPr>
              <w:pStyle w:val="Tabletext"/>
              <w:jc w:val="center"/>
            </w:pPr>
            <w:r>
              <w:t>10</w:t>
            </w:r>
          </w:p>
        </w:tc>
        <w:tc>
          <w:tcPr>
            <w:tcW w:w="1134" w:type="dxa"/>
            <w:tcBorders>
              <w:top w:val="single" w:sz="2" w:space="0" w:color="8A8A84"/>
              <w:left w:val="single" w:sz="6" w:space="0" w:color="000000"/>
              <w:bottom w:val="single" w:sz="2" w:space="0" w:color="8A8A84"/>
              <w:right w:val="single" w:sz="6" w:space="0" w:color="FFFFFF"/>
            </w:tcBorders>
            <w:shd w:val="solid" w:color="EBE7E2" w:fill="auto"/>
            <w:tcMar>
              <w:top w:w="85" w:type="dxa"/>
              <w:left w:w="113" w:type="dxa"/>
              <w:bottom w:w="85" w:type="dxa"/>
              <w:right w:w="80" w:type="dxa"/>
            </w:tcMar>
          </w:tcPr>
          <w:p w14:paraId="3F30631B" w14:textId="77777777" w:rsidR="00D85FF4" w:rsidRDefault="00D85FF4">
            <w:pPr>
              <w:pStyle w:val="Tabletext"/>
              <w:jc w:val="center"/>
            </w:pPr>
            <w:r>
              <w:t>9</w:t>
            </w:r>
          </w:p>
        </w:tc>
        <w:tc>
          <w:tcPr>
            <w:tcW w:w="1134" w:type="dxa"/>
            <w:tcBorders>
              <w:top w:val="single" w:sz="2" w:space="0" w:color="8A8A84"/>
              <w:left w:val="single" w:sz="6" w:space="0" w:color="FFFFFF"/>
              <w:bottom w:val="single" w:sz="2" w:space="0" w:color="8A8A84"/>
              <w:right w:val="single" w:sz="6" w:space="0" w:color="000000"/>
            </w:tcBorders>
            <w:shd w:val="solid" w:color="EBE7E2" w:fill="auto"/>
            <w:tcMar>
              <w:top w:w="85" w:type="dxa"/>
              <w:left w:w="113" w:type="dxa"/>
              <w:bottom w:w="85" w:type="dxa"/>
              <w:right w:w="80" w:type="dxa"/>
            </w:tcMar>
          </w:tcPr>
          <w:p w14:paraId="3E56E484" w14:textId="77777777" w:rsidR="00D85FF4" w:rsidRDefault="00D85FF4">
            <w:pPr>
              <w:pStyle w:val="Tabletext"/>
              <w:jc w:val="center"/>
            </w:pPr>
            <w:r>
              <w:t>9</w:t>
            </w:r>
          </w:p>
        </w:tc>
      </w:tr>
      <w:tr w:rsidR="007303A7" w14:paraId="6772DB40" w14:textId="77777777" w:rsidTr="007303A7">
        <w:trPr>
          <w:trHeight w:val="60"/>
        </w:trPr>
        <w:tc>
          <w:tcPr>
            <w:tcW w:w="1236" w:type="dxa"/>
            <w:tcBorders>
              <w:top w:val="single" w:sz="2" w:space="0" w:color="8A8A84"/>
              <w:left w:val="single" w:sz="6" w:space="0" w:color="FFFFFF"/>
              <w:bottom w:val="single" w:sz="2" w:space="0" w:color="8A8A84"/>
              <w:right w:val="single" w:sz="6" w:space="0" w:color="000000"/>
            </w:tcBorders>
            <w:shd w:val="solid" w:color="EBE7E2" w:fill="auto"/>
            <w:tcMar>
              <w:top w:w="85" w:type="dxa"/>
              <w:left w:w="113" w:type="dxa"/>
              <w:bottom w:w="85" w:type="dxa"/>
              <w:right w:w="80" w:type="dxa"/>
            </w:tcMar>
          </w:tcPr>
          <w:p w14:paraId="01A9C7BC" w14:textId="77777777" w:rsidR="00D85FF4" w:rsidRDefault="00D85FF4">
            <w:pPr>
              <w:pStyle w:val="Tabletextbold"/>
            </w:pPr>
            <w:r>
              <w:t>Mr John Walsh AM</w:t>
            </w:r>
          </w:p>
        </w:tc>
        <w:tc>
          <w:tcPr>
            <w:tcW w:w="1032" w:type="dxa"/>
            <w:tcBorders>
              <w:top w:val="single" w:sz="2" w:space="0" w:color="8A8A84"/>
              <w:left w:val="single" w:sz="6" w:space="0" w:color="000000"/>
              <w:bottom w:val="single" w:sz="2" w:space="0" w:color="8A8A84"/>
              <w:right w:val="single" w:sz="6" w:space="0" w:color="000000"/>
            </w:tcBorders>
            <w:shd w:val="solid" w:color="EBE7E2" w:fill="auto"/>
            <w:tcMar>
              <w:top w:w="85" w:type="dxa"/>
              <w:left w:w="113" w:type="dxa"/>
              <w:bottom w:w="85" w:type="dxa"/>
              <w:right w:w="80" w:type="dxa"/>
            </w:tcMar>
          </w:tcPr>
          <w:p w14:paraId="69602021" w14:textId="77777777" w:rsidR="00D85FF4" w:rsidRDefault="00D85FF4">
            <w:pPr>
              <w:pStyle w:val="Tabletext"/>
            </w:pPr>
            <w:r>
              <w:t>Member</w:t>
            </w:r>
          </w:p>
        </w:tc>
        <w:tc>
          <w:tcPr>
            <w:tcW w:w="1345" w:type="dxa"/>
            <w:tcBorders>
              <w:top w:val="single" w:sz="2" w:space="0" w:color="8A8A84"/>
              <w:left w:val="single" w:sz="6" w:space="0" w:color="000000"/>
              <w:bottom w:val="single" w:sz="2" w:space="0" w:color="8A8A84"/>
              <w:right w:val="single" w:sz="6" w:space="0" w:color="000000"/>
            </w:tcBorders>
            <w:shd w:val="solid" w:color="EBE7E2" w:fill="auto"/>
            <w:tcMar>
              <w:top w:w="85" w:type="dxa"/>
              <w:left w:w="113" w:type="dxa"/>
              <w:bottom w:w="85" w:type="dxa"/>
              <w:right w:w="80" w:type="dxa"/>
            </w:tcMar>
          </w:tcPr>
          <w:p w14:paraId="27BD91F8" w14:textId="77777777" w:rsidR="00D85FF4" w:rsidRDefault="00D85FF4">
            <w:pPr>
              <w:pStyle w:val="Tabletext"/>
            </w:pPr>
            <w:r>
              <w:t>1 July 2013</w:t>
            </w:r>
          </w:p>
        </w:tc>
        <w:tc>
          <w:tcPr>
            <w:tcW w:w="1093" w:type="dxa"/>
            <w:tcBorders>
              <w:top w:val="single" w:sz="2" w:space="0" w:color="8A8A84"/>
              <w:left w:val="single" w:sz="6" w:space="0" w:color="000000"/>
              <w:bottom w:val="single" w:sz="2" w:space="0" w:color="8A8A84"/>
              <w:right w:val="single" w:sz="6" w:space="0" w:color="000000"/>
            </w:tcBorders>
            <w:shd w:val="solid" w:color="EBE7E2" w:fill="auto"/>
            <w:tcMar>
              <w:top w:w="85" w:type="dxa"/>
              <w:left w:w="113" w:type="dxa"/>
              <w:bottom w:w="85" w:type="dxa"/>
              <w:right w:w="80" w:type="dxa"/>
            </w:tcMar>
          </w:tcPr>
          <w:p w14:paraId="2E959F53" w14:textId="77777777" w:rsidR="00D85FF4" w:rsidRDefault="00D85FF4">
            <w:pPr>
              <w:pStyle w:val="Tabletext"/>
            </w:pPr>
            <w:r>
              <w:t>30 June 2016, reappointed to 30 June 2017</w:t>
            </w:r>
          </w:p>
        </w:tc>
        <w:tc>
          <w:tcPr>
            <w:tcW w:w="1248" w:type="dxa"/>
            <w:tcBorders>
              <w:top w:val="single" w:sz="2" w:space="0" w:color="8A8A84"/>
              <w:left w:val="single" w:sz="6" w:space="0" w:color="000000"/>
              <w:bottom w:val="single" w:sz="2" w:space="0" w:color="8A8A84"/>
              <w:right w:val="single" w:sz="6" w:space="0" w:color="000000"/>
            </w:tcBorders>
            <w:shd w:val="solid" w:color="EBE7E2" w:fill="auto"/>
            <w:tcMar>
              <w:top w:w="85" w:type="dxa"/>
              <w:left w:w="113" w:type="dxa"/>
              <w:bottom w:w="85" w:type="dxa"/>
              <w:right w:w="80" w:type="dxa"/>
            </w:tcMar>
          </w:tcPr>
          <w:p w14:paraId="3D0E10E3" w14:textId="77777777" w:rsidR="00D85FF4" w:rsidRDefault="00D85FF4">
            <w:pPr>
              <w:pStyle w:val="Tabletext"/>
              <w:jc w:val="center"/>
            </w:pPr>
            <w:r>
              <w:t>10</w:t>
            </w:r>
          </w:p>
        </w:tc>
        <w:tc>
          <w:tcPr>
            <w:tcW w:w="992" w:type="dxa"/>
            <w:tcBorders>
              <w:top w:val="single" w:sz="2" w:space="0" w:color="8A8A84"/>
              <w:left w:val="single" w:sz="6" w:space="0" w:color="000000"/>
              <w:bottom w:val="single" w:sz="2" w:space="0" w:color="8A8A84"/>
              <w:right w:val="single" w:sz="6" w:space="0" w:color="000000"/>
            </w:tcBorders>
            <w:shd w:val="solid" w:color="EBE7E2" w:fill="auto"/>
            <w:tcMar>
              <w:top w:w="85" w:type="dxa"/>
              <w:left w:w="113" w:type="dxa"/>
              <w:bottom w:w="85" w:type="dxa"/>
              <w:right w:w="80" w:type="dxa"/>
            </w:tcMar>
          </w:tcPr>
          <w:p w14:paraId="5FAAB738" w14:textId="77777777" w:rsidR="00D85FF4" w:rsidRDefault="00D85FF4">
            <w:pPr>
              <w:pStyle w:val="Tabletext"/>
              <w:jc w:val="center"/>
            </w:pPr>
            <w:r>
              <w:t>10</w:t>
            </w:r>
          </w:p>
        </w:tc>
        <w:tc>
          <w:tcPr>
            <w:tcW w:w="1134" w:type="dxa"/>
            <w:tcBorders>
              <w:top w:val="single" w:sz="2" w:space="0" w:color="8A8A84"/>
              <w:left w:val="single" w:sz="6" w:space="0" w:color="000000"/>
              <w:bottom w:val="single" w:sz="2" w:space="0" w:color="8A8A84"/>
              <w:right w:val="single" w:sz="6" w:space="0" w:color="FFFFFF"/>
            </w:tcBorders>
            <w:shd w:val="solid" w:color="EBE7E2" w:fill="auto"/>
            <w:tcMar>
              <w:top w:w="85" w:type="dxa"/>
              <w:left w:w="113" w:type="dxa"/>
              <w:bottom w:w="85" w:type="dxa"/>
              <w:right w:w="80" w:type="dxa"/>
            </w:tcMar>
          </w:tcPr>
          <w:p w14:paraId="3343C89E" w14:textId="77777777" w:rsidR="00D85FF4" w:rsidRDefault="00D85FF4">
            <w:pPr>
              <w:pStyle w:val="Tabletext"/>
              <w:jc w:val="center"/>
            </w:pPr>
            <w:r>
              <w:t>8</w:t>
            </w:r>
          </w:p>
        </w:tc>
        <w:tc>
          <w:tcPr>
            <w:tcW w:w="1134" w:type="dxa"/>
            <w:tcBorders>
              <w:top w:val="single" w:sz="2" w:space="0" w:color="8A8A84"/>
              <w:left w:val="single" w:sz="6" w:space="0" w:color="FFFFFF"/>
              <w:bottom w:val="single" w:sz="2" w:space="0" w:color="8A8A84"/>
              <w:right w:val="single" w:sz="6" w:space="0" w:color="000000"/>
            </w:tcBorders>
            <w:shd w:val="solid" w:color="EBE7E2" w:fill="auto"/>
            <w:tcMar>
              <w:top w:w="85" w:type="dxa"/>
              <w:left w:w="113" w:type="dxa"/>
              <w:bottom w:w="85" w:type="dxa"/>
              <w:right w:w="80" w:type="dxa"/>
            </w:tcMar>
          </w:tcPr>
          <w:p w14:paraId="4A74371B" w14:textId="77777777" w:rsidR="00D85FF4" w:rsidRDefault="00D85FF4">
            <w:pPr>
              <w:pStyle w:val="Tabletext"/>
              <w:jc w:val="center"/>
            </w:pPr>
            <w:r>
              <w:t>9</w:t>
            </w:r>
          </w:p>
        </w:tc>
      </w:tr>
    </w:tbl>
    <w:p w14:paraId="34EDB515" w14:textId="77777777" w:rsidR="00D85FF4" w:rsidRDefault="00D85FF4" w:rsidP="007303A7">
      <w:pPr>
        <w:pStyle w:val="Heading4"/>
      </w:pPr>
      <w:r>
        <w:t xml:space="preserve">Board training and performance evaluation </w:t>
      </w:r>
    </w:p>
    <w:p w14:paraId="1E48C03F" w14:textId="77777777" w:rsidR="00D85FF4" w:rsidRDefault="00D85FF4" w:rsidP="00D85FF4">
      <w:pPr>
        <w:pStyle w:val="BodyCopy"/>
      </w:pPr>
      <w:r>
        <w:t>A review of the Board’s performance and effectiveness is planned for later in 2016. The Board and the Agency are subject to significant reporting arrangements, beyond those normally required by the PGPA Act. The Board is required to comply with a range of reporting obligations, and on an annual basis, the Board should conduct a formal evaluation of its performance, under a process to be agreed by the Board. It may occur through the Chair consulting with Board members on a group or individual basis. An independent expert could be used to facilitate this process.</w:t>
      </w:r>
    </w:p>
    <w:p w14:paraId="6E849E94" w14:textId="6803EDA7" w:rsidR="00B372AF" w:rsidRDefault="00D85FF4" w:rsidP="007303A7">
      <w:r>
        <w:t xml:space="preserve">The Board receives advice from the Independent Advisory Council (IAC) established by the NDIS Act and made up of people with disability, </w:t>
      </w:r>
      <w:proofErr w:type="spellStart"/>
      <w:r>
        <w:t>carers</w:t>
      </w:r>
      <w:proofErr w:type="spellEnd"/>
      <w:r>
        <w:t>, and those experienced in service provision and disability in rural and remote areas. The Advisory Council provides the Board with independent advice on matters relating to the delivery of the Scheme and how it meets the objectives of the Agency.</w:t>
      </w:r>
    </w:p>
    <w:p w14:paraId="7AF3CBC1" w14:textId="481DFA1A" w:rsidR="00B42971" w:rsidRDefault="00B42971" w:rsidP="00F63F90">
      <w:pPr>
        <w:pStyle w:val="Heading3"/>
        <w:shd w:val="clear" w:color="auto" w:fill="EBE8E2" w:themeFill="background2"/>
      </w:pPr>
      <w:r>
        <w:rPr>
          <w:rStyle w:val="White"/>
        </w:rPr>
        <w:t>Graduate and Intern programs</w:t>
      </w:r>
    </w:p>
    <w:p w14:paraId="75DCAA57" w14:textId="77777777" w:rsidR="00B42971" w:rsidRDefault="00B42971" w:rsidP="00F63F90">
      <w:pPr>
        <w:pStyle w:val="BodyCopyREV"/>
        <w:shd w:val="clear" w:color="auto" w:fill="EBE8E2" w:themeFill="background2"/>
      </w:pPr>
      <w:r>
        <w:t xml:space="preserve">The agency’s first cohort of graduates commenced in January 2016. The cohort includes twelve graduates of mixed disciplines, with ten located in the National Office and two located in Sydney with the Office of the Scheme Actuary. </w:t>
      </w:r>
    </w:p>
    <w:p w14:paraId="2D7FB5EE" w14:textId="77777777" w:rsidR="00B42971" w:rsidRDefault="00B42971" w:rsidP="00F63F90">
      <w:pPr>
        <w:pStyle w:val="BodyCopyREV"/>
        <w:shd w:val="clear" w:color="auto" w:fill="EBE8E2" w:themeFill="background2"/>
      </w:pPr>
      <w:r>
        <w:t xml:space="preserve">Within this group, five graduates have identified as having a disability. </w:t>
      </w:r>
    </w:p>
    <w:p w14:paraId="17733BB6" w14:textId="77777777" w:rsidR="00B42971" w:rsidRDefault="00B42971" w:rsidP="00F63F90">
      <w:pPr>
        <w:pStyle w:val="BodyCopyREV"/>
        <w:shd w:val="clear" w:color="auto" w:fill="EBE8E2" w:themeFill="background2"/>
      </w:pPr>
      <w:r>
        <w:t xml:space="preserve">The graduates undertake two work placements during their </w:t>
      </w:r>
      <w:proofErr w:type="gramStart"/>
      <w:r>
        <w:t>10 month</w:t>
      </w:r>
      <w:proofErr w:type="gramEnd"/>
      <w:r>
        <w:t xml:space="preserve"> program, while the two actuarial graduates continue to work for the Office of the Scheme Actuary. Work placements are designed to allow graduates to apply their university qualifications within a professional setting and provide opportunities for them to build upon their understanding of the Scheme. </w:t>
      </w:r>
    </w:p>
    <w:p w14:paraId="3AC67D33" w14:textId="77777777" w:rsidR="00B42971" w:rsidRDefault="00B42971" w:rsidP="00F63F90">
      <w:pPr>
        <w:pStyle w:val="BodyCopyREV"/>
        <w:shd w:val="clear" w:color="auto" w:fill="EBE8E2" w:themeFill="background2"/>
      </w:pPr>
      <w:r>
        <w:t xml:space="preserve">The graduates attend the Australian Public Service Commission’s (APSC) Graduate Development Program as a part of their formal development, which includes the completion of Agency specific projects aimed at resolving challenges and/or areas of opportunity for the Agency. </w:t>
      </w:r>
    </w:p>
    <w:p w14:paraId="6BBDDD53" w14:textId="77777777" w:rsidR="00B42971" w:rsidRDefault="00B42971" w:rsidP="00F63F90">
      <w:pPr>
        <w:pStyle w:val="BodyCopyREV"/>
        <w:shd w:val="clear" w:color="auto" w:fill="EBE8E2" w:themeFill="background2"/>
      </w:pPr>
      <w:r>
        <w:t xml:space="preserve">Each graduate has been provided with extensive development opportunities, such as the chance to experience ‘A Day in the Life of a Deputy CEO’ by undertaking a day of shadowing with Ian Maynard, Deputy CEO Operations and Carolyn Smith, Deputy CEO </w:t>
      </w:r>
      <w:proofErr w:type="spellStart"/>
      <w:r>
        <w:t>Organisational</w:t>
      </w:r>
      <w:proofErr w:type="spellEnd"/>
      <w:r>
        <w:t xml:space="preserve"> Capability. </w:t>
      </w:r>
    </w:p>
    <w:p w14:paraId="3AB79375" w14:textId="77777777" w:rsidR="00B42971" w:rsidRDefault="00B42971" w:rsidP="00F63F90">
      <w:pPr>
        <w:pStyle w:val="BodyCopyREV"/>
        <w:shd w:val="clear" w:color="auto" w:fill="EBE8E2" w:themeFill="background2"/>
      </w:pPr>
      <w:r>
        <w:t xml:space="preserve">The Agency also operates an intern program via The Australian Network on Disability’s </w:t>
      </w:r>
      <w:r>
        <w:rPr>
          <w:rFonts w:ascii="FSMePro-Italic" w:hAnsi="FSMePro-Italic" w:cs="FSMePro-Italic"/>
          <w:i/>
          <w:iCs/>
        </w:rPr>
        <w:t xml:space="preserve">Stepping </w:t>
      </w:r>
      <w:proofErr w:type="gramStart"/>
      <w:r>
        <w:rPr>
          <w:rFonts w:ascii="FSMePro-Italic" w:hAnsi="FSMePro-Italic" w:cs="FSMePro-Italic"/>
          <w:i/>
          <w:iCs/>
        </w:rPr>
        <w:t>Into</w:t>
      </w:r>
      <w:proofErr w:type="gramEnd"/>
      <w:r>
        <w:rPr>
          <w:rFonts w:ascii="FSMePro-Italic" w:hAnsi="FSMePro-Italic" w:cs="FSMePro-Italic"/>
          <w:i/>
          <w:iCs/>
        </w:rPr>
        <w:t xml:space="preserve"> </w:t>
      </w:r>
      <w:r>
        <w:t xml:space="preserve">program, which places a student/graduate with a disability into the workplace for 152 hours of paid work. The program allows managers and supervisors the opportunity to develop skills in managing people with disability in the workplace, and also becomes a source of pipeline talent for Agency graduate programs. </w:t>
      </w:r>
    </w:p>
    <w:p w14:paraId="2FA0BC02" w14:textId="77777777" w:rsidR="00B42971" w:rsidRDefault="00B42971" w:rsidP="00F63F90">
      <w:pPr>
        <w:pStyle w:val="BodyCopyREV"/>
        <w:shd w:val="clear" w:color="auto" w:fill="EBE8E2" w:themeFill="background2"/>
      </w:pPr>
      <w:r>
        <w:lastRenderedPageBreak/>
        <w:t xml:space="preserve">In 2015-16, ten interns held placements across a broad spectrum of functions such as legal, governance, actuarial and planning support activities. Interns have been located in NSW, Victoria, South Australia and Western Australia. </w:t>
      </w:r>
    </w:p>
    <w:p w14:paraId="1C0C00E9" w14:textId="336AFA6E" w:rsidR="00B42971" w:rsidRDefault="00B42971" w:rsidP="00F63F90">
      <w:pPr>
        <w:pStyle w:val="BodyCopyREV"/>
        <w:shd w:val="clear" w:color="auto" w:fill="EBE8E2" w:themeFill="background2"/>
      </w:pPr>
      <w:r>
        <w:t>The intern program can be a life-changing experience for the participating interns, with the program proven to close the gap in employment after graduation for students with disability. Teams within the Agency that have hosted an intern through the program have had enormous benefit, with it resulting in future employment for the interns and also graduates successfully placed internally.</w:t>
      </w:r>
    </w:p>
    <w:p w14:paraId="434C5803" w14:textId="27D7A7BE" w:rsidR="005569A0" w:rsidRDefault="005569A0" w:rsidP="00B26DB7">
      <w:pPr>
        <w:pStyle w:val="Heading2"/>
      </w:pPr>
      <w:bookmarkStart w:id="43" w:name="_Toc464482107"/>
      <w:r>
        <w:lastRenderedPageBreak/>
        <w:t>Independent Advisory Council</w:t>
      </w:r>
      <w:bookmarkEnd w:id="43"/>
    </w:p>
    <w:p w14:paraId="62D9527D" w14:textId="5B866893" w:rsidR="005569A0" w:rsidRDefault="005569A0" w:rsidP="00B26DB7">
      <w:pPr>
        <w:pStyle w:val="Heading3"/>
      </w:pPr>
      <w:r>
        <w:t>Three years of independent advice to the Agency Board</w:t>
      </w:r>
    </w:p>
    <w:p w14:paraId="463E78BA" w14:textId="77777777" w:rsidR="005569A0" w:rsidRDefault="005569A0" w:rsidP="005569A0">
      <w:pPr>
        <w:pStyle w:val="IntroPara"/>
      </w:pPr>
      <w:r>
        <w:t>The Independent Advisory Council (IAC or the Council) is an integral part of the Agency’s structure. It provides independent advice to the Agency Board on how the Agency performs its functions. The Council includes members with a disability.</w:t>
      </w:r>
    </w:p>
    <w:p w14:paraId="65AA3FF3" w14:textId="77777777" w:rsidR="005569A0" w:rsidRDefault="005569A0" w:rsidP="005569A0">
      <w:pPr>
        <w:pStyle w:val="BodyCopy"/>
      </w:pPr>
      <w:r>
        <w:t xml:space="preserve">The Council embodies the principle of co-design through its membership and strong connections with the community. The Council strives to ensure the vision and values of the NDIS Act are used in all areas of the Scheme – for the Scheme to contribute to people with disability becoming more independent, more included in mainstream social and economic participation and more </w:t>
      </w:r>
      <w:proofErr w:type="spellStart"/>
      <w:r>
        <w:t>self directing</w:t>
      </w:r>
      <w:proofErr w:type="spellEnd"/>
      <w:r>
        <w:t>.</w:t>
      </w:r>
    </w:p>
    <w:p w14:paraId="4F6438F3" w14:textId="77777777" w:rsidR="005569A0" w:rsidRDefault="005569A0" w:rsidP="005569A0">
      <w:pPr>
        <w:pStyle w:val="BodyCopy"/>
      </w:pPr>
      <w:r>
        <w:t xml:space="preserve">In its first three years the Council has visited the majority of the Agency’s seven sites and held meetings and roundtables with participants, providers and Agency staff. The Council draws from these round tables to provide feedback to the Agency and the Board. </w:t>
      </w:r>
    </w:p>
    <w:p w14:paraId="52E99CCA" w14:textId="3C501C55" w:rsidR="005569A0" w:rsidRDefault="005569A0" w:rsidP="005569A0">
      <w:pPr>
        <w:pStyle w:val="Heading3"/>
      </w:pPr>
      <w:r>
        <w:t>Significant contributions in its first two years include:</w:t>
      </w:r>
    </w:p>
    <w:p w14:paraId="6730DB67" w14:textId="77777777" w:rsidR="005569A0" w:rsidRDefault="005569A0" w:rsidP="005569A0">
      <w:pPr>
        <w:pStyle w:val="BodyBullets"/>
        <w:spacing w:after="28"/>
      </w:pPr>
      <w:r>
        <w:t>conceiving the concept of ‘an ordinary life’ that has been the basis for key concepts such as choice and control, reasonable and necessary supports, capacity building and personal safeguards and risk</w:t>
      </w:r>
    </w:p>
    <w:p w14:paraId="585DFF71" w14:textId="77777777" w:rsidR="005569A0" w:rsidRDefault="005569A0" w:rsidP="005569A0">
      <w:pPr>
        <w:pStyle w:val="BodyBullets"/>
        <w:spacing w:after="28"/>
      </w:pPr>
      <w:r>
        <w:rPr>
          <w:spacing w:val="-3"/>
        </w:rPr>
        <w:t xml:space="preserve">contribution to the development of the Agency’s </w:t>
      </w:r>
      <w:r>
        <w:t xml:space="preserve">Outcomes Framework detailed on page 58 </w:t>
      </w:r>
    </w:p>
    <w:p w14:paraId="291D8A03" w14:textId="77777777" w:rsidR="005569A0" w:rsidRDefault="005569A0" w:rsidP="005569A0">
      <w:pPr>
        <w:pStyle w:val="BodyBullets"/>
        <w:spacing w:after="28"/>
      </w:pPr>
      <w:r>
        <w:t>revised and more flexible catalogue of supports</w:t>
      </w:r>
    </w:p>
    <w:p w14:paraId="6D446782" w14:textId="77777777" w:rsidR="005569A0" w:rsidRDefault="005569A0" w:rsidP="005569A0">
      <w:pPr>
        <w:pStyle w:val="BodyBullets-last"/>
      </w:pPr>
      <w:r>
        <w:t>contribution to the development of reference packages detailed on page 56.</w:t>
      </w:r>
    </w:p>
    <w:p w14:paraId="7443DEEF" w14:textId="6277ACE2" w:rsidR="005569A0" w:rsidRDefault="005569A0" w:rsidP="005569A0">
      <w:pPr>
        <w:pStyle w:val="Heading3"/>
      </w:pPr>
      <w:r>
        <w:t>More recently in 2015-16 the Council has provided focus on:</w:t>
      </w:r>
    </w:p>
    <w:p w14:paraId="6ACC68A3" w14:textId="77777777" w:rsidR="005569A0" w:rsidRDefault="005569A0" w:rsidP="005569A0">
      <w:pPr>
        <w:pStyle w:val="BodyBullets"/>
        <w:spacing w:after="28"/>
      </w:pPr>
      <w:r>
        <w:t>capacity building and early intervention—significant strategies that can change people’s aspirations, goals and decisions to become part of the mainstream world</w:t>
      </w:r>
    </w:p>
    <w:p w14:paraId="3ED7321F" w14:textId="77777777" w:rsidR="005569A0" w:rsidRDefault="005569A0" w:rsidP="005569A0">
      <w:pPr>
        <w:pStyle w:val="BodyBullets"/>
        <w:spacing w:after="28"/>
      </w:pPr>
      <w:r>
        <w:t>concepts of safeguards and risk enabling people with disability to exercise choice and control, while balancing personal safety with the dignity of risk</w:t>
      </w:r>
    </w:p>
    <w:p w14:paraId="60AAA14E" w14:textId="77777777" w:rsidR="005569A0" w:rsidRDefault="005569A0" w:rsidP="005569A0">
      <w:pPr>
        <w:pStyle w:val="BodyBullets"/>
        <w:spacing w:after="28"/>
      </w:pPr>
      <w:proofErr w:type="spellStart"/>
      <w:r>
        <w:t>analysing</w:t>
      </w:r>
      <w:proofErr w:type="spellEnd"/>
      <w:r>
        <w:t xml:space="preserve"> what is effective in capacity building so that capacity can be built over time through a variety of methods, including peer to peer support and Agency funded reasonable and necessary support</w:t>
      </w:r>
    </w:p>
    <w:p w14:paraId="0CFB2992" w14:textId="77777777" w:rsidR="005569A0" w:rsidRDefault="005569A0" w:rsidP="005569A0">
      <w:pPr>
        <w:pStyle w:val="BodyBullets"/>
        <w:spacing w:after="28"/>
      </w:pPr>
      <w:r>
        <w:t xml:space="preserve">refining the participant planning process </w:t>
      </w:r>
    </w:p>
    <w:p w14:paraId="1A767FA9" w14:textId="77777777" w:rsidR="005569A0" w:rsidRDefault="005569A0" w:rsidP="005569A0">
      <w:pPr>
        <w:pStyle w:val="BodyBullets"/>
      </w:pPr>
      <w:r>
        <w:t>refining strategies on how the Agency is designing the Scheme for people with psychosocial and intellectual disability. This work has had a significant impact and has led to the creation of a Mental Health Reference Group (MHRG) as well as the development of a mental health work plan</w:t>
      </w:r>
    </w:p>
    <w:p w14:paraId="4F0C4405" w14:textId="77777777" w:rsidR="005569A0" w:rsidRDefault="005569A0" w:rsidP="005569A0">
      <w:pPr>
        <w:pStyle w:val="BodyBullets-last"/>
      </w:pPr>
      <w:r>
        <w:t>creating an Intellectual Disability Reference Group (IDRG). There are a significant number of people in the Scheme who have an intellectual disability.</w:t>
      </w:r>
    </w:p>
    <w:p w14:paraId="249A548D" w14:textId="019059B2" w:rsidR="005569A0" w:rsidRDefault="005569A0" w:rsidP="005569A0">
      <w:pPr>
        <w:pStyle w:val="Heading3"/>
      </w:pPr>
      <w:r>
        <w:lastRenderedPageBreak/>
        <w:t>Intellectual Disability Reference Group</w:t>
      </w:r>
    </w:p>
    <w:p w14:paraId="4FAA6BCE" w14:textId="77777777" w:rsidR="005569A0" w:rsidRDefault="005569A0" w:rsidP="005569A0">
      <w:pPr>
        <w:pStyle w:val="BodyCopy"/>
      </w:pPr>
      <w:r>
        <w:t>In 2015 the Council set up the Intellectual Disability Reference Group to advise on the effectiveness of the Scheme design and how to engage and connect better with people with intellectual disability to enable them to live an ordinary life.</w:t>
      </w:r>
    </w:p>
    <w:p w14:paraId="57F69BB8" w14:textId="77777777" w:rsidR="005569A0" w:rsidRDefault="005569A0" w:rsidP="005569A0">
      <w:pPr>
        <w:pStyle w:val="BodyCopy"/>
      </w:pPr>
      <w:r>
        <w:t>The group has so far discussed many topics, including:</w:t>
      </w:r>
    </w:p>
    <w:p w14:paraId="2AC0D28A" w14:textId="77777777" w:rsidR="005569A0" w:rsidRDefault="005569A0" w:rsidP="005569A0">
      <w:pPr>
        <w:pStyle w:val="BodyBullets"/>
        <w:spacing w:after="28"/>
      </w:pPr>
      <w:r>
        <w:t>promoting equity of access to the Scheme</w:t>
      </w:r>
    </w:p>
    <w:p w14:paraId="4259B2CD" w14:textId="77777777" w:rsidR="005569A0" w:rsidRDefault="005569A0" w:rsidP="005569A0">
      <w:pPr>
        <w:pStyle w:val="BodyBullets"/>
        <w:spacing w:after="28"/>
      </w:pPr>
      <w:r>
        <w:t>planning and implementing support where participants lack effective informal support</w:t>
      </w:r>
    </w:p>
    <w:p w14:paraId="062D44EF" w14:textId="77777777" w:rsidR="005569A0" w:rsidRDefault="005569A0" w:rsidP="005569A0">
      <w:pPr>
        <w:pStyle w:val="BodyBullets"/>
        <w:spacing w:after="28"/>
      </w:pPr>
      <w:r>
        <w:t>decision-making and participants with cognitive impairment</w:t>
      </w:r>
    </w:p>
    <w:p w14:paraId="11BA2BDD" w14:textId="77777777" w:rsidR="005569A0" w:rsidRDefault="005569A0" w:rsidP="005569A0">
      <w:pPr>
        <w:pStyle w:val="BodyBullets"/>
        <w:spacing w:after="28"/>
      </w:pPr>
      <w:r>
        <w:t xml:space="preserve">participants with complex </w:t>
      </w:r>
      <w:proofErr w:type="spellStart"/>
      <w:r>
        <w:t>behaviour</w:t>
      </w:r>
      <w:proofErr w:type="spellEnd"/>
    </w:p>
    <w:p w14:paraId="2E31891D" w14:textId="77777777" w:rsidR="005569A0" w:rsidRDefault="005569A0" w:rsidP="005569A0">
      <w:pPr>
        <w:pStyle w:val="BodyBullets"/>
        <w:spacing w:after="28"/>
      </w:pPr>
      <w:r>
        <w:t>creating a positive vision for participants with intellectual disability</w:t>
      </w:r>
    </w:p>
    <w:p w14:paraId="3D65F07B" w14:textId="77777777" w:rsidR="005569A0" w:rsidRDefault="005569A0" w:rsidP="005569A0">
      <w:pPr>
        <w:pStyle w:val="BodyBullets"/>
        <w:spacing w:after="28"/>
      </w:pPr>
      <w:r>
        <w:t>information, linkages and capacity building</w:t>
      </w:r>
    </w:p>
    <w:p w14:paraId="0AC77B73" w14:textId="77777777" w:rsidR="005569A0" w:rsidRDefault="005569A0" w:rsidP="005569A0">
      <w:pPr>
        <w:pStyle w:val="BodyBullets"/>
        <w:spacing w:after="28"/>
      </w:pPr>
      <w:r>
        <w:t xml:space="preserve">participants in large residential </w:t>
      </w:r>
      <w:proofErr w:type="spellStart"/>
      <w:r>
        <w:t>centres</w:t>
      </w:r>
      <w:proofErr w:type="spellEnd"/>
    </w:p>
    <w:p w14:paraId="21D7994F" w14:textId="77777777" w:rsidR="005569A0" w:rsidRDefault="005569A0" w:rsidP="005569A0">
      <w:pPr>
        <w:pStyle w:val="BodyBullets-last"/>
      </w:pPr>
      <w:r>
        <w:t>parents who have an intellectual disability.</w:t>
      </w:r>
    </w:p>
    <w:p w14:paraId="64EF6837" w14:textId="77777777" w:rsidR="00E57A9F" w:rsidRPr="00E57A9F" w:rsidRDefault="00E57A9F" w:rsidP="00DA499E">
      <w:pPr>
        <w:pStyle w:val="IntroPara"/>
        <w:shd w:val="clear" w:color="auto" w:fill="EBE8E2" w:themeFill="background2"/>
        <w:rPr>
          <w:lang w:val="en-GB"/>
        </w:rPr>
      </w:pPr>
      <w:r w:rsidRPr="00E57A9F">
        <w:rPr>
          <w:lang w:val="en-GB"/>
        </w:rPr>
        <w:t xml:space="preserve">Silvana Gant is a representative member from the Agency’s Intellectual Disability Reference Group (IDRG). Silvana wanted to be involved in the reference group as she believes in its ability to make a difference. </w:t>
      </w:r>
    </w:p>
    <w:p w14:paraId="4F7DFEBA" w14:textId="77777777" w:rsidR="00E57A9F" w:rsidRPr="00E57A9F" w:rsidRDefault="00E57A9F" w:rsidP="00DA499E">
      <w:pPr>
        <w:shd w:val="clear" w:color="auto" w:fill="EBE8E2" w:themeFill="background2"/>
        <w:rPr>
          <w:lang w:val="en-GB"/>
        </w:rPr>
      </w:pPr>
      <w:r w:rsidRPr="00E57A9F">
        <w:rPr>
          <w:lang w:val="en-GB"/>
        </w:rPr>
        <w:t>‘The reference group is a good thing as many of the people who will benefit from the NDIS will be people with lived experience of intellectual disability, so it’s really important to get a true picture of their current experience,’ she said.</w:t>
      </w:r>
    </w:p>
    <w:p w14:paraId="00E5BE66" w14:textId="2FA20794" w:rsidR="00E57A9F" w:rsidRDefault="00E57A9F" w:rsidP="00DA499E">
      <w:pPr>
        <w:shd w:val="clear" w:color="auto" w:fill="EBE8E2" w:themeFill="background2"/>
      </w:pPr>
      <w:r w:rsidRPr="00E57A9F">
        <w:rPr>
          <w:lang w:val="en-GB"/>
        </w:rPr>
        <w:t>‘The Scheme is about people living good lives in the community and they can only do this if NDIS truly understands from them what that looks like. It’s really important for the NDIS to think through what services and supports people are going to need and to look at new ways of doing things’.</w:t>
      </w:r>
    </w:p>
    <w:p w14:paraId="67213DD2" w14:textId="413C9F96" w:rsidR="005569A0" w:rsidRDefault="005569A0" w:rsidP="005569A0">
      <w:pPr>
        <w:pStyle w:val="Heading3"/>
      </w:pPr>
      <w:r>
        <w:t xml:space="preserve">The future with IAC </w:t>
      </w:r>
    </w:p>
    <w:p w14:paraId="014D7E21" w14:textId="77777777" w:rsidR="005569A0" w:rsidRDefault="005569A0" w:rsidP="005569A0">
      <w:pPr>
        <w:pStyle w:val="BodyCopy"/>
        <w:spacing w:after="0"/>
      </w:pPr>
      <w:r>
        <w:t xml:space="preserve">The future work program will examine how the Agency can strengthen its focus on innovation. The Council will collect and </w:t>
      </w:r>
      <w:proofErr w:type="spellStart"/>
      <w:r>
        <w:t>analyse</w:t>
      </w:r>
      <w:proofErr w:type="spellEnd"/>
      <w:r>
        <w:t xml:space="preserve"> examples of models of support in housing, work and leisure that build participants’ independence, social and economic participation and </w:t>
      </w:r>
      <w:proofErr w:type="spellStart"/>
      <w:r>
        <w:t>self management</w:t>
      </w:r>
      <w:proofErr w:type="spellEnd"/>
      <w:r>
        <w:t xml:space="preserve"> and provide examples of innovative ways in which segregated service models can transition to open inclusive models. This work will be co-sponsored by market and actuarial areas so that different models can be costed, and market levers will be developed to promote them. New innovations in living, working and recreation from Australia and globally will also be </w:t>
      </w:r>
      <w:proofErr w:type="spellStart"/>
      <w:r>
        <w:t>analysed</w:t>
      </w:r>
      <w:proofErr w:type="spellEnd"/>
      <w:r>
        <w:t xml:space="preserve"> and disseminated.</w:t>
      </w:r>
    </w:p>
    <w:p w14:paraId="14EC6D7D" w14:textId="77777777" w:rsidR="005569A0" w:rsidRDefault="005569A0" w:rsidP="005569A0">
      <w:pPr>
        <w:pStyle w:val="BodyCopy"/>
        <w:spacing w:after="0"/>
        <w:rPr>
          <w:spacing w:val="-5"/>
        </w:rPr>
      </w:pPr>
      <w:r>
        <w:rPr>
          <w:spacing w:val="-5"/>
        </w:rPr>
        <w:t xml:space="preserve">As the Scheme rolls out across Australia from </w:t>
      </w:r>
      <w:r>
        <w:rPr>
          <w:spacing w:val="-5"/>
        </w:rPr>
        <w:br/>
        <w:t xml:space="preserve">July 2016, the Council will continue to provide advice to the Agency Board so that at every step central to the design and delivery of the Scheme is the goal of people with disability, families and </w:t>
      </w:r>
      <w:proofErr w:type="spellStart"/>
      <w:r>
        <w:rPr>
          <w:spacing w:val="-5"/>
        </w:rPr>
        <w:t>carers</w:t>
      </w:r>
      <w:proofErr w:type="spellEnd"/>
      <w:r>
        <w:rPr>
          <w:spacing w:val="-5"/>
        </w:rPr>
        <w:t xml:space="preserve"> living an ordinary life participating fully in Australian society.</w:t>
      </w:r>
    </w:p>
    <w:p w14:paraId="4D312269" w14:textId="77777777" w:rsidR="005569A0" w:rsidRDefault="005569A0" w:rsidP="005569A0">
      <w:pPr>
        <w:pStyle w:val="BodyCopy"/>
      </w:pPr>
      <w:r>
        <w:t xml:space="preserve">The members of the IAC are: </w:t>
      </w:r>
    </w:p>
    <w:p w14:paraId="7101FEDB" w14:textId="77777777" w:rsidR="005569A0" w:rsidRDefault="005569A0" w:rsidP="005569A0">
      <w:pPr>
        <w:pStyle w:val="BodyBulletscopy"/>
      </w:pPr>
      <w:r>
        <w:t xml:space="preserve">Professor Rhonda </w:t>
      </w:r>
      <w:proofErr w:type="spellStart"/>
      <w:r>
        <w:t>Galbally</w:t>
      </w:r>
      <w:proofErr w:type="spellEnd"/>
      <w:r>
        <w:t xml:space="preserve"> AO</w:t>
      </w:r>
    </w:p>
    <w:p w14:paraId="749AFE82" w14:textId="77777777" w:rsidR="005569A0" w:rsidRDefault="005569A0" w:rsidP="005569A0">
      <w:pPr>
        <w:pStyle w:val="BodyBulletscopy"/>
      </w:pPr>
      <w:proofErr w:type="spellStart"/>
      <w:r>
        <w:t>Dr</w:t>
      </w:r>
      <w:proofErr w:type="spellEnd"/>
      <w:r>
        <w:t xml:space="preserve"> Ken Baker</w:t>
      </w:r>
    </w:p>
    <w:p w14:paraId="7922B13E" w14:textId="77777777" w:rsidR="005569A0" w:rsidRDefault="005569A0" w:rsidP="005569A0">
      <w:pPr>
        <w:pStyle w:val="BodyBulletscopy"/>
      </w:pPr>
      <w:proofErr w:type="spellStart"/>
      <w:r>
        <w:t>Mr</w:t>
      </w:r>
      <w:proofErr w:type="spellEnd"/>
      <w:r>
        <w:t xml:space="preserve"> Dean Barton-Smith AM</w:t>
      </w:r>
    </w:p>
    <w:p w14:paraId="42F686A4" w14:textId="77777777" w:rsidR="005569A0" w:rsidRDefault="005569A0" w:rsidP="005569A0">
      <w:pPr>
        <w:pStyle w:val="BodyBulletscopy"/>
      </w:pPr>
      <w:proofErr w:type="spellStart"/>
      <w:r>
        <w:lastRenderedPageBreak/>
        <w:t>Ms</w:t>
      </w:r>
      <w:proofErr w:type="spellEnd"/>
      <w:r>
        <w:t xml:space="preserve"> Jennifer Cullen</w:t>
      </w:r>
    </w:p>
    <w:p w14:paraId="069829CF" w14:textId="77777777" w:rsidR="005569A0" w:rsidRDefault="005569A0" w:rsidP="005569A0">
      <w:pPr>
        <w:pStyle w:val="BodyBulletscopy"/>
      </w:pPr>
      <w:proofErr w:type="spellStart"/>
      <w:r>
        <w:t>Mr</w:t>
      </w:r>
      <w:proofErr w:type="spellEnd"/>
      <w:r>
        <w:t xml:space="preserve"> Kurt </w:t>
      </w:r>
      <w:proofErr w:type="spellStart"/>
      <w:r>
        <w:t>Fearnley</w:t>
      </w:r>
      <w:proofErr w:type="spellEnd"/>
      <w:r>
        <w:t xml:space="preserve"> OAM*</w:t>
      </w:r>
    </w:p>
    <w:p w14:paraId="168890B7" w14:textId="77777777" w:rsidR="005569A0" w:rsidRDefault="005569A0" w:rsidP="005569A0">
      <w:pPr>
        <w:pStyle w:val="BodyBulletscopy"/>
      </w:pPr>
      <w:proofErr w:type="spellStart"/>
      <w:r>
        <w:t>Ms</w:t>
      </w:r>
      <w:proofErr w:type="spellEnd"/>
      <w:r>
        <w:t xml:space="preserve"> </w:t>
      </w:r>
      <w:proofErr w:type="spellStart"/>
      <w:r>
        <w:t>Sylvana</w:t>
      </w:r>
      <w:proofErr w:type="spellEnd"/>
      <w:r>
        <w:t xml:space="preserve"> </w:t>
      </w:r>
      <w:proofErr w:type="spellStart"/>
      <w:r>
        <w:t>Mahmic</w:t>
      </w:r>
      <w:proofErr w:type="spellEnd"/>
    </w:p>
    <w:p w14:paraId="10247DE5" w14:textId="77777777" w:rsidR="005569A0" w:rsidRDefault="005569A0" w:rsidP="005569A0">
      <w:pPr>
        <w:pStyle w:val="BodyBulletscopy"/>
      </w:pPr>
      <w:proofErr w:type="spellStart"/>
      <w:r>
        <w:t>Ms</w:t>
      </w:r>
      <w:proofErr w:type="spellEnd"/>
      <w:r>
        <w:t xml:space="preserve"> Janet Meagher</w:t>
      </w:r>
    </w:p>
    <w:p w14:paraId="62FE839F" w14:textId="77777777" w:rsidR="005569A0" w:rsidRDefault="005569A0" w:rsidP="005569A0">
      <w:pPr>
        <w:pStyle w:val="BodyBulletscopy"/>
      </w:pPr>
      <w:proofErr w:type="spellStart"/>
      <w:r>
        <w:t>Ms</w:t>
      </w:r>
      <w:proofErr w:type="spellEnd"/>
      <w:r>
        <w:t xml:space="preserve"> Joan McKenna-Kerr</w:t>
      </w:r>
    </w:p>
    <w:p w14:paraId="590C44E6" w14:textId="77777777" w:rsidR="005569A0" w:rsidRDefault="005569A0" w:rsidP="005569A0">
      <w:pPr>
        <w:pStyle w:val="BodyBulletscopy"/>
      </w:pPr>
      <w:proofErr w:type="spellStart"/>
      <w:r>
        <w:t>Dr</w:t>
      </w:r>
      <w:proofErr w:type="spellEnd"/>
      <w:r>
        <w:t xml:space="preserve"> Gerry </w:t>
      </w:r>
      <w:proofErr w:type="spellStart"/>
      <w:r>
        <w:t>Naughtin</w:t>
      </w:r>
      <w:proofErr w:type="spellEnd"/>
    </w:p>
    <w:p w14:paraId="46BC191A" w14:textId="77777777" w:rsidR="005569A0" w:rsidRDefault="005569A0" w:rsidP="005569A0">
      <w:pPr>
        <w:pStyle w:val="BodyBulletscopy"/>
      </w:pPr>
      <w:proofErr w:type="spellStart"/>
      <w:r>
        <w:t>Mr</w:t>
      </w:r>
      <w:proofErr w:type="spellEnd"/>
      <w:r>
        <w:t xml:space="preserve"> Michael Taggart</w:t>
      </w:r>
    </w:p>
    <w:p w14:paraId="391BC35A" w14:textId="77777777" w:rsidR="005569A0" w:rsidRDefault="005569A0" w:rsidP="005569A0">
      <w:pPr>
        <w:pStyle w:val="BodyBullets-last"/>
      </w:pPr>
      <w:proofErr w:type="spellStart"/>
      <w:r>
        <w:t>Mr</w:t>
      </w:r>
      <w:proofErr w:type="spellEnd"/>
      <w:r>
        <w:t xml:space="preserve"> Dale Reardon </w:t>
      </w:r>
    </w:p>
    <w:p w14:paraId="7922236A" w14:textId="1E1ABBC7" w:rsidR="005569A0" w:rsidRDefault="005569A0" w:rsidP="005569A0">
      <w:pPr>
        <w:pStyle w:val="Footnote"/>
        <w:ind w:left="0" w:firstLine="0"/>
        <w:rPr>
          <w:spacing w:val="-4"/>
        </w:rPr>
      </w:pPr>
      <w:r>
        <w:rPr>
          <w:spacing w:val="-4"/>
        </w:rPr>
        <w:t xml:space="preserve">*Mr </w:t>
      </w:r>
      <w:proofErr w:type="spellStart"/>
      <w:r>
        <w:rPr>
          <w:spacing w:val="-4"/>
        </w:rPr>
        <w:t>Fearnley</w:t>
      </w:r>
      <w:proofErr w:type="spellEnd"/>
      <w:r>
        <w:rPr>
          <w:spacing w:val="-4"/>
        </w:rPr>
        <w:t xml:space="preserve"> resigned from the Independent Advisory Council on 5 May 2016.</w:t>
      </w:r>
    </w:p>
    <w:p w14:paraId="11EEB415" w14:textId="3BECEBCD" w:rsidR="00270BB5" w:rsidRDefault="00270BB5" w:rsidP="00D01B40">
      <w:pPr>
        <w:pStyle w:val="Heading2"/>
      </w:pPr>
      <w:bookmarkStart w:id="44" w:name="_Toc464482108"/>
      <w:r>
        <w:lastRenderedPageBreak/>
        <w:t>Management committees</w:t>
      </w:r>
      <w:bookmarkEnd w:id="44"/>
    </w:p>
    <w:p w14:paraId="0D7F3FCE" w14:textId="108CB1B6" w:rsidR="00270BB5" w:rsidRDefault="00270BB5" w:rsidP="00D01B40">
      <w:pPr>
        <w:pStyle w:val="Heading3"/>
      </w:pPr>
      <w:r>
        <w:t>Executive Management Group</w:t>
      </w:r>
    </w:p>
    <w:p w14:paraId="65BF81D3" w14:textId="77777777" w:rsidR="00270BB5" w:rsidRDefault="00270BB5" w:rsidP="00270BB5">
      <w:pPr>
        <w:pStyle w:val="IntroPara"/>
      </w:pPr>
      <w:r>
        <w:t xml:space="preserve">The Executive Management Group (EMG) is the peak decision-making body in the Agency’s internal governance model. </w:t>
      </w:r>
    </w:p>
    <w:p w14:paraId="7EE45A22" w14:textId="77777777" w:rsidR="00270BB5" w:rsidRDefault="00270BB5" w:rsidP="00270BB5">
      <w:pPr>
        <w:pStyle w:val="BodyCopy"/>
      </w:pPr>
      <w:r>
        <w:t>The purpose of the EMG is to:</w:t>
      </w:r>
    </w:p>
    <w:p w14:paraId="1962CC6E" w14:textId="77777777" w:rsidR="00270BB5" w:rsidRDefault="00270BB5" w:rsidP="00270BB5">
      <w:pPr>
        <w:pStyle w:val="BodyBullets"/>
      </w:pPr>
      <w:r>
        <w:t xml:space="preserve">advise the Chief Executive Officer (CEO) on overall strategic direction, priorities, management and performance </w:t>
      </w:r>
    </w:p>
    <w:p w14:paraId="7E495805" w14:textId="77777777" w:rsidR="00270BB5" w:rsidRDefault="00270BB5" w:rsidP="00270BB5">
      <w:pPr>
        <w:pStyle w:val="BodyBullets"/>
      </w:pPr>
      <w:r>
        <w:t xml:space="preserve">oversee the Agency’s financial position by allocating resources and monitoring performance and risk </w:t>
      </w:r>
    </w:p>
    <w:p w14:paraId="5EC2C3A2" w14:textId="77777777" w:rsidR="00270BB5" w:rsidRDefault="00270BB5" w:rsidP="00270BB5">
      <w:pPr>
        <w:pStyle w:val="BodyBullets"/>
      </w:pPr>
      <w:r>
        <w:t xml:space="preserve">oversee EMG governance committees </w:t>
      </w:r>
    </w:p>
    <w:p w14:paraId="70D7F597" w14:textId="77777777" w:rsidR="00270BB5" w:rsidRDefault="00270BB5" w:rsidP="00270BB5">
      <w:pPr>
        <w:pStyle w:val="BodyBullets-last"/>
      </w:pPr>
      <w:r>
        <w:t>ensure that the Agency meets its regulatory requirements.</w:t>
      </w:r>
    </w:p>
    <w:p w14:paraId="27F59698" w14:textId="77777777" w:rsidR="00270BB5" w:rsidRDefault="00270BB5" w:rsidP="00270BB5">
      <w:pPr>
        <w:pStyle w:val="BodyCopy"/>
      </w:pPr>
      <w:r>
        <w:t xml:space="preserve">The EMG is made up of the Agency’s CEO and each of the Deputy CEOs and is the primary forum for operational decision making in the Agency. </w:t>
      </w:r>
    </w:p>
    <w:p w14:paraId="139F1F10" w14:textId="77777777" w:rsidR="00270BB5" w:rsidRDefault="00270BB5" w:rsidP="00270BB5">
      <w:pPr>
        <w:pStyle w:val="BodyCopy"/>
      </w:pPr>
      <w:r>
        <w:t>The Agency has refocused EMG membership, governance and priorities in 2015–16, to better align with the accountabilities of the Deputy CEOs. This demonstrates the importance of EMG on internal governance; ensuring decision-making processes are clear and supported by evidence and the expertise of the appropriate people within the Agency.</w:t>
      </w:r>
    </w:p>
    <w:p w14:paraId="5A77541F" w14:textId="442FD0E5" w:rsidR="00270BB5" w:rsidRDefault="00270BB5" w:rsidP="00D01B40">
      <w:pPr>
        <w:pStyle w:val="Heading3"/>
      </w:pPr>
      <w:r>
        <w:t>Internal committees</w:t>
      </w:r>
    </w:p>
    <w:p w14:paraId="2EE302A7" w14:textId="77777777" w:rsidR="00270BB5" w:rsidRDefault="00270BB5" w:rsidP="00270BB5">
      <w:pPr>
        <w:pStyle w:val="IntroPara"/>
      </w:pPr>
      <w:r>
        <w:t>The Agency’s internal committees provide coordinated decision-making on matters relating to people and culture, operational policy and transition to full Scheme.</w:t>
      </w:r>
    </w:p>
    <w:p w14:paraId="55E98EE4" w14:textId="77777777" w:rsidR="00270BB5" w:rsidRDefault="00270BB5" w:rsidP="00270BB5">
      <w:pPr>
        <w:pStyle w:val="BodyCopy"/>
      </w:pPr>
      <w:r>
        <w:t>The internal governance structure allows the committees to provide advice and assurance to the EMG and, if needed, ensures that change is endorsed and monitored by the appropriate subcommittee.</w:t>
      </w:r>
    </w:p>
    <w:p w14:paraId="7749666A" w14:textId="7C1BB2F1" w:rsidR="005569A0" w:rsidRDefault="00270BB5" w:rsidP="00270BB5">
      <w:pPr>
        <w:pStyle w:val="BodyCopyREV"/>
      </w:pPr>
      <w:r>
        <w:t>In 2015-16, the Agency’s focus shifted from monitoring trial to preparing for the transition to full Scheme. This meant the Agency was able to direct resources and focus to the priority areas to ensure preparedness for the transition to full Scheme on 1 July 2016.</w:t>
      </w:r>
    </w:p>
    <w:p w14:paraId="0F6775F0" w14:textId="07C6F679" w:rsidR="00AF2A14" w:rsidRDefault="00AF2A14" w:rsidP="00AF2A14">
      <w:pPr>
        <w:pStyle w:val="Heading2"/>
      </w:pPr>
      <w:bookmarkStart w:id="45" w:name="_Toc464482109"/>
      <w:r>
        <w:lastRenderedPageBreak/>
        <w:t xml:space="preserve">The NDIA </w:t>
      </w:r>
      <w:proofErr w:type="spellStart"/>
      <w:r>
        <w:t>organisation</w:t>
      </w:r>
      <w:bookmarkEnd w:id="45"/>
      <w:proofErr w:type="spellEnd"/>
    </w:p>
    <w:p w14:paraId="0F244465" w14:textId="59411724" w:rsidR="00AF2A14" w:rsidRDefault="00AF2A14" w:rsidP="00AF2A14">
      <w:pPr>
        <w:pStyle w:val="Heading3"/>
      </w:pPr>
      <w:r>
        <w:t>The Executive</w:t>
      </w:r>
    </w:p>
    <w:p w14:paraId="7A11D744" w14:textId="31F89CF3" w:rsidR="00AF2A14" w:rsidRDefault="00AF2A14" w:rsidP="00AF2A14">
      <w:pPr>
        <w:pStyle w:val="Heading4"/>
      </w:pPr>
      <w:r>
        <w:t>Chief Executive Officer</w:t>
      </w:r>
      <w:r>
        <w:br/>
      </w:r>
      <w:proofErr w:type="spellStart"/>
      <w:r>
        <w:t>Mr</w:t>
      </w:r>
      <w:proofErr w:type="spellEnd"/>
      <w:r>
        <w:t xml:space="preserve"> David Bowen</w:t>
      </w:r>
    </w:p>
    <w:p w14:paraId="197C48E9" w14:textId="77777777" w:rsidR="00AF2A14" w:rsidRDefault="00AF2A14" w:rsidP="00AF2A14">
      <w:pPr>
        <w:pStyle w:val="BodyCopy"/>
      </w:pPr>
      <w:proofErr w:type="spellStart"/>
      <w:r>
        <w:t>Mr</w:t>
      </w:r>
      <w:proofErr w:type="spellEnd"/>
      <w:r>
        <w:t xml:space="preserve"> David Bowen is the inaugural CEO of the Agency. He was appointed by the Commonwealth Minister as the CEO in May 2013. As CEO, </w:t>
      </w:r>
      <w:proofErr w:type="spellStart"/>
      <w:r>
        <w:t>Mr</w:t>
      </w:r>
      <w:proofErr w:type="spellEnd"/>
      <w:r>
        <w:t xml:space="preserve"> Bowen is responsible for the day-to-day administration of the Agency.</w:t>
      </w:r>
    </w:p>
    <w:p w14:paraId="5005DA33" w14:textId="77777777" w:rsidR="00AF2A14" w:rsidRDefault="00AF2A14" w:rsidP="00AF2A14">
      <w:pPr>
        <w:pStyle w:val="BodyCopy"/>
      </w:pPr>
      <w:proofErr w:type="spellStart"/>
      <w:r>
        <w:t>Mr</w:t>
      </w:r>
      <w:proofErr w:type="spellEnd"/>
      <w:r>
        <w:t xml:space="preserve"> Bowen has been actively involved in developing the disability reform program both as a member of the independent panel advising the Productivity Commission in its inquiry into the feasibility of a National Disability Insurance Scheme, and as initial chair and ongoing member of the National Injury Insurance Scheme Advisory Group.</w:t>
      </w:r>
    </w:p>
    <w:p w14:paraId="4B79D8E9" w14:textId="756AF7B7" w:rsidR="00AF2A14" w:rsidRDefault="00AF2A14" w:rsidP="00AF2A14">
      <w:pPr>
        <w:pStyle w:val="Heading4"/>
      </w:pPr>
      <w:r>
        <w:t xml:space="preserve">Deputy Chief Executive Officer, Stakeholder Relations </w:t>
      </w:r>
      <w:r>
        <w:br/>
      </w:r>
      <w:proofErr w:type="spellStart"/>
      <w:r>
        <w:t>Ms</w:t>
      </w:r>
      <w:proofErr w:type="spellEnd"/>
      <w:r>
        <w:t xml:space="preserve"> Louise Glanville</w:t>
      </w:r>
    </w:p>
    <w:p w14:paraId="1C83488D" w14:textId="77777777" w:rsidR="00AF2A14" w:rsidRDefault="00AF2A14" w:rsidP="00AF2A14">
      <w:pPr>
        <w:pStyle w:val="BodyCopy"/>
      </w:pPr>
      <w:proofErr w:type="spellStart"/>
      <w:r>
        <w:t>Ms</w:t>
      </w:r>
      <w:proofErr w:type="spellEnd"/>
      <w:r>
        <w:t xml:space="preserve"> Louise Glanville joined the Agency in February 2014 and is currently in the role of Deputy CEO Stakeholder Relations.</w:t>
      </w:r>
    </w:p>
    <w:p w14:paraId="7382FDE5" w14:textId="77777777" w:rsidR="00AF2A14" w:rsidRDefault="00AF2A14" w:rsidP="00AF2A14">
      <w:pPr>
        <w:pStyle w:val="BodyCopy"/>
      </w:pPr>
      <w:r>
        <w:t xml:space="preserve">In this role </w:t>
      </w:r>
      <w:proofErr w:type="spellStart"/>
      <w:r>
        <w:t>Ms</w:t>
      </w:r>
      <w:proofErr w:type="spellEnd"/>
      <w:r>
        <w:t xml:space="preserve"> Glanville leads the areas of Scheme Transition, Media, Communications and Engagement, Market and Providers and Community Linkages. </w:t>
      </w:r>
    </w:p>
    <w:p w14:paraId="03532EA2" w14:textId="77777777" w:rsidR="00AF2A14" w:rsidRDefault="00AF2A14" w:rsidP="00AF2A14">
      <w:pPr>
        <w:pStyle w:val="BodyCopy"/>
      </w:pPr>
      <w:proofErr w:type="spellStart"/>
      <w:r>
        <w:t>Ms</w:t>
      </w:r>
      <w:proofErr w:type="spellEnd"/>
      <w:r>
        <w:t xml:space="preserve"> Glanville brings a vast range of public sector experience to the Agency and the Scheme including three years at the Commonwealth Attorney-General’s Department. She has also worked at the Victorian Department of Justice, and in local government, academia, the private sector and ministerial offices. As a lawyer and a social worker, </w:t>
      </w:r>
      <w:proofErr w:type="spellStart"/>
      <w:r>
        <w:t>Ms</w:t>
      </w:r>
      <w:proofErr w:type="spellEnd"/>
      <w:r>
        <w:t xml:space="preserve"> Glanville is interested in the intersection between public policy and the law. Much of her work has </w:t>
      </w:r>
      <w:proofErr w:type="spellStart"/>
      <w:r>
        <w:t>focussed</w:t>
      </w:r>
      <w:proofErr w:type="spellEnd"/>
      <w:r>
        <w:t xml:space="preserve"> on the areas of human rights and social reform.</w:t>
      </w:r>
    </w:p>
    <w:p w14:paraId="4D7BC615" w14:textId="43FC91E2" w:rsidR="00AF2A14" w:rsidRDefault="00AF2A14" w:rsidP="00AF2A14">
      <w:pPr>
        <w:pStyle w:val="Heading4"/>
      </w:pPr>
      <w:r>
        <w:t xml:space="preserve">Deputy Chief Executive Officer, </w:t>
      </w:r>
      <w:proofErr w:type="spellStart"/>
      <w:r>
        <w:t>Organisational</w:t>
      </w:r>
      <w:proofErr w:type="spellEnd"/>
      <w:r>
        <w:t xml:space="preserve"> Capability</w:t>
      </w:r>
      <w:r>
        <w:br/>
      </w:r>
      <w:proofErr w:type="spellStart"/>
      <w:r>
        <w:t>Ms</w:t>
      </w:r>
      <w:proofErr w:type="spellEnd"/>
      <w:r>
        <w:t xml:space="preserve"> Carolyn Smith</w:t>
      </w:r>
    </w:p>
    <w:p w14:paraId="206B0286" w14:textId="77777777" w:rsidR="00AF2A14" w:rsidRDefault="00AF2A14" w:rsidP="00AF2A14">
      <w:pPr>
        <w:pStyle w:val="BodyCopy"/>
      </w:pPr>
      <w:proofErr w:type="spellStart"/>
      <w:r>
        <w:t>Ms</w:t>
      </w:r>
      <w:proofErr w:type="spellEnd"/>
      <w:r>
        <w:t xml:space="preserve"> Carolyn Smith commenced as Deputy Chief Executive Officer, </w:t>
      </w:r>
      <w:proofErr w:type="spellStart"/>
      <w:r>
        <w:t>Organisational</w:t>
      </w:r>
      <w:proofErr w:type="spellEnd"/>
      <w:r>
        <w:t xml:space="preserve"> Capability with the Agency in October 2015. </w:t>
      </w:r>
    </w:p>
    <w:p w14:paraId="444CA1ED" w14:textId="77777777" w:rsidR="00AF2A14" w:rsidRDefault="00AF2A14" w:rsidP="00AF2A14">
      <w:pPr>
        <w:pStyle w:val="BodyCopy"/>
      </w:pPr>
      <w:proofErr w:type="spellStart"/>
      <w:r>
        <w:t>Ms</w:t>
      </w:r>
      <w:proofErr w:type="spellEnd"/>
      <w:r>
        <w:t xml:space="preserve"> Smith has wide ranging experience in complex structural change, policy development and implementation, program management and regulation. Most recently, </w:t>
      </w:r>
      <w:proofErr w:type="spellStart"/>
      <w:r>
        <w:t>Ms</w:t>
      </w:r>
      <w:proofErr w:type="spellEnd"/>
      <w:r>
        <w:t xml:space="preserve"> Smith led Commonwealth property management and consolidation in the Department of Finance. Prior to that as Acting Deputy Secretary and Division Head in the Department of Social Services, </w:t>
      </w:r>
      <w:proofErr w:type="spellStart"/>
      <w:r>
        <w:t>Ms</w:t>
      </w:r>
      <w:proofErr w:type="spellEnd"/>
      <w:r>
        <w:t xml:space="preserve"> Smith was responsible for ageing and aged care. This included responsibility for implementation of major aged care reform. </w:t>
      </w:r>
      <w:proofErr w:type="spellStart"/>
      <w:r>
        <w:t>Ms</w:t>
      </w:r>
      <w:proofErr w:type="spellEnd"/>
      <w:r>
        <w:t xml:space="preserve"> Smith’s responsibilities over many years in aged care spanned policy, program management and regulation of the aged care system. </w:t>
      </w:r>
    </w:p>
    <w:p w14:paraId="4AECD35E" w14:textId="77777777" w:rsidR="00AF2A14" w:rsidRDefault="00AF2A14" w:rsidP="00AF2A14">
      <w:pPr>
        <w:pStyle w:val="BodyCopy"/>
      </w:pPr>
      <w:r>
        <w:t xml:space="preserve">Prior to her work in aged care, </w:t>
      </w:r>
      <w:proofErr w:type="spellStart"/>
      <w:r>
        <w:t>Ms</w:t>
      </w:r>
      <w:proofErr w:type="spellEnd"/>
      <w:r>
        <w:t xml:space="preserve"> Smith worked in a number of senior executive roles within the Department of Health and Ageing, including responsibility for the National </w:t>
      </w:r>
      <w:proofErr w:type="spellStart"/>
      <w:r>
        <w:t>Immunisation</w:t>
      </w:r>
      <w:proofErr w:type="spellEnd"/>
      <w:r>
        <w:t xml:space="preserve"> Program and the introduction of a Bowel Cancer Screening Program. She was also a senior health negotiator on the Australian United States Free Trade Agreement, with particular focus on pharmaceutical issues. </w:t>
      </w:r>
    </w:p>
    <w:p w14:paraId="0EB7DC5C" w14:textId="74664071" w:rsidR="00AF2A14" w:rsidRDefault="00AF2A14" w:rsidP="00AF2A14">
      <w:pPr>
        <w:pStyle w:val="Heading4"/>
      </w:pPr>
      <w:r>
        <w:t>Deputy Chief Executive Officer, Operations</w:t>
      </w:r>
      <w:r w:rsidR="0045527E">
        <w:br/>
      </w:r>
      <w:proofErr w:type="spellStart"/>
      <w:r>
        <w:t>Mr</w:t>
      </w:r>
      <w:proofErr w:type="spellEnd"/>
      <w:r>
        <w:t xml:space="preserve"> Ian Maynard</w:t>
      </w:r>
    </w:p>
    <w:p w14:paraId="3E8D5DCF" w14:textId="77777777" w:rsidR="00AF2A14" w:rsidRDefault="00AF2A14" w:rsidP="00AF2A14">
      <w:pPr>
        <w:pStyle w:val="BodyCopy"/>
      </w:pPr>
      <w:proofErr w:type="spellStart"/>
      <w:r>
        <w:t>Mr</w:t>
      </w:r>
      <w:proofErr w:type="spellEnd"/>
      <w:r>
        <w:t xml:space="preserve"> Ian Maynard joined the Agency in October 2015 as the Deputy Chief Executive Officer, Operations. </w:t>
      </w:r>
      <w:proofErr w:type="spellStart"/>
      <w:r>
        <w:t>Mr</w:t>
      </w:r>
      <w:proofErr w:type="spellEnd"/>
      <w:r>
        <w:t xml:space="preserve"> Maynard’s previous role was Director-General of Queensland Health and prior to this the Commission Chief Executive of the Queensland Public Service Commission.</w:t>
      </w:r>
    </w:p>
    <w:p w14:paraId="5054A45E" w14:textId="77777777" w:rsidR="00AF2A14" w:rsidRDefault="00AF2A14" w:rsidP="00AF2A14">
      <w:pPr>
        <w:pStyle w:val="BodyCopy"/>
      </w:pPr>
      <w:proofErr w:type="spellStart"/>
      <w:r>
        <w:t>Mr</w:t>
      </w:r>
      <w:proofErr w:type="spellEnd"/>
      <w:r>
        <w:t xml:space="preserve"> Maynard has held senior executive positions in diverse industries across both private and public sectors in Australia and New Zealand, and has significant experience in the areas of change management and business improvement </w:t>
      </w:r>
      <w:r>
        <w:lastRenderedPageBreak/>
        <w:t>initiatives. His preceding roles include Chief Executive Officer of Queensland Urban Utilities, Chief Operating Officer for the Brisbane City Council, senior risk management and strategic procurement roles with Fonterra Ltd, the world’s leading exporter of dairy products, and Fletcher Challenge Ltd, in New Zealand.</w:t>
      </w:r>
    </w:p>
    <w:p w14:paraId="5A327FA4" w14:textId="77777777" w:rsidR="00AF2A14" w:rsidRDefault="00AF2A14" w:rsidP="00AF2A14">
      <w:pPr>
        <w:pStyle w:val="BodyCopy"/>
      </w:pPr>
      <w:proofErr w:type="spellStart"/>
      <w:r>
        <w:t>Mr</w:t>
      </w:r>
      <w:proofErr w:type="spellEnd"/>
      <w:r>
        <w:t xml:space="preserve"> Maynard has a Bachelor of Science (First Class </w:t>
      </w:r>
      <w:proofErr w:type="spellStart"/>
      <w:r>
        <w:t>Honours</w:t>
      </w:r>
      <w:proofErr w:type="spellEnd"/>
      <w:r>
        <w:t xml:space="preserve">) from the University of Queensland and has undertaken the INSEAD Advanced Management Program (France). He also holds directorships on the Boards of Hope Centre Services Pty Ltd and Scripture Union Queensland Pty Ltd. </w:t>
      </w:r>
    </w:p>
    <w:p w14:paraId="61BEF9DC" w14:textId="14A7EF3D" w:rsidR="00AF2A14" w:rsidRDefault="00AF2A14" w:rsidP="00E43EDF">
      <w:pPr>
        <w:pStyle w:val="Heading4"/>
      </w:pPr>
      <w:r>
        <w:t>Scheme Actuary</w:t>
      </w:r>
      <w:r w:rsidR="00E43EDF">
        <w:br/>
      </w:r>
      <w:proofErr w:type="spellStart"/>
      <w:r>
        <w:t>Ms</w:t>
      </w:r>
      <w:proofErr w:type="spellEnd"/>
      <w:r>
        <w:t xml:space="preserve"> Sarah Johnson</w:t>
      </w:r>
    </w:p>
    <w:p w14:paraId="76844BC7" w14:textId="77777777" w:rsidR="00AF2A14" w:rsidRDefault="00AF2A14" w:rsidP="00AF2A14">
      <w:pPr>
        <w:pStyle w:val="BodyCopy"/>
      </w:pPr>
      <w:proofErr w:type="spellStart"/>
      <w:r>
        <w:t>Ms</w:t>
      </w:r>
      <w:proofErr w:type="spellEnd"/>
      <w:r>
        <w:t xml:space="preserve"> Sarah Johnson was appointed as the Scheme Actuary of the Scheme in November 2013 for a period of three years. In this role, she is responsible for assessing and reporting on the financial sustainability of the Scheme so that management and the Board can make informed decisions about the Scheme’s continuing sustainability and direction. Prior to this appointment, she was a Director at PricewaterhouseCoopers.</w:t>
      </w:r>
    </w:p>
    <w:p w14:paraId="4C5C0FD9" w14:textId="77777777" w:rsidR="00AF2A14" w:rsidRDefault="00AF2A14" w:rsidP="00AF2A14">
      <w:pPr>
        <w:pStyle w:val="BodyCopy"/>
      </w:pPr>
      <w:proofErr w:type="spellStart"/>
      <w:r>
        <w:t>Ms</w:t>
      </w:r>
      <w:proofErr w:type="spellEnd"/>
      <w:r>
        <w:t xml:space="preserve"> Johnson is a Fellow of the Institute of Actuaries of Australia and has a Bachelor of Commerce (Actuarial Studies and Financial Economics) from the University of New South Wales.</w:t>
      </w:r>
    </w:p>
    <w:p w14:paraId="4B629578" w14:textId="5F71152A" w:rsidR="00AF2A14" w:rsidRDefault="00AF2A14" w:rsidP="00183079">
      <w:pPr>
        <w:pStyle w:val="Heading3"/>
      </w:pPr>
      <w:r>
        <w:t>Agency staff</w:t>
      </w:r>
    </w:p>
    <w:p w14:paraId="200CFB4E" w14:textId="77777777" w:rsidR="00AF2A14" w:rsidRDefault="00AF2A14" w:rsidP="00AF2A14">
      <w:pPr>
        <w:pStyle w:val="BodyCopy"/>
      </w:pPr>
      <w:r>
        <w:t xml:space="preserve">At 30 June 2016, the Agency had 1505 employees across the 28 sites and National Office. Agency staff are employed under the </w:t>
      </w:r>
      <w:r>
        <w:rPr>
          <w:rStyle w:val="Lightitalic"/>
        </w:rPr>
        <w:t>Public Service Act 1999</w:t>
      </w:r>
      <w:r>
        <w:t xml:space="preserve"> (PS Act).</w:t>
      </w:r>
    </w:p>
    <w:p w14:paraId="2D11A997" w14:textId="2C6F8807" w:rsidR="00AF2A14" w:rsidRDefault="00AF2A14" w:rsidP="006E0324">
      <w:pPr>
        <w:pStyle w:val="Heading3"/>
      </w:pPr>
      <w:r>
        <w:t>Workplace diversity</w:t>
      </w:r>
    </w:p>
    <w:p w14:paraId="19A3DFEC" w14:textId="77777777" w:rsidR="00AF2A14" w:rsidRDefault="00AF2A14" w:rsidP="00AF2A14">
      <w:pPr>
        <w:pStyle w:val="BodyCopy"/>
      </w:pPr>
      <w:r>
        <w:t>The Agency strongly values a workforce comprising people from diverse backgrounds and experiences, and in 2015-16 continued to build an inclusive workplace to reflect their views and those of the community it serves.</w:t>
      </w:r>
    </w:p>
    <w:p w14:paraId="3ED220F3" w14:textId="77777777" w:rsidR="00AF2A14" w:rsidRDefault="00AF2A14" w:rsidP="00AF2A14">
      <w:pPr>
        <w:pStyle w:val="BodyCopy"/>
      </w:pPr>
      <w:r>
        <w:t>The Agency strives to be a leader in accessibility and inclusion, and continues to implement the Accessibility Action Plan 2013–17 including taking steps to include diversity and inclusion considerations within the People and Culture Committee.</w:t>
      </w:r>
    </w:p>
    <w:p w14:paraId="1E46D74E" w14:textId="77777777" w:rsidR="00AF2A14" w:rsidRDefault="00AF2A14" w:rsidP="00AF2A14">
      <w:pPr>
        <w:pStyle w:val="BodyCopy"/>
      </w:pPr>
      <w:r>
        <w:t>The Agency established three Deputy CEO Culture Champions for reconciliation, disability and diversity to promote and support a diverse and inclusive workplace.</w:t>
      </w:r>
    </w:p>
    <w:p w14:paraId="1EBE9AB0" w14:textId="77777777" w:rsidR="00AF2A14" w:rsidRDefault="00AF2A14" w:rsidP="00AF2A14">
      <w:pPr>
        <w:pStyle w:val="BodyCopy"/>
      </w:pPr>
      <w:r>
        <w:t>In 2015-16 the Agency developed its inaugural Reconciliation Action Plan 2016-17.</w:t>
      </w:r>
    </w:p>
    <w:p w14:paraId="11411321" w14:textId="77777777" w:rsidR="00AF2A14" w:rsidRDefault="00AF2A14" w:rsidP="00AF2A14">
      <w:pPr>
        <w:pStyle w:val="BodyCopy"/>
      </w:pPr>
      <w:r>
        <w:t>The Agency continued to deploy specific strategies including the use of intern positions for people with disability and identified positions, to encourage people with disability, Aboriginal and Torres Strait Islander people and women to apply for leadership roles.</w:t>
      </w:r>
    </w:p>
    <w:p w14:paraId="08878D84" w14:textId="305C73CF" w:rsidR="00AF2A14" w:rsidRDefault="00AF2A14" w:rsidP="006E0324">
      <w:pPr>
        <w:pStyle w:val="Heading3"/>
      </w:pPr>
      <w:r>
        <w:t>People with disability</w:t>
      </w:r>
    </w:p>
    <w:p w14:paraId="534CC117" w14:textId="77777777" w:rsidR="00AF2A14" w:rsidRDefault="00AF2A14" w:rsidP="00AF2A14">
      <w:pPr>
        <w:pStyle w:val="CalloutmediumCallouts"/>
      </w:pPr>
      <w:r>
        <w:t xml:space="preserve">In 2015–16, nearly 16 per cent of the Agency workforce identified as having a disability. The Agency has already exceeded its target </w:t>
      </w:r>
      <w:r>
        <w:br/>
        <w:t xml:space="preserve">of 15 per cent of its workforce identifying as having a disability by June 2016. </w:t>
      </w:r>
    </w:p>
    <w:p w14:paraId="42987BC7" w14:textId="77777777" w:rsidR="00AF2A14" w:rsidRDefault="00AF2A14" w:rsidP="00AF2A14">
      <w:pPr>
        <w:pStyle w:val="BodyCopy"/>
      </w:pPr>
      <w:r>
        <w:t>To achieve this goal, the Agency:</w:t>
      </w:r>
    </w:p>
    <w:p w14:paraId="6ED154C3" w14:textId="77777777" w:rsidR="00AF2A14" w:rsidRDefault="00AF2A14" w:rsidP="00AF2A14">
      <w:pPr>
        <w:pStyle w:val="BodyBullets"/>
      </w:pPr>
      <w:r>
        <w:t>included a person with disability on each selection panel for service delivery roles</w:t>
      </w:r>
    </w:p>
    <w:p w14:paraId="6FADA403" w14:textId="77777777" w:rsidR="00AF2A14" w:rsidRDefault="00AF2A14" w:rsidP="00AF2A14">
      <w:pPr>
        <w:pStyle w:val="BodyBullets"/>
      </w:pPr>
      <w:r>
        <w:lastRenderedPageBreak/>
        <w:t xml:space="preserve">partnered with the Australian Network on Disability (AND) to deliver disability confidence training to National office staff at induction. AND were contracted to create a bespoke Agency training package titled ‘Working in </w:t>
      </w:r>
      <w:r>
        <w:br/>
        <w:t>an Inclusive Environment’ for delivery to every Agency employee</w:t>
      </w:r>
    </w:p>
    <w:p w14:paraId="737A0BEF" w14:textId="77777777" w:rsidR="00AF2A14" w:rsidRDefault="00AF2A14" w:rsidP="00AF2A14">
      <w:pPr>
        <w:pStyle w:val="BodyBullets"/>
      </w:pPr>
      <w:r>
        <w:t>commissioned an independent consultant Graeme Innes to undertake a review of the Agency’s Attract Support Retain Policy for the employment of people with disability</w:t>
      </w:r>
    </w:p>
    <w:p w14:paraId="2C28D1FA" w14:textId="77777777" w:rsidR="00AF2A14" w:rsidRDefault="00AF2A14" w:rsidP="00AF2A14">
      <w:pPr>
        <w:pStyle w:val="BodyBullets"/>
      </w:pPr>
      <w:r>
        <w:t>commenced first NDIA Program with intake of 12 graduates, with just under 50 per cent identifying as having a disability</w:t>
      </w:r>
    </w:p>
    <w:p w14:paraId="350C2AEE" w14:textId="77777777" w:rsidR="00AF2A14" w:rsidRDefault="00AF2A14" w:rsidP="00AF2A14">
      <w:pPr>
        <w:pStyle w:val="BodyBullets-last"/>
      </w:pPr>
      <w:r>
        <w:t xml:space="preserve">participated in an intern program—‘Stepping Into’—to provide up to 10 intern positions for people with disability across </w:t>
      </w:r>
      <w:r>
        <w:br/>
        <w:t>the National Office and trial sites.</w:t>
      </w:r>
    </w:p>
    <w:p w14:paraId="2ED7AE66" w14:textId="7A91CAAB" w:rsidR="00AF2A14" w:rsidRDefault="00AF2A14" w:rsidP="009E0298">
      <w:pPr>
        <w:pStyle w:val="Heading3"/>
      </w:pPr>
      <w:r>
        <w:t>Aboriginal and Torres Strait Islander employment</w:t>
      </w:r>
    </w:p>
    <w:p w14:paraId="234A52E7" w14:textId="77777777" w:rsidR="00AF2A14" w:rsidRDefault="00AF2A14" w:rsidP="00AF2A14">
      <w:pPr>
        <w:pStyle w:val="BodyCopy"/>
      </w:pPr>
      <w:r>
        <w:rPr>
          <w:spacing w:val="-5"/>
        </w:rPr>
        <w:t>The Australian Government has set a target to increase Aboriginal and Torres Strait Islander employment levels to a minimum of three per cent across the public sector by 2018. As at 30 June 2016, nearly two per cent of the Agency’s employees identified as Aboriginal and Torres Strait Islander.</w:t>
      </w:r>
    </w:p>
    <w:p w14:paraId="755B2535" w14:textId="77777777" w:rsidR="00AF2A14" w:rsidRDefault="00AF2A14" w:rsidP="00AF2A14">
      <w:pPr>
        <w:pStyle w:val="BodyCopy"/>
        <w:spacing w:after="28"/>
      </w:pPr>
      <w:r>
        <w:t>The Agency has participated in a number of activities specific to Aboriginal and Torres Strait Islander employment:</w:t>
      </w:r>
    </w:p>
    <w:p w14:paraId="44AF526C" w14:textId="77777777" w:rsidR="00AF2A14" w:rsidRDefault="00AF2A14" w:rsidP="00AF2A14">
      <w:pPr>
        <w:pStyle w:val="BodyBullets"/>
        <w:spacing w:after="28"/>
      </w:pPr>
      <w:r>
        <w:t>an integrated employment and development program—the Indigenous Australian Government Development Program (IAGDP)</w:t>
      </w:r>
    </w:p>
    <w:p w14:paraId="14F9CFEE" w14:textId="77777777" w:rsidR="00AF2A14" w:rsidRDefault="00AF2A14" w:rsidP="00AF2A14">
      <w:pPr>
        <w:pStyle w:val="BodyBullets"/>
        <w:spacing w:after="28"/>
      </w:pPr>
      <w:r>
        <w:t>an agency staff member participated in the Jawun Program, providing skills and expertise to an Indigenous community for a period of six weeks</w:t>
      </w:r>
    </w:p>
    <w:p w14:paraId="4EAA9701" w14:textId="77777777" w:rsidR="00AF2A14" w:rsidRDefault="00AF2A14" w:rsidP="00AF2A14">
      <w:pPr>
        <w:pStyle w:val="BodyBullets"/>
      </w:pPr>
      <w:r>
        <w:t>creation of Aboriginal and Torres Strait Islander Cultural Awareness online training package designed to raise awareness of Indigenous culture.</w:t>
      </w:r>
    </w:p>
    <w:p w14:paraId="016FEE63" w14:textId="77777777" w:rsidR="00AF2A14" w:rsidRDefault="00AF2A14" w:rsidP="00AF2A14">
      <w:pPr>
        <w:pStyle w:val="BodyBullets"/>
      </w:pPr>
      <w:r>
        <w:t>participated in activities to observe National Reconciliation Week, as well as NAIDOC Week</w:t>
      </w:r>
    </w:p>
    <w:p w14:paraId="3E190A75" w14:textId="77777777" w:rsidR="00AF2A14" w:rsidRDefault="00AF2A14" w:rsidP="00AF2A14">
      <w:pPr>
        <w:pStyle w:val="BodyBullets-last"/>
      </w:pPr>
      <w:r>
        <w:t xml:space="preserve">the Agency developed its Reconciliation Action Plan, endorsed by Reconciliation Australia. </w:t>
      </w:r>
    </w:p>
    <w:p w14:paraId="61B2F0B6" w14:textId="0A5E899F" w:rsidR="00AF2A14" w:rsidRDefault="00AF2A14" w:rsidP="009E0298">
      <w:pPr>
        <w:pStyle w:val="Heading3"/>
      </w:pPr>
      <w:r>
        <w:t>Women</w:t>
      </w:r>
    </w:p>
    <w:p w14:paraId="28C962FD" w14:textId="77777777" w:rsidR="00AF2A14" w:rsidRDefault="00AF2A14" w:rsidP="00AF2A14">
      <w:pPr>
        <w:pStyle w:val="BodyCopy"/>
      </w:pPr>
      <w:r>
        <w:t>In June 2016, 74.42 per cent of the Agency workforce was female. The proportion of women in the Agency declines the more senior the position. Women comprise 65.91 per cent of ongoing senior executives compared with an Australian Public Service (APS) average of 41.8 per cent of women in senior executive services (at 31 December 2015).</w:t>
      </w:r>
    </w:p>
    <w:p w14:paraId="50E75AD4" w14:textId="1191B651" w:rsidR="00AF2A14" w:rsidRDefault="00AF2A14" w:rsidP="009E0298">
      <w:pPr>
        <w:pStyle w:val="Heading3"/>
      </w:pPr>
      <w:r>
        <w:t>Staffing statistics</w:t>
      </w:r>
    </w:p>
    <w:p w14:paraId="56944577" w14:textId="77777777" w:rsidR="00AF2A14" w:rsidRDefault="00AF2A14" w:rsidP="00AF2A14">
      <w:pPr>
        <w:pStyle w:val="BodyCopy"/>
      </w:pPr>
      <w:r>
        <w:t>The Agency has a higher-than-average number of non-ongoing employees because of the need to meet the surge in workload and project requirements for specific time periods.</w:t>
      </w:r>
    </w:p>
    <w:p w14:paraId="1139C6E4" w14:textId="2982D040" w:rsidR="00AF2A14" w:rsidRDefault="00AF2A14" w:rsidP="00B26DB7">
      <w:pPr>
        <w:pStyle w:val="Heading3Tables"/>
      </w:pPr>
      <w:bookmarkStart w:id="46" w:name="_Toc464481225"/>
      <w:r>
        <w:lastRenderedPageBreak/>
        <w:t>Table 3: NDIA staff by employment type and level, 2014–15 and 2015–16</w:t>
      </w:r>
      <w:bookmarkEnd w:id="46"/>
    </w:p>
    <w:tbl>
      <w:tblPr>
        <w:tblW w:w="0" w:type="auto"/>
        <w:tblInd w:w="-8" w:type="dxa"/>
        <w:tblLayout w:type="fixed"/>
        <w:tblCellMar>
          <w:left w:w="0" w:type="dxa"/>
          <w:right w:w="0" w:type="dxa"/>
        </w:tblCellMar>
        <w:tblLook w:val="0000" w:firstRow="0" w:lastRow="0" w:firstColumn="0" w:lastColumn="0" w:noHBand="0" w:noVBand="0"/>
      </w:tblPr>
      <w:tblGrid>
        <w:gridCol w:w="2948"/>
        <w:gridCol w:w="1332"/>
        <w:gridCol w:w="1333"/>
        <w:gridCol w:w="1332"/>
        <w:gridCol w:w="1332"/>
      </w:tblGrid>
      <w:tr w:rsidR="00AF2A14" w14:paraId="283FB810" w14:textId="77777777">
        <w:trPr>
          <w:trHeight w:val="60"/>
          <w:tblHeader/>
        </w:trPr>
        <w:tc>
          <w:tcPr>
            <w:tcW w:w="2948" w:type="dxa"/>
            <w:tcBorders>
              <w:top w:val="single" w:sz="6" w:space="0" w:color="FFFFFF"/>
              <w:left w:val="single" w:sz="6" w:space="0" w:color="FFFFFF"/>
              <w:bottom w:val="single" w:sz="6" w:space="0" w:color="8A8A84"/>
              <w:right w:val="single" w:sz="6" w:space="0" w:color="FFFFFF"/>
            </w:tcBorders>
            <w:shd w:val="solid" w:color="000000" w:fill="auto"/>
            <w:tcMar>
              <w:top w:w="113" w:type="dxa"/>
              <w:left w:w="113" w:type="dxa"/>
              <w:bottom w:w="113" w:type="dxa"/>
              <w:right w:w="80" w:type="dxa"/>
            </w:tcMar>
          </w:tcPr>
          <w:p w14:paraId="708FD871" w14:textId="77777777" w:rsidR="00AF2A14" w:rsidRDefault="00AF2A14">
            <w:pPr>
              <w:pStyle w:val="Tableheader"/>
            </w:pPr>
            <w:bookmarkStart w:id="47" w:name="Title_Table3" w:colFirst="0" w:colLast="0"/>
            <w:r>
              <w:t>Staff</w:t>
            </w:r>
          </w:p>
        </w:tc>
        <w:tc>
          <w:tcPr>
            <w:tcW w:w="1332" w:type="dxa"/>
            <w:tcBorders>
              <w:top w:val="single" w:sz="6" w:space="0" w:color="FFFFFF"/>
              <w:left w:val="single" w:sz="6" w:space="0" w:color="FFFFFF"/>
              <w:bottom w:val="single" w:sz="6" w:space="0" w:color="8A8A84"/>
              <w:right w:val="single" w:sz="6" w:space="0" w:color="FFFFFF"/>
            </w:tcBorders>
            <w:shd w:val="solid" w:color="000000" w:fill="auto"/>
            <w:tcMar>
              <w:top w:w="113" w:type="dxa"/>
              <w:left w:w="113" w:type="dxa"/>
              <w:bottom w:w="113" w:type="dxa"/>
              <w:right w:w="80" w:type="dxa"/>
            </w:tcMar>
          </w:tcPr>
          <w:p w14:paraId="596F490E" w14:textId="77777777" w:rsidR="00AF2A14" w:rsidRDefault="00AF2A14">
            <w:pPr>
              <w:pStyle w:val="Tableheader"/>
              <w:jc w:val="right"/>
            </w:pPr>
            <w:r>
              <w:t xml:space="preserve">Headcount </w:t>
            </w:r>
            <w:r>
              <w:br/>
              <w:t>2014-15</w:t>
            </w:r>
          </w:p>
        </w:tc>
        <w:tc>
          <w:tcPr>
            <w:tcW w:w="1333" w:type="dxa"/>
            <w:tcBorders>
              <w:top w:val="single" w:sz="6" w:space="0" w:color="FFFFFF"/>
              <w:left w:val="single" w:sz="6" w:space="0" w:color="FFFFFF"/>
              <w:bottom w:val="single" w:sz="6" w:space="0" w:color="8A8A84"/>
              <w:right w:val="single" w:sz="6" w:space="0" w:color="FFFFFF"/>
            </w:tcBorders>
            <w:shd w:val="solid" w:color="000000" w:fill="auto"/>
            <w:tcMar>
              <w:top w:w="113" w:type="dxa"/>
              <w:left w:w="113" w:type="dxa"/>
              <w:bottom w:w="113" w:type="dxa"/>
              <w:right w:w="80" w:type="dxa"/>
            </w:tcMar>
          </w:tcPr>
          <w:p w14:paraId="1D528E68" w14:textId="77777777" w:rsidR="00AF2A14" w:rsidRDefault="00AF2A14">
            <w:pPr>
              <w:pStyle w:val="Tableheader"/>
              <w:jc w:val="right"/>
            </w:pPr>
            <w:r>
              <w:t xml:space="preserve">Headcount </w:t>
            </w:r>
            <w:r>
              <w:br/>
              <w:t>2015-16</w:t>
            </w:r>
          </w:p>
        </w:tc>
        <w:tc>
          <w:tcPr>
            <w:tcW w:w="1332" w:type="dxa"/>
            <w:tcBorders>
              <w:top w:val="single" w:sz="6" w:space="0" w:color="FFFFFF"/>
              <w:left w:val="single" w:sz="6" w:space="0" w:color="FFFFFF"/>
              <w:bottom w:val="single" w:sz="6" w:space="0" w:color="8A8A84"/>
              <w:right w:val="single" w:sz="6" w:space="0" w:color="FFFFFF"/>
            </w:tcBorders>
            <w:shd w:val="solid" w:color="000000" w:fill="auto"/>
            <w:tcMar>
              <w:top w:w="113" w:type="dxa"/>
              <w:left w:w="113" w:type="dxa"/>
              <w:bottom w:w="113" w:type="dxa"/>
              <w:right w:w="80" w:type="dxa"/>
            </w:tcMar>
          </w:tcPr>
          <w:p w14:paraId="032DE9FA" w14:textId="77777777" w:rsidR="00AF2A14" w:rsidRDefault="00AF2A14">
            <w:pPr>
              <w:pStyle w:val="Tableheader"/>
              <w:jc w:val="right"/>
            </w:pPr>
            <w:r>
              <w:t xml:space="preserve">FTE </w:t>
            </w:r>
            <w:r>
              <w:br/>
              <w:t>2014-15</w:t>
            </w:r>
          </w:p>
        </w:tc>
        <w:tc>
          <w:tcPr>
            <w:tcW w:w="1332" w:type="dxa"/>
            <w:tcBorders>
              <w:top w:val="single" w:sz="6" w:space="0" w:color="FFFFFF"/>
              <w:left w:val="single" w:sz="6" w:space="0" w:color="FFFFFF"/>
              <w:bottom w:val="single" w:sz="6" w:space="0" w:color="8A8A84"/>
              <w:right w:val="single" w:sz="6" w:space="0" w:color="FFFFFF"/>
            </w:tcBorders>
            <w:shd w:val="solid" w:color="000000" w:fill="auto"/>
            <w:tcMar>
              <w:top w:w="113" w:type="dxa"/>
              <w:left w:w="113" w:type="dxa"/>
              <w:bottom w:w="113" w:type="dxa"/>
              <w:right w:w="80" w:type="dxa"/>
            </w:tcMar>
          </w:tcPr>
          <w:p w14:paraId="1375C628" w14:textId="77777777" w:rsidR="00AF2A14" w:rsidRDefault="00AF2A14">
            <w:pPr>
              <w:pStyle w:val="Tableheader"/>
              <w:jc w:val="right"/>
            </w:pPr>
            <w:r>
              <w:t xml:space="preserve">FTE </w:t>
            </w:r>
            <w:r>
              <w:br/>
              <w:t>2015-16</w:t>
            </w:r>
          </w:p>
        </w:tc>
      </w:tr>
      <w:bookmarkEnd w:id="47"/>
      <w:tr w:rsidR="00AF2A14" w14:paraId="2CBC764D" w14:textId="77777777">
        <w:trPr>
          <w:trHeight w:val="60"/>
        </w:trPr>
        <w:tc>
          <w:tcPr>
            <w:tcW w:w="2948" w:type="dxa"/>
            <w:tcBorders>
              <w:top w:val="single" w:sz="2" w:space="0" w:color="8A8A84"/>
              <w:left w:val="single" w:sz="6" w:space="0" w:color="FFFFFF"/>
              <w:bottom w:val="single" w:sz="2" w:space="0" w:color="8A8A84"/>
              <w:right w:val="single" w:sz="6" w:space="0" w:color="000000"/>
            </w:tcBorders>
            <w:shd w:val="solid" w:color="EBE7E2" w:fill="auto"/>
            <w:tcMar>
              <w:top w:w="113" w:type="dxa"/>
              <w:left w:w="113" w:type="dxa"/>
              <w:bottom w:w="113" w:type="dxa"/>
              <w:right w:w="80" w:type="dxa"/>
            </w:tcMar>
          </w:tcPr>
          <w:p w14:paraId="2F850BE4" w14:textId="77777777" w:rsidR="00AF2A14" w:rsidRDefault="00AF2A14">
            <w:pPr>
              <w:pStyle w:val="Tabletextbold"/>
            </w:pPr>
            <w:r>
              <w:t>Ongoing</w:t>
            </w:r>
          </w:p>
        </w:tc>
        <w:tc>
          <w:tcPr>
            <w:tcW w:w="1332" w:type="dxa"/>
            <w:tcBorders>
              <w:top w:val="single" w:sz="2" w:space="0" w:color="8A8A84"/>
              <w:left w:val="single" w:sz="6" w:space="0" w:color="000000"/>
              <w:bottom w:val="single" w:sz="2" w:space="0" w:color="8A8A84"/>
              <w:right w:val="single" w:sz="6" w:space="0" w:color="000000"/>
            </w:tcBorders>
            <w:shd w:val="solid" w:color="EBE7E2" w:fill="auto"/>
            <w:tcMar>
              <w:top w:w="113" w:type="dxa"/>
              <w:left w:w="113" w:type="dxa"/>
              <w:bottom w:w="113" w:type="dxa"/>
              <w:right w:w="80" w:type="dxa"/>
            </w:tcMar>
          </w:tcPr>
          <w:p w14:paraId="1E25E7A5" w14:textId="77777777" w:rsidR="00AF2A14" w:rsidRDefault="00AF2A14">
            <w:pPr>
              <w:pStyle w:val="Tabletext"/>
              <w:jc w:val="right"/>
            </w:pPr>
            <w:r>
              <w:t>748</w:t>
            </w:r>
          </w:p>
        </w:tc>
        <w:tc>
          <w:tcPr>
            <w:tcW w:w="1333" w:type="dxa"/>
            <w:tcBorders>
              <w:top w:val="single" w:sz="2" w:space="0" w:color="8A8A84"/>
              <w:left w:val="single" w:sz="6" w:space="0" w:color="000000"/>
              <w:bottom w:val="single" w:sz="2" w:space="0" w:color="8A8A84"/>
              <w:right w:val="single" w:sz="6" w:space="0" w:color="000000"/>
            </w:tcBorders>
            <w:shd w:val="solid" w:color="EBE7E2" w:fill="auto"/>
            <w:tcMar>
              <w:top w:w="113" w:type="dxa"/>
              <w:left w:w="113" w:type="dxa"/>
              <w:bottom w:w="113" w:type="dxa"/>
              <w:right w:w="80" w:type="dxa"/>
            </w:tcMar>
          </w:tcPr>
          <w:p w14:paraId="2F34792A" w14:textId="77777777" w:rsidR="00AF2A14" w:rsidRDefault="00AF2A14">
            <w:pPr>
              <w:pStyle w:val="Tabletext"/>
              <w:jc w:val="right"/>
            </w:pPr>
            <w:r>
              <w:t>1118</w:t>
            </w:r>
          </w:p>
        </w:tc>
        <w:tc>
          <w:tcPr>
            <w:tcW w:w="1332" w:type="dxa"/>
            <w:tcBorders>
              <w:top w:val="single" w:sz="2" w:space="0" w:color="8A8A84"/>
              <w:left w:val="single" w:sz="6" w:space="0" w:color="000000"/>
              <w:bottom w:val="single" w:sz="2" w:space="0" w:color="8A8A84"/>
              <w:right w:val="single" w:sz="6" w:space="0" w:color="FFFFFF"/>
            </w:tcBorders>
            <w:shd w:val="solid" w:color="EBE7E2" w:fill="auto"/>
            <w:tcMar>
              <w:top w:w="113" w:type="dxa"/>
              <w:left w:w="113" w:type="dxa"/>
              <w:bottom w:w="113" w:type="dxa"/>
              <w:right w:w="80" w:type="dxa"/>
            </w:tcMar>
          </w:tcPr>
          <w:p w14:paraId="0B18FA08" w14:textId="77777777" w:rsidR="00AF2A14" w:rsidRDefault="00AF2A14">
            <w:pPr>
              <w:pStyle w:val="Tabletext"/>
              <w:jc w:val="right"/>
            </w:pPr>
            <w:r>
              <w:t>714.20</w:t>
            </w:r>
          </w:p>
        </w:tc>
        <w:tc>
          <w:tcPr>
            <w:tcW w:w="1332" w:type="dxa"/>
            <w:tcBorders>
              <w:top w:val="single" w:sz="2" w:space="0" w:color="8A8A84"/>
              <w:left w:val="single" w:sz="6" w:space="0" w:color="FFFFFF"/>
              <w:bottom w:val="single" w:sz="2" w:space="0" w:color="8A8A84"/>
              <w:right w:val="single" w:sz="6" w:space="0" w:color="000000"/>
            </w:tcBorders>
            <w:shd w:val="solid" w:color="EBE7E2" w:fill="auto"/>
            <w:tcMar>
              <w:top w:w="113" w:type="dxa"/>
              <w:left w:w="113" w:type="dxa"/>
              <w:bottom w:w="113" w:type="dxa"/>
              <w:right w:w="80" w:type="dxa"/>
            </w:tcMar>
          </w:tcPr>
          <w:p w14:paraId="583CBA1B" w14:textId="77777777" w:rsidR="00AF2A14" w:rsidRDefault="00AF2A14">
            <w:pPr>
              <w:pStyle w:val="Tabletext"/>
              <w:jc w:val="right"/>
            </w:pPr>
            <w:r>
              <w:t>1072.08</w:t>
            </w:r>
          </w:p>
        </w:tc>
      </w:tr>
      <w:tr w:rsidR="00AF2A14" w14:paraId="753A14AC" w14:textId="77777777">
        <w:trPr>
          <w:trHeight w:val="60"/>
        </w:trPr>
        <w:tc>
          <w:tcPr>
            <w:tcW w:w="2948" w:type="dxa"/>
            <w:tcBorders>
              <w:top w:val="single" w:sz="2" w:space="0" w:color="8A8A84"/>
              <w:left w:val="single" w:sz="6" w:space="0" w:color="FFFFFF"/>
              <w:bottom w:val="single" w:sz="2" w:space="0" w:color="8A8A84"/>
              <w:right w:val="single" w:sz="6" w:space="0" w:color="000000"/>
            </w:tcBorders>
            <w:shd w:val="solid" w:color="EBE7E2" w:fill="auto"/>
            <w:tcMar>
              <w:top w:w="113" w:type="dxa"/>
              <w:left w:w="113" w:type="dxa"/>
              <w:bottom w:w="113" w:type="dxa"/>
              <w:right w:w="80" w:type="dxa"/>
            </w:tcMar>
          </w:tcPr>
          <w:p w14:paraId="55132F4E" w14:textId="77777777" w:rsidR="00AF2A14" w:rsidRDefault="00AF2A14">
            <w:pPr>
              <w:pStyle w:val="Tabletextbold"/>
            </w:pPr>
            <w:r>
              <w:t>Non-ongoing</w:t>
            </w:r>
          </w:p>
        </w:tc>
        <w:tc>
          <w:tcPr>
            <w:tcW w:w="1332" w:type="dxa"/>
            <w:tcBorders>
              <w:top w:val="single" w:sz="2" w:space="0" w:color="8A8A84"/>
              <w:left w:val="single" w:sz="6" w:space="0" w:color="000000"/>
              <w:bottom w:val="single" w:sz="2" w:space="0" w:color="8A8A84"/>
              <w:right w:val="single" w:sz="6" w:space="0" w:color="000000"/>
            </w:tcBorders>
            <w:shd w:val="solid" w:color="EBE7E2" w:fill="auto"/>
            <w:tcMar>
              <w:top w:w="113" w:type="dxa"/>
              <w:left w:w="113" w:type="dxa"/>
              <w:bottom w:w="113" w:type="dxa"/>
              <w:right w:w="80" w:type="dxa"/>
            </w:tcMar>
          </w:tcPr>
          <w:p w14:paraId="5C0A9A2D" w14:textId="77777777" w:rsidR="00AF2A14" w:rsidRDefault="00AF2A14">
            <w:pPr>
              <w:pStyle w:val="Tabletext"/>
              <w:jc w:val="right"/>
            </w:pPr>
            <w:r>
              <w:t>104</w:t>
            </w:r>
          </w:p>
        </w:tc>
        <w:tc>
          <w:tcPr>
            <w:tcW w:w="1333" w:type="dxa"/>
            <w:tcBorders>
              <w:top w:val="single" w:sz="2" w:space="0" w:color="8A8A84"/>
              <w:left w:val="single" w:sz="6" w:space="0" w:color="000000"/>
              <w:bottom w:val="single" w:sz="2" w:space="0" w:color="8A8A84"/>
              <w:right w:val="single" w:sz="6" w:space="0" w:color="000000"/>
            </w:tcBorders>
            <w:shd w:val="solid" w:color="EBE7E2" w:fill="auto"/>
            <w:tcMar>
              <w:top w:w="113" w:type="dxa"/>
              <w:left w:w="113" w:type="dxa"/>
              <w:bottom w:w="113" w:type="dxa"/>
              <w:right w:w="80" w:type="dxa"/>
            </w:tcMar>
          </w:tcPr>
          <w:p w14:paraId="1DC99E32" w14:textId="77777777" w:rsidR="00AF2A14" w:rsidRDefault="00AF2A14">
            <w:pPr>
              <w:pStyle w:val="Tabletext"/>
              <w:jc w:val="right"/>
            </w:pPr>
            <w:r>
              <w:t>378</w:t>
            </w:r>
          </w:p>
        </w:tc>
        <w:tc>
          <w:tcPr>
            <w:tcW w:w="1332" w:type="dxa"/>
            <w:tcBorders>
              <w:top w:val="single" w:sz="2" w:space="0" w:color="8A8A84"/>
              <w:left w:val="single" w:sz="6" w:space="0" w:color="000000"/>
              <w:bottom w:val="single" w:sz="2" w:space="0" w:color="8A8A84"/>
              <w:right w:val="single" w:sz="6" w:space="0" w:color="FFFFFF"/>
            </w:tcBorders>
            <w:shd w:val="solid" w:color="EBE7E2" w:fill="auto"/>
            <w:tcMar>
              <w:top w:w="113" w:type="dxa"/>
              <w:left w:w="113" w:type="dxa"/>
              <w:bottom w:w="113" w:type="dxa"/>
              <w:right w:w="80" w:type="dxa"/>
            </w:tcMar>
          </w:tcPr>
          <w:p w14:paraId="5AC6A294" w14:textId="77777777" w:rsidR="00AF2A14" w:rsidRDefault="00AF2A14">
            <w:pPr>
              <w:pStyle w:val="Tabletext"/>
              <w:jc w:val="right"/>
            </w:pPr>
            <w:r>
              <w:t>94.64</w:t>
            </w:r>
          </w:p>
        </w:tc>
        <w:tc>
          <w:tcPr>
            <w:tcW w:w="1332" w:type="dxa"/>
            <w:tcBorders>
              <w:top w:val="single" w:sz="2" w:space="0" w:color="8A8A84"/>
              <w:left w:val="single" w:sz="6" w:space="0" w:color="FFFFFF"/>
              <w:bottom w:val="single" w:sz="2" w:space="0" w:color="8A8A84"/>
              <w:right w:val="single" w:sz="6" w:space="0" w:color="000000"/>
            </w:tcBorders>
            <w:shd w:val="solid" w:color="EBE7E2" w:fill="auto"/>
            <w:tcMar>
              <w:top w:w="113" w:type="dxa"/>
              <w:left w:w="113" w:type="dxa"/>
              <w:bottom w:w="113" w:type="dxa"/>
              <w:right w:w="80" w:type="dxa"/>
            </w:tcMar>
          </w:tcPr>
          <w:p w14:paraId="1157ED5F" w14:textId="77777777" w:rsidR="00AF2A14" w:rsidRDefault="00AF2A14">
            <w:pPr>
              <w:pStyle w:val="Tabletext"/>
              <w:jc w:val="right"/>
            </w:pPr>
            <w:r>
              <w:t>364.73</w:t>
            </w:r>
          </w:p>
        </w:tc>
      </w:tr>
      <w:tr w:rsidR="00AF2A14" w14:paraId="1B233FCA" w14:textId="77777777">
        <w:trPr>
          <w:trHeight w:val="60"/>
        </w:trPr>
        <w:tc>
          <w:tcPr>
            <w:tcW w:w="2948" w:type="dxa"/>
            <w:tcBorders>
              <w:top w:val="single" w:sz="2" w:space="0" w:color="8A8A84"/>
              <w:left w:val="single" w:sz="6" w:space="0" w:color="FFFFFF"/>
              <w:bottom w:val="single" w:sz="2" w:space="0" w:color="8A8A84"/>
              <w:right w:val="single" w:sz="6" w:space="0" w:color="000000"/>
            </w:tcBorders>
            <w:shd w:val="solid" w:color="EBE7E2" w:fill="auto"/>
            <w:tcMar>
              <w:top w:w="113" w:type="dxa"/>
              <w:left w:w="113" w:type="dxa"/>
              <w:bottom w:w="113" w:type="dxa"/>
              <w:right w:w="80" w:type="dxa"/>
            </w:tcMar>
          </w:tcPr>
          <w:p w14:paraId="50380F68" w14:textId="77777777" w:rsidR="00AF2A14" w:rsidRDefault="00AF2A14">
            <w:pPr>
              <w:pStyle w:val="Tabletextbold"/>
            </w:pPr>
            <w:r>
              <w:t>Irregular, intermittent, casual</w:t>
            </w:r>
          </w:p>
        </w:tc>
        <w:tc>
          <w:tcPr>
            <w:tcW w:w="1332" w:type="dxa"/>
            <w:tcBorders>
              <w:top w:val="single" w:sz="2" w:space="0" w:color="8A8A84"/>
              <w:left w:val="single" w:sz="6" w:space="0" w:color="000000"/>
              <w:bottom w:val="single" w:sz="2" w:space="0" w:color="8A8A84"/>
              <w:right w:val="single" w:sz="6" w:space="0" w:color="000000"/>
            </w:tcBorders>
            <w:shd w:val="solid" w:color="EBE7E2" w:fill="auto"/>
            <w:tcMar>
              <w:top w:w="113" w:type="dxa"/>
              <w:left w:w="113" w:type="dxa"/>
              <w:bottom w:w="113" w:type="dxa"/>
              <w:right w:w="80" w:type="dxa"/>
            </w:tcMar>
          </w:tcPr>
          <w:p w14:paraId="11B3EB9D" w14:textId="77777777" w:rsidR="00AF2A14" w:rsidRDefault="00AF2A14">
            <w:pPr>
              <w:pStyle w:val="Tabletext"/>
              <w:jc w:val="right"/>
            </w:pPr>
            <w:r>
              <w:t>2</w:t>
            </w:r>
          </w:p>
        </w:tc>
        <w:tc>
          <w:tcPr>
            <w:tcW w:w="1333" w:type="dxa"/>
            <w:tcBorders>
              <w:top w:val="single" w:sz="2" w:space="0" w:color="8A8A84"/>
              <w:left w:val="single" w:sz="6" w:space="0" w:color="000000"/>
              <w:bottom w:val="single" w:sz="2" w:space="0" w:color="8A8A84"/>
              <w:right w:val="single" w:sz="6" w:space="0" w:color="000000"/>
            </w:tcBorders>
            <w:shd w:val="solid" w:color="EBE7E2" w:fill="auto"/>
            <w:tcMar>
              <w:top w:w="113" w:type="dxa"/>
              <w:left w:w="113" w:type="dxa"/>
              <w:bottom w:w="113" w:type="dxa"/>
              <w:right w:w="80" w:type="dxa"/>
            </w:tcMar>
          </w:tcPr>
          <w:p w14:paraId="3E62AFEA" w14:textId="77777777" w:rsidR="00AF2A14" w:rsidRDefault="00AF2A14">
            <w:pPr>
              <w:pStyle w:val="Tabletext"/>
              <w:jc w:val="right"/>
            </w:pPr>
            <w:r>
              <w:t>9</w:t>
            </w:r>
          </w:p>
        </w:tc>
        <w:tc>
          <w:tcPr>
            <w:tcW w:w="1332" w:type="dxa"/>
            <w:tcBorders>
              <w:top w:val="single" w:sz="2" w:space="0" w:color="8A8A84"/>
              <w:left w:val="single" w:sz="6" w:space="0" w:color="000000"/>
              <w:bottom w:val="single" w:sz="2" w:space="0" w:color="8A8A84"/>
              <w:right w:val="single" w:sz="6" w:space="0" w:color="FFFFFF"/>
            </w:tcBorders>
            <w:shd w:val="solid" w:color="EBE7E2" w:fill="auto"/>
            <w:tcMar>
              <w:top w:w="113" w:type="dxa"/>
              <w:left w:w="113" w:type="dxa"/>
              <w:bottom w:w="113" w:type="dxa"/>
              <w:right w:w="80" w:type="dxa"/>
            </w:tcMar>
          </w:tcPr>
          <w:p w14:paraId="6B038197" w14:textId="77777777" w:rsidR="00AF2A14" w:rsidRDefault="00AF2A14">
            <w:pPr>
              <w:pStyle w:val="Tabletext"/>
              <w:jc w:val="right"/>
            </w:pPr>
            <w:r>
              <w:t>0</w:t>
            </w:r>
          </w:p>
        </w:tc>
        <w:tc>
          <w:tcPr>
            <w:tcW w:w="1332" w:type="dxa"/>
            <w:tcBorders>
              <w:top w:val="single" w:sz="2" w:space="0" w:color="8A8A84"/>
              <w:left w:val="single" w:sz="6" w:space="0" w:color="FFFFFF"/>
              <w:bottom w:val="single" w:sz="2" w:space="0" w:color="8A8A84"/>
              <w:right w:val="single" w:sz="6" w:space="0" w:color="000000"/>
            </w:tcBorders>
            <w:shd w:val="solid" w:color="EBE7E2" w:fill="auto"/>
            <w:tcMar>
              <w:top w:w="113" w:type="dxa"/>
              <w:left w:w="113" w:type="dxa"/>
              <w:bottom w:w="113" w:type="dxa"/>
              <w:right w:w="80" w:type="dxa"/>
            </w:tcMar>
          </w:tcPr>
          <w:p w14:paraId="008F790B" w14:textId="77777777" w:rsidR="00AF2A14" w:rsidRDefault="00AF2A14">
            <w:pPr>
              <w:pStyle w:val="Tabletext"/>
              <w:jc w:val="right"/>
            </w:pPr>
            <w:r>
              <w:t>0</w:t>
            </w:r>
          </w:p>
        </w:tc>
      </w:tr>
      <w:tr w:rsidR="00AF2A14" w14:paraId="70747703" w14:textId="77777777">
        <w:trPr>
          <w:trHeight w:val="60"/>
        </w:trPr>
        <w:tc>
          <w:tcPr>
            <w:tcW w:w="2948" w:type="dxa"/>
            <w:tcBorders>
              <w:top w:val="single" w:sz="2" w:space="0" w:color="8A8A84"/>
              <w:left w:val="single" w:sz="6" w:space="0" w:color="FFFFFF"/>
              <w:bottom w:val="single" w:sz="2" w:space="0" w:color="8A8A84"/>
              <w:right w:val="single" w:sz="6" w:space="0" w:color="000000"/>
            </w:tcBorders>
            <w:shd w:val="solid" w:color="DAD4CD" w:fill="auto"/>
            <w:tcMar>
              <w:top w:w="113" w:type="dxa"/>
              <w:left w:w="113" w:type="dxa"/>
              <w:bottom w:w="113" w:type="dxa"/>
              <w:right w:w="80" w:type="dxa"/>
            </w:tcMar>
          </w:tcPr>
          <w:p w14:paraId="3252E2FB" w14:textId="77777777" w:rsidR="00AF2A14" w:rsidRDefault="00AF2A14">
            <w:pPr>
              <w:pStyle w:val="Tabletextbold"/>
            </w:pPr>
            <w:r>
              <w:t>SES*</w:t>
            </w:r>
          </w:p>
        </w:tc>
        <w:tc>
          <w:tcPr>
            <w:tcW w:w="1332" w:type="dxa"/>
            <w:tcBorders>
              <w:top w:val="single" w:sz="2" w:space="0" w:color="8A8A84"/>
              <w:left w:val="single" w:sz="6" w:space="0" w:color="000000"/>
              <w:bottom w:val="single" w:sz="2" w:space="0" w:color="8A8A84"/>
              <w:right w:val="single" w:sz="6" w:space="0" w:color="000000"/>
            </w:tcBorders>
            <w:shd w:val="solid" w:color="DAD4CD" w:fill="auto"/>
            <w:tcMar>
              <w:top w:w="113" w:type="dxa"/>
              <w:left w:w="113" w:type="dxa"/>
              <w:bottom w:w="113" w:type="dxa"/>
              <w:right w:w="80" w:type="dxa"/>
            </w:tcMar>
          </w:tcPr>
          <w:p w14:paraId="30DA77CF" w14:textId="77777777" w:rsidR="00AF2A14" w:rsidRDefault="00AF2A14">
            <w:pPr>
              <w:pStyle w:val="Tabletext"/>
              <w:jc w:val="right"/>
            </w:pPr>
            <w:r>
              <w:t>22</w:t>
            </w:r>
          </w:p>
        </w:tc>
        <w:tc>
          <w:tcPr>
            <w:tcW w:w="1333" w:type="dxa"/>
            <w:tcBorders>
              <w:top w:val="single" w:sz="2" w:space="0" w:color="8A8A84"/>
              <w:left w:val="single" w:sz="6" w:space="0" w:color="000000"/>
              <w:bottom w:val="single" w:sz="2" w:space="0" w:color="8A8A84"/>
              <w:right w:val="single" w:sz="6" w:space="0" w:color="000000"/>
            </w:tcBorders>
            <w:shd w:val="solid" w:color="DAD4CD" w:fill="auto"/>
            <w:tcMar>
              <w:top w:w="113" w:type="dxa"/>
              <w:left w:w="113" w:type="dxa"/>
              <w:bottom w:w="113" w:type="dxa"/>
              <w:right w:w="80" w:type="dxa"/>
            </w:tcMar>
          </w:tcPr>
          <w:p w14:paraId="4833205F" w14:textId="77777777" w:rsidR="00AF2A14" w:rsidRDefault="00AF2A14">
            <w:pPr>
              <w:pStyle w:val="Tabletext"/>
              <w:jc w:val="right"/>
            </w:pPr>
            <w:r>
              <w:t>44</w:t>
            </w:r>
          </w:p>
        </w:tc>
        <w:tc>
          <w:tcPr>
            <w:tcW w:w="1332" w:type="dxa"/>
            <w:tcBorders>
              <w:top w:val="single" w:sz="2" w:space="0" w:color="8A8A84"/>
              <w:left w:val="single" w:sz="6" w:space="0" w:color="000000"/>
              <w:bottom w:val="single" w:sz="2" w:space="0" w:color="8A8A84"/>
              <w:right w:val="single" w:sz="6" w:space="0" w:color="FFFFFF"/>
            </w:tcBorders>
            <w:shd w:val="solid" w:color="DAD4CD" w:fill="auto"/>
            <w:tcMar>
              <w:top w:w="113" w:type="dxa"/>
              <w:left w:w="113" w:type="dxa"/>
              <w:bottom w:w="113" w:type="dxa"/>
              <w:right w:w="80" w:type="dxa"/>
            </w:tcMar>
          </w:tcPr>
          <w:p w14:paraId="6C6DA860" w14:textId="77777777" w:rsidR="00AF2A14" w:rsidRDefault="00AF2A14">
            <w:pPr>
              <w:pStyle w:val="Tabletext"/>
              <w:jc w:val="right"/>
            </w:pPr>
            <w:r>
              <w:t>22</w:t>
            </w:r>
          </w:p>
        </w:tc>
        <w:tc>
          <w:tcPr>
            <w:tcW w:w="1332" w:type="dxa"/>
            <w:tcBorders>
              <w:top w:val="single" w:sz="2" w:space="0" w:color="8A8A84"/>
              <w:left w:val="single" w:sz="6" w:space="0" w:color="FFFFFF"/>
              <w:bottom w:val="single" w:sz="2" w:space="0" w:color="8A8A84"/>
              <w:right w:val="single" w:sz="6" w:space="0" w:color="000000"/>
            </w:tcBorders>
            <w:shd w:val="solid" w:color="DAD4CD" w:fill="auto"/>
            <w:tcMar>
              <w:top w:w="113" w:type="dxa"/>
              <w:left w:w="113" w:type="dxa"/>
              <w:bottom w:w="113" w:type="dxa"/>
              <w:right w:w="80" w:type="dxa"/>
            </w:tcMar>
          </w:tcPr>
          <w:p w14:paraId="45E15486" w14:textId="77777777" w:rsidR="00AF2A14" w:rsidRDefault="00AF2A14">
            <w:pPr>
              <w:pStyle w:val="Tabletext"/>
              <w:jc w:val="right"/>
            </w:pPr>
            <w:r>
              <w:t>44</w:t>
            </w:r>
          </w:p>
        </w:tc>
      </w:tr>
      <w:tr w:rsidR="00AF2A14" w14:paraId="0202D306" w14:textId="77777777">
        <w:trPr>
          <w:trHeight w:val="60"/>
        </w:trPr>
        <w:tc>
          <w:tcPr>
            <w:tcW w:w="2948" w:type="dxa"/>
            <w:tcBorders>
              <w:top w:val="single" w:sz="2" w:space="0" w:color="8A8A84"/>
              <w:left w:val="single" w:sz="6" w:space="0" w:color="FFFFFF"/>
              <w:bottom w:val="single" w:sz="2" w:space="0" w:color="8A8A84"/>
              <w:right w:val="single" w:sz="6" w:space="0" w:color="000000"/>
            </w:tcBorders>
            <w:shd w:val="solid" w:color="EBE7E2" w:fill="auto"/>
            <w:tcMar>
              <w:top w:w="113" w:type="dxa"/>
              <w:left w:w="113" w:type="dxa"/>
              <w:bottom w:w="113" w:type="dxa"/>
              <w:right w:w="80" w:type="dxa"/>
            </w:tcMar>
          </w:tcPr>
          <w:p w14:paraId="3F06A23B" w14:textId="77777777" w:rsidR="00AF2A14" w:rsidRDefault="00AF2A14">
            <w:pPr>
              <w:pStyle w:val="Tabletextbold"/>
            </w:pPr>
            <w:r>
              <w:t>EL 1 and 2 equivalent*</w:t>
            </w:r>
          </w:p>
        </w:tc>
        <w:tc>
          <w:tcPr>
            <w:tcW w:w="1332" w:type="dxa"/>
            <w:tcBorders>
              <w:top w:val="single" w:sz="2" w:space="0" w:color="8A8A84"/>
              <w:left w:val="single" w:sz="6" w:space="0" w:color="000000"/>
              <w:bottom w:val="single" w:sz="2" w:space="0" w:color="8A8A84"/>
              <w:right w:val="single" w:sz="6" w:space="0" w:color="000000"/>
            </w:tcBorders>
            <w:shd w:val="solid" w:color="EBE7E2" w:fill="auto"/>
            <w:tcMar>
              <w:top w:w="113" w:type="dxa"/>
              <w:left w:w="113" w:type="dxa"/>
              <w:bottom w:w="113" w:type="dxa"/>
              <w:right w:w="80" w:type="dxa"/>
            </w:tcMar>
          </w:tcPr>
          <w:p w14:paraId="7C8A79E3" w14:textId="77777777" w:rsidR="00AF2A14" w:rsidRDefault="00AF2A14">
            <w:pPr>
              <w:pStyle w:val="Tabletext"/>
              <w:jc w:val="right"/>
            </w:pPr>
            <w:r>
              <w:t>202</w:t>
            </w:r>
          </w:p>
        </w:tc>
        <w:tc>
          <w:tcPr>
            <w:tcW w:w="1333" w:type="dxa"/>
            <w:tcBorders>
              <w:top w:val="single" w:sz="2" w:space="0" w:color="8A8A84"/>
              <w:left w:val="single" w:sz="6" w:space="0" w:color="000000"/>
              <w:bottom w:val="single" w:sz="2" w:space="0" w:color="8A8A84"/>
              <w:right w:val="single" w:sz="6" w:space="0" w:color="000000"/>
            </w:tcBorders>
            <w:shd w:val="solid" w:color="EBE7E2" w:fill="auto"/>
            <w:tcMar>
              <w:top w:w="113" w:type="dxa"/>
              <w:left w:w="113" w:type="dxa"/>
              <w:bottom w:w="113" w:type="dxa"/>
              <w:right w:w="80" w:type="dxa"/>
            </w:tcMar>
          </w:tcPr>
          <w:p w14:paraId="6772EC1A" w14:textId="77777777" w:rsidR="00AF2A14" w:rsidRDefault="00AF2A14">
            <w:pPr>
              <w:pStyle w:val="Tabletext"/>
              <w:jc w:val="right"/>
            </w:pPr>
            <w:r>
              <w:t>280</w:t>
            </w:r>
          </w:p>
        </w:tc>
        <w:tc>
          <w:tcPr>
            <w:tcW w:w="1332" w:type="dxa"/>
            <w:tcBorders>
              <w:top w:val="single" w:sz="2" w:space="0" w:color="8A8A84"/>
              <w:left w:val="single" w:sz="6" w:space="0" w:color="000000"/>
              <w:bottom w:val="single" w:sz="2" w:space="0" w:color="8A8A84"/>
              <w:right w:val="single" w:sz="6" w:space="0" w:color="FFFFFF"/>
            </w:tcBorders>
            <w:shd w:val="solid" w:color="EBE7E2" w:fill="auto"/>
            <w:tcMar>
              <w:top w:w="113" w:type="dxa"/>
              <w:left w:w="113" w:type="dxa"/>
              <w:bottom w:w="113" w:type="dxa"/>
              <w:right w:w="80" w:type="dxa"/>
            </w:tcMar>
          </w:tcPr>
          <w:p w14:paraId="3ED89E5A" w14:textId="77777777" w:rsidR="00AF2A14" w:rsidRDefault="00AF2A14">
            <w:pPr>
              <w:pStyle w:val="Tabletext"/>
              <w:jc w:val="right"/>
            </w:pPr>
            <w:r>
              <w:t>195.91</w:t>
            </w:r>
          </w:p>
        </w:tc>
        <w:tc>
          <w:tcPr>
            <w:tcW w:w="1332" w:type="dxa"/>
            <w:tcBorders>
              <w:top w:val="single" w:sz="2" w:space="0" w:color="8A8A84"/>
              <w:left w:val="single" w:sz="6" w:space="0" w:color="FFFFFF"/>
              <w:bottom w:val="single" w:sz="2" w:space="0" w:color="8A8A84"/>
              <w:right w:val="single" w:sz="6" w:space="0" w:color="000000"/>
            </w:tcBorders>
            <w:shd w:val="solid" w:color="EBE7E2" w:fill="auto"/>
            <w:tcMar>
              <w:top w:w="113" w:type="dxa"/>
              <w:left w:w="113" w:type="dxa"/>
              <w:bottom w:w="113" w:type="dxa"/>
              <w:right w:w="80" w:type="dxa"/>
            </w:tcMar>
          </w:tcPr>
          <w:p w14:paraId="173FB4AB" w14:textId="77777777" w:rsidR="00AF2A14" w:rsidRDefault="00AF2A14">
            <w:pPr>
              <w:pStyle w:val="Tabletext"/>
              <w:jc w:val="right"/>
            </w:pPr>
            <w:r>
              <w:t>275.86</w:t>
            </w:r>
          </w:p>
        </w:tc>
      </w:tr>
      <w:tr w:rsidR="00AF2A14" w14:paraId="4DEF2D0B" w14:textId="77777777">
        <w:trPr>
          <w:trHeight w:val="60"/>
        </w:trPr>
        <w:tc>
          <w:tcPr>
            <w:tcW w:w="2948" w:type="dxa"/>
            <w:tcBorders>
              <w:top w:val="single" w:sz="2" w:space="0" w:color="8A8A84"/>
              <w:left w:val="single" w:sz="6" w:space="0" w:color="FFFFFF"/>
              <w:bottom w:val="single" w:sz="4" w:space="0" w:color="282829"/>
              <w:right w:val="single" w:sz="6" w:space="0" w:color="000000"/>
            </w:tcBorders>
            <w:shd w:val="solid" w:color="EBE7E2" w:fill="auto"/>
            <w:tcMar>
              <w:top w:w="113" w:type="dxa"/>
              <w:left w:w="113" w:type="dxa"/>
              <w:bottom w:w="113" w:type="dxa"/>
              <w:right w:w="80" w:type="dxa"/>
            </w:tcMar>
          </w:tcPr>
          <w:p w14:paraId="41664AEC" w14:textId="77777777" w:rsidR="00AF2A14" w:rsidRDefault="00AF2A14">
            <w:pPr>
              <w:pStyle w:val="Tabletextbold"/>
            </w:pPr>
            <w:r>
              <w:t>APS 1–6 equivalent*</w:t>
            </w:r>
          </w:p>
        </w:tc>
        <w:tc>
          <w:tcPr>
            <w:tcW w:w="1332" w:type="dxa"/>
            <w:tcBorders>
              <w:top w:val="single" w:sz="2" w:space="0" w:color="8A8A84"/>
              <w:left w:val="single" w:sz="6" w:space="0" w:color="000000"/>
              <w:bottom w:val="single" w:sz="4" w:space="0" w:color="282829"/>
              <w:right w:val="single" w:sz="6" w:space="0" w:color="000000"/>
            </w:tcBorders>
            <w:shd w:val="solid" w:color="EBE7E2" w:fill="auto"/>
            <w:tcMar>
              <w:top w:w="113" w:type="dxa"/>
              <w:left w:w="113" w:type="dxa"/>
              <w:bottom w:w="113" w:type="dxa"/>
              <w:right w:w="80" w:type="dxa"/>
            </w:tcMar>
          </w:tcPr>
          <w:p w14:paraId="0C550CFE" w14:textId="77777777" w:rsidR="00AF2A14" w:rsidRDefault="00AF2A14">
            <w:pPr>
              <w:pStyle w:val="Tabletext"/>
              <w:jc w:val="right"/>
            </w:pPr>
            <w:r>
              <w:t>630</w:t>
            </w:r>
          </w:p>
        </w:tc>
        <w:tc>
          <w:tcPr>
            <w:tcW w:w="1333" w:type="dxa"/>
            <w:tcBorders>
              <w:top w:val="single" w:sz="2" w:space="0" w:color="8A8A84"/>
              <w:left w:val="single" w:sz="6" w:space="0" w:color="000000"/>
              <w:bottom w:val="single" w:sz="4" w:space="0" w:color="282829"/>
              <w:right w:val="single" w:sz="6" w:space="0" w:color="000000"/>
            </w:tcBorders>
            <w:shd w:val="solid" w:color="EBE7E2" w:fill="auto"/>
            <w:tcMar>
              <w:top w:w="113" w:type="dxa"/>
              <w:left w:w="113" w:type="dxa"/>
              <w:bottom w:w="113" w:type="dxa"/>
              <w:right w:w="80" w:type="dxa"/>
            </w:tcMar>
          </w:tcPr>
          <w:p w14:paraId="35E01ACE" w14:textId="77777777" w:rsidR="00AF2A14" w:rsidRDefault="00AF2A14">
            <w:pPr>
              <w:pStyle w:val="Tabletext"/>
              <w:jc w:val="right"/>
            </w:pPr>
            <w:r>
              <w:t>1181</w:t>
            </w:r>
          </w:p>
        </w:tc>
        <w:tc>
          <w:tcPr>
            <w:tcW w:w="1332" w:type="dxa"/>
            <w:tcBorders>
              <w:top w:val="single" w:sz="2" w:space="0" w:color="8A8A84"/>
              <w:left w:val="single" w:sz="6" w:space="0" w:color="000000"/>
              <w:bottom w:val="single" w:sz="4" w:space="0" w:color="282829"/>
              <w:right w:val="single" w:sz="6" w:space="0" w:color="FFFFFF"/>
            </w:tcBorders>
            <w:shd w:val="solid" w:color="EBE7E2" w:fill="auto"/>
            <w:tcMar>
              <w:top w:w="113" w:type="dxa"/>
              <w:left w:w="113" w:type="dxa"/>
              <w:bottom w:w="113" w:type="dxa"/>
              <w:right w:w="80" w:type="dxa"/>
            </w:tcMar>
          </w:tcPr>
          <w:p w14:paraId="717122F4" w14:textId="77777777" w:rsidR="00AF2A14" w:rsidRDefault="00AF2A14">
            <w:pPr>
              <w:pStyle w:val="Tabletext"/>
              <w:jc w:val="right"/>
            </w:pPr>
            <w:r>
              <w:t>590.93</w:t>
            </w:r>
          </w:p>
        </w:tc>
        <w:tc>
          <w:tcPr>
            <w:tcW w:w="1332" w:type="dxa"/>
            <w:tcBorders>
              <w:top w:val="single" w:sz="2" w:space="0" w:color="8A8A84"/>
              <w:left w:val="single" w:sz="6" w:space="0" w:color="FFFFFF"/>
              <w:bottom w:val="single" w:sz="4" w:space="0" w:color="282829"/>
              <w:right w:val="single" w:sz="6" w:space="0" w:color="000000"/>
            </w:tcBorders>
            <w:shd w:val="solid" w:color="EBE7E2" w:fill="auto"/>
            <w:tcMar>
              <w:top w:w="113" w:type="dxa"/>
              <w:left w:w="113" w:type="dxa"/>
              <w:bottom w:w="113" w:type="dxa"/>
              <w:right w:w="80" w:type="dxa"/>
            </w:tcMar>
          </w:tcPr>
          <w:p w14:paraId="1C56EDD8" w14:textId="77777777" w:rsidR="00AF2A14" w:rsidRDefault="00AF2A14">
            <w:pPr>
              <w:pStyle w:val="Tabletext"/>
              <w:jc w:val="right"/>
            </w:pPr>
            <w:r>
              <w:t>1125.96</w:t>
            </w:r>
          </w:p>
        </w:tc>
      </w:tr>
      <w:tr w:rsidR="00AF2A14" w14:paraId="2AA4984C" w14:textId="77777777">
        <w:trPr>
          <w:trHeight w:val="60"/>
        </w:trPr>
        <w:tc>
          <w:tcPr>
            <w:tcW w:w="2948" w:type="dxa"/>
            <w:tcBorders>
              <w:top w:val="single" w:sz="4" w:space="0" w:color="282829"/>
              <w:left w:val="single" w:sz="6" w:space="0" w:color="FFFFFF"/>
              <w:bottom w:val="single" w:sz="4" w:space="0" w:color="282829"/>
              <w:right w:val="single" w:sz="6" w:space="0" w:color="000000"/>
            </w:tcBorders>
            <w:shd w:val="solid" w:color="EBE7E2" w:fill="auto"/>
            <w:tcMar>
              <w:top w:w="113" w:type="dxa"/>
              <w:left w:w="113" w:type="dxa"/>
              <w:bottom w:w="113" w:type="dxa"/>
              <w:right w:w="80" w:type="dxa"/>
            </w:tcMar>
          </w:tcPr>
          <w:p w14:paraId="6B9FD3F6" w14:textId="77777777" w:rsidR="00AF2A14" w:rsidRDefault="00AF2A14">
            <w:pPr>
              <w:pStyle w:val="Tabletextbold"/>
            </w:pPr>
            <w:r>
              <w:t>Total</w:t>
            </w:r>
          </w:p>
        </w:tc>
        <w:tc>
          <w:tcPr>
            <w:tcW w:w="1332" w:type="dxa"/>
            <w:tcBorders>
              <w:top w:val="single" w:sz="4" w:space="0" w:color="282829"/>
              <w:left w:val="single" w:sz="6" w:space="0" w:color="000000"/>
              <w:bottom w:val="single" w:sz="4" w:space="0" w:color="282829"/>
              <w:right w:val="single" w:sz="6" w:space="0" w:color="000000"/>
            </w:tcBorders>
            <w:shd w:val="solid" w:color="EBE7E2" w:fill="auto"/>
            <w:tcMar>
              <w:top w:w="113" w:type="dxa"/>
              <w:left w:w="113" w:type="dxa"/>
              <w:bottom w:w="113" w:type="dxa"/>
              <w:right w:w="80" w:type="dxa"/>
            </w:tcMar>
          </w:tcPr>
          <w:p w14:paraId="6D9383D1" w14:textId="77777777" w:rsidR="00AF2A14" w:rsidRDefault="00AF2A14">
            <w:pPr>
              <w:pStyle w:val="Tabletextbold"/>
              <w:jc w:val="right"/>
            </w:pPr>
            <w:r>
              <w:t>854</w:t>
            </w:r>
          </w:p>
        </w:tc>
        <w:tc>
          <w:tcPr>
            <w:tcW w:w="1333" w:type="dxa"/>
            <w:tcBorders>
              <w:top w:val="single" w:sz="4" w:space="0" w:color="282829"/>
              <w:left w:val="single" w:sz="6" w:space="0" w:color="000000"/>
              <w:bottom w:val="single" w:sz="4" w:space="0" w:color="282829"/>
              <w:right w:val="single" w:sz="6" w:space="0" w:color="000000"/>
            </w:tcBorders>
            <w:shd w:val="solid" w:color="EBE7E2" w:fill="auto"/>
            <w:tcMar>
              <w:top w:w="113" w:type="dxa"/>
              <w:left w:w="113" w:type="dxa"/>
              <w:bottom w:w="113" w:type="dxa"/>
              <w:right w:w="80" w:type="dxa"/>
            </w:tcMar>
          </w:tcPr>
          <w:p w14:paraId="4F34E814" w14:textId="77777777" w:rsidR="00AF2A14" w:rsidRDefault="00AF2A14">
            <w:pPr>
              <w:pStyle w:val="Tabletextbold"/>
              <w:jc w:val="right"/>
            </w:pPr>
            <w:r>
              <w:t>1505</w:t>
            </w:r>
          </w:p>
        </w:tc>
        <w:tc>
          <w:tcPr>
            <w:tcW w:w="1332" w:type="dxa"/>
            <w:tcBorders>
              <w:top w:val="single" w:sz="4" w:space="0" w:color="282829"/>
              <w:left w:val="single" w:sz="6" w:space="0" w:color="000000"/>
              <w:bottom w:val="single" w:sz="4" w:space="0" w:color="282829"/>
              <w:right w:val="single" w:sz="6" w:space="0" w:color="FFFFFF"/>
            </w:tcBorders>
            <w:shd w:val="solid" w:color="EBE7E2" w:fill="auto"/>
            <w:tcMar>
              <w:top w:w="113" w:type="dxa"/>
              <w:left w:w="113" w:type="dxa"/>
              <w:bottom w:w="113" w:type="dxa"/>
              <w:right w:w="80" w:type="dxa"/>
            </w:tcMar>
          </w:tcPr>
          <w:p w14:paraId="3BB82A8C" w14:textId="77777777" w:rsidR="00AF2A14" w:rsidRDefault="00AF2A14">
            <w:pPr>
              <w:pStyle w:val="Tabletextbold"/>
              <w:jc w:val="right"/>
            </w:pPr>
            <w:r>
              <w:t>808.84</w:t>
            </w:r>
          </w:p>
        </w:tc>
        <w:tc>
          <w:tcPr>
            <w:tcW w:w="1332" w:type="dxa"/>
            <w:tcBorders>
              <w:top w:val="single" w:sz="4" w:space="0" w:color="282829"/>
              <w:left w:val="single" w:sz="6" w:space="0" w:color="FFFFFF"/>
              <w:bottom w:val="single" w:sz="4" w:space="0" w:color="282829"/>
              <w:right w:val="single" w:sz="6" w:space="0" w:color="000000"/>
            </w:tcBorders>
            <w:shd w:val="solid" w:color="EBE7E2" w:fill="auto"/>
            <w:tcMar>
              <w:top w:w="113" w:type="dxa"/>
              <w:left w:w="113" w:type="dxa"/>
              <w:bottom w:w="113" w:type="dxa"/>
              <w:right w:w="80" w:type="dxa"/>
            </w:tcMar>
          </w:tcPr>
          <w:p w14:paraId="23450A30" w14:textId="77777777" w:rsidR="00AF2A14" w:rsidRDefault="00AF2A14">
            <w:pPr>
              <w:pStyle w:val="Tabletextbold"/>
              <w:jc w:val="right"/>
            </w:pPr>
            <w:r>
              <w:t>1436.81</w:t>
            </w:r>
          </w:p>
        </w:tc>
      </w:tr>
    </w:tbl>
    <w:p w14:paraId="077372AE" w14:textId="77777777" w:rsidR="00AF2A14" w:rsidRDefault="00AF2A14" w:rsidP="00AF2A14">
      <w:pPr>
        <w:pStyle w:val="BodyCopy"/>
        <w:rPr>
          <w:sz w:val="14"/>
          <w:szCs w:val="14"/>
        </w:rPr>
      </w:pPr>
      <w:r>
        <w:rPr>
          <w:sz w:val="14"/>
          <w:szCs w:val="14"/>
        </w:rPr>
        <w:t>*Classifications based on substantive positions, as at 30 June 2016</w:t>
      </w:r>
    </w:p>
    <w:p w14:paraId="7303333B" w14:textId="6A0CE53F" w:rsidR="00AF2A14" w:rsidRDefault="00AF2A14" w:rsidP="00B26DB7">
      <w:pPr>
        <w:pStyle w:val="Heading3Tables"/>
      </w:pPr>
      <w:bookmarkStart w:id="48" w:name="_Toc464481226"/>
      <w:r>
        <w:t xml:space="preserve">Table </w:t>
      </w:r>
      <w:r w:rsidR="002D348F">
        <w:t>4</w:t>
      </w:r>
      <w:r>
        <w:t>: NDIA staff by substantive classification (headcount), 2014-15 and 2015-16</w:t>
      </w:r>
      <w:bookmarkEnd w:id="48"/>
    </w:p>
    <w:tbl>
      <w:tblPr>
        <w:tblW w:w="0" w:type="auto"/>
        <w:tblInd w:w="-8" w:type="dxa"/>
        <w:tblLayout w:type="fixed"/>
        <w:tblCellMar>
          <w:left w:w="0" w:type="dxa"/>
          <w:right w:w="0" w:type="dxa"/>
        </w:tblCellMar>
        <w:tblLook w:val="0000" w:firstRow="0" w:lastRow="0" w:firstColumn="0" w:lastColumn="0" w:noHBand="0" w:noVBand="0"/>
      </w:tblPr>
      <w:tblGrid>
        <w:gridCol w:w="2494"/>
        <w:gridCol w:w="977"/>
        <w:gridCol w:w="1121"/>
        <w:gridCol w:w="937"/>
        <w:gridCol w:w="992"/>
        <w:gridCol w:w="1134"/>
        <w:gridCol w:w="850"/>
      </w:tblGrid>
      <w:tr w:rsidR="00866A98" w14:paraId="38BDA108" w14:textId="77777777" w:rsidTr="00866A98">
        <w:trPr>
          <w:trHeight w:val="60"/>
          <w:tblHeader/>
        </w:trPr>
        <w:tc>
          <w:tcPr>
            <w:tcW w:w="2494" w:type="dxa"/>
            <w:tcBorders>
              <w:top w:val="single" w:sz="6" w:space="0" w:color="8A8A84"/>
              <w:left w:val="single" w:sz="6" w:space="0" w:color="FFFFFF"/>
              <w:bottom w:val="single" w:sz="6" w:space="0" w:color="8A8A84"/>
              <w:right w:val="single" w:sz="6" w:space="0" w:color="FFFFFF"/>
            </w:tcBorders>
            <w:shd w:val="solid" w:color="000000" w:fill="auto"/>
            <w:tcMar>
              <w:top w:w="113" w:type="dxa"/>
              <w:left w:w="113" w:type="dxa"/>
              <w:bottom w:w="113" w:type="dxa"/>
              <w:right w:w="80" w:type="dxa"/>
            </w:tcMar>
          </w:tcPr>
          <w:p w14:paraId="14462AC4" w14:textId="77777777" w:rsidR="00AF2A14" w:rsidRDefault="00AF2A14">
            <w:pPr>
              <w:pStyle w:val="Tableheader"/>
            </w:pPr>
            <w:bookmarkStart w:id="49" w:name="Title_Table4" w:colFirst="0" w:colLast="0"/>
            <w:r>
              <w:t>Classification</w:t>
            </w:r>
          </w:p>
        </w:tc>
        <w:tc>
          <w:tcPr>
            <w:tcW w:w="977" w:type="dxa"/>
            <w:tcBorders>
              <w:top w:val="single" w:sz="2" w:space="0" w:color="FFFFFF"/>
              <w:left w:val="single" w:sz="6" w:space="0" w:color="FFFFFF"/>
              <w:bottom w:val="single" w:sz="6" w:space="0" w:color="8A8A84"/>
              <w:right w:val="single" w:sz="6" w:space="0" w:color="FFFFFF"/>
            </w:tcBorders>
            <w:shd w:val="solid" w:color="000000" w:fill="auto"/>
            <w:tcMar>
              <w:top w:w="113" w:type="dxa"/>
              <w:left w:w="113" w:type="dxa"/>
              <w:bottom w:w="113" w:type="dxa"/>
              <w:right w:w="80" w:type="dxa"/>
            </w:tcMar>
          </w:tcPr>
          <w:p w14:paraId="62E34EAF" w14:textId="235299AD" w:rsidR="00866A98" w:rsidRDefault="00AF2A14" w:rsidP="00866A98">
            <w:pPr>
              <w:pStyle w:val="Tableheader"/>
              <w:jc w:val="right"/>
            </w:pPr>
            <w:r>
              <w:t>Ongoing</w:t>
            </w:r>
            <w:r w:rsidR="00866A98">
              <w:t xml:space="preserve"> </w:t>
            </w:r>
            <w:r w:rsidR="00866A98">
              <w:t>2014-15</w:t>
            </w:r>
          </w:p>
        </w:tc>
        <w:tc>
          <w:tcPr>
            <w:tcW w:w="1121" w:type="dxa"/>
            <w:tcBorders>
              <w:top w:val="single" w:sz="2" w:space="0" w:color="FFFFFF"/>
              <w:left w:val="single" w:sz="6" w:space="0" w:color="FFFFFF"/>
              <w:bottom w:val="single" w:sz="6" w:space="0" w:color="8A8A84"/>
              <w:right w:val="single" w:sz="6" w:space="0" w:color="FFFFFF"/>
            </w:tcBorders>
            <w:shd w:val="solid" w:color="000000" w:fill="auto"/>
            <w:tcMar>
              <w:top w:w="113" w:type="dxa"/>
              <w:left w:w="113" w:type="dxa"/>
              <w:bottom w:w="113" w:type="dxa"/>
              <w:right w:w="80" w:type="dxa"/>
            </w:tcMar>
          </w:tcPr>
          <w:p w14:paraId="454E733B" w14:textId="05FB0C7E" w:rsidR="00866A98" w:rsidRDefault="00AF2A14" w:rsidP="00866A98">
            <w:pPr>
              <w:pStyle w:val="Tableheader"/>
              <w:jc w:val="right"/>
            </w:pPr>
            <w:r>
              <w:t>Non-ongoing</w:t>
            </w:r>
            <w:r w:rsidR="00866A98">
              <w:t xml:space="preserve"> </w:t>
            </w:r>
            <w:r w:rsidR="00866A98">
              <w:t>2014-15</w:t>
            </w:r>
          </w:p>
        </w:tc>
        <w:tc>
          <w:tcPr>
            <w:tcW w:w="937" w:type="dxa"/>
            <w:tcBorders>
              <w:top w:val="single" w:sz="2" w:space="0" w:color="FFFFFF"/>
              <w:left w:val="single" w:sz="6" w:space="0" w:color="FFFFFF"/>
              <w:bottom w:val="single" w:sz="6" w:space="0" w:color="8A8A84"/>
              <w:right w:val="single" w:sz="6" w:space="0" w:color="FFFFFF"/>
            </w:tcBorders>
            <w:shd w:val="solid" w:color="000000" w:fill="auto"/>
            <w:tcMar>
              <w:top w:w="113" w:type="dxa"/>
              <w:left w:w="113" w:type="dxa"/>
              <w:bottom w:w="113" w:type="dxa"/>
              <w:right w:w="80" w:type="dxa"/>
            </w:tcMar>
          </w:tcPr>
          <w:p w14:paraId="6DA7683C" w14:textId="41C8AD67" w:rsidR="00866A98" w:rsidRDefault="00AF2A14" w:rsidP="00866A98">
            <w:pPr>
              <w:pStyle w:val="Tableheader"/>
              <w:jc w:val="right"/>
            </w:pPr>
            <w:r>
              <w:t>Total</w:t>
            </w:r>
            <w:r w:rsidR="00866A98">
              <w:t xml:space="preserve"> </w:t>
            </w:r>
            <w:r w:rsidR="00866A98">
              <w:t>2014-15</w:t>
            </w:r>
          </w:p>
        </w:tc>
        <w:tc>
          <w:tcPr>
            <w:tcW w:w="992" w:type="dxa"/>
            <w:tcBorders>
              <w:top w:val="single" w:sz="2" w:space="0" w:color="FFFFFF"/>
              <w:left w:val="single" w:sz="6" w:space="0" w:color="FFFFFF"/>
              <w:bottom w:val="single" w:sz="6" w:space="0" w:color="8A8A84"/>
              <w:right w:val="single" w:sz="6" w:space="0" w:color="FFFFFF"/>
            </w:tcBorders>
            <w:shd w:val="solid" w:color="000000" w:fill="auto"/>
            <w:tcMar>
              <w:top w:w="113" w:type="dxa"/>
              <w:left w:w="113" w:type="dxa"/>
              <w:bottom w:w="113" w:type="dxa"/>
              <w:right w:w="80" w:type="dxa"/>
            </w:tcMar>
          </w:tcPr>
          <w:p w14:paraId="4A56C2C7" w14:textId="7462B8F7" w:rsidR="00AF2A14" w:rsidRDefault="00AF2A14">
            <w:pPr>
              <w:pStyle w:val="Tableheader"/>
              <w:jc w:val="right"/>
            </w:pPr>
            <w:r>
              <w:t>Ongoing</w:t>
            </w:r>
            <w:r w:rsidR="00866A98">
              <w:t xml:space="preserve"> </w:t>
            </w:r>
            <w:r w:rsidR="00866A98">
              <w:t>2015-16</w:t>
            </w:r>
          </w:p>
        </w:tc>
        <w:tc>
          <w:tcPr>
            <w:tcW w:w="1134" w:type="dxa"/>
            <w:tcBorders>
              <w:top w:val="single" w:sz="2" w:space="0" w:color="FFFFFF"/>
              <w:left w:val="single" w:sz="6" w:space="0" w:color="FFFFFF"/>
              <w:bottom w:val="single" w:sz="6" w:space="0" w:color="8A8A84"/>
              <w:right w:val="single" w:sz="6" w:space="0" w:color="FFFFFF"/>
            </w:tcBorders>
            <w:shd w:val="solid" w:color="000000" w:fill="auto"/>
            <w:tcMar>
              <w:top w:w="113" w:type="dxa"/>
              <w:left w:w="113" w:type="dxa"/>
              <w:bottom w:w="113" w:type="dxa"/>
              <w:right w:w="80" w:type="dxa"/>
            </w:tcMar>
          </w:tcPr>
          <w:p w14:paraId="7D7B253B" w14:textId="72D220E2" w:rsidR="00AF2A14" w:rsidRDefault="00AF2A14">
            <w:pPr>
              <w:pStyle w:val="Tableheader"/>
              <w:jc w:val="right"/>
            </w:pPr>
            <w:r>
              <w:t>Non-ongoing</w:t>
            </w:r>
            <w:r w:rsidR="00866A98">
              <w:t xml:space="preserve"> </w:t>
            </w:r>
            <w:r w:rsidR="00866A98">
              <w:t>2015-16</w:t>
            </w:r>
          </w:p>
        </w:tc>
        <w:tc>
          <w:tcPr>
            <w:tcW w:w="850" w:type="dxa"/>
            <w:tcBorders>
              <w:top w:val="single" w:sz="2" w:space="0" w:color="FFFFFF"/>
              <w:left w:val="single" w:sz="6" w:space="0" w:color="FFFFFF"/>
              <w:bottom w:val="single" w:sz="6" w:space="0" w:color="8A8A84"/>
              <w:right w:val="single" w:sz="6" w:space="0" w:color="FFFFFF"/>
            </w:tcBorders>
            <w:shd w:val="solid" w:color="000000" w:fill="auto"/>
            <w:tcMar>
              <w:top w:w="113" w:type="dxa"/>
              <w:left w:w="113" w:type="dxa"/>
              <w:bottom w:w="113" w:type="dxa"/>
              <w:right w:w="80" w:type="dxa"/>
            </w:tcMar>
          </w:tcPr>
          <w:p w14:paraId="78503992" w14:textId="175DF74B" w:rsidR="00AF2A14" w:rsidRDefault="00AF2A14">
            <w:pPr>
              <w:pStyle w:val="Tableheader"/>
              <w:jc w:val="right"/>
            </w:pPr>
            <w:r>
              <w:t>Total</w:t>
            </w:r>
            <w:r w:rsidR="00866A98">
              <w:t xml:space="preserve"> </w:t>
            </w:r>
            <w:r w:rsidR="00866A98">
              <w:t>2015-16</w:t>
            </w:r>
          </w:p>
        </w:tc>
      </w:tr>
      <w:bookmarkEnd w:id="49"/>
      <w:tr w:rsidR="00866A98" w14:paraId="50E9813A" w14:textId="77777777" w:rsidTr="00866A98">
        <w:trPr>
          <w:trHeight w:val="60"/>
        </w:trPr>
        <w:tc>
          <w:tcPr>
            <w:tcW w:w="2494" w:type="dxa"/>
            <w:tcBorders>
              <w:top w:val="single" w:sz="2" w:space="0" w:color="8A8A84"/>
              <w:left w:val="single" w:sz="6" w:space="0" w:color="FFFFFF"/>
              <w:bottom w:val="single" w:sz="2" w:space="0" w:color="8A8A84"/>
              <w:right w:val="single" w:sz="6" w:space="0" w:color="000000"/>
            </w:tcBorders>
            <w:shd w:val="solid" w:color="EBE7E2" w:fill="auto"/>
            <w:tcMar>
              <w:top w:w="113" w:type="dxa"/>
              <w:left w:w="113" w:type="dxa"/>
              <w:bottom w:w="113" w:type="dxa"/>
              <w:right w:w="80" w:type="dxa"/>
            </w:tcMar>
          </w:tcPr>
          <w:p w14:paraId="5DD787A5" w14:textId="77777777" w:rsidR="00AF2A14" w:rsidRDefault="00AF2A14">
            <w:pPr>
              <w:pStyle w:val="Tabletextbold"/>
            </w:pPr>
            <w:r>
              <w:t>APS 1</w:t>
            </w:r>
          </w:p>
        </w:tc>
        <w:tc>
          <w:tcPr>
            <w:tcW w:w="977" w:type="dxa"/>
            <w:tcBorders>
              <w:top w:val="single" w:sz="2" w:space="0" w:color="8A8A84"/>
              <w:left w:val="single" w:sz="6" w:space="0" w:color="000000"/>
              <w:bottom w:val="single" w:sz="2" w:space="0" w:color="8A8A84"/>
              <w:right w:val="single" w:sz="6" w:space="0" w:color="000000"/>
            </w:tcBorders>
            <w:shd w:val="solid" w:color="EBE7E2" w:fill="auto"/>
            <w:tcMar>
              <w:top w:w="113" w:type="dxa"/>
              <w:left w:w="113" w:type="dxa"/>
              <w:bottom w:w="113" w:type="dxa"/>
              <w:right w:w="80" w:type="dxa"/>
            </w:tcMar>
          </w:tcPr>
          <w:p w14:paraId="307BB9AE" w14:textId="77777777" w:rsidR="00AF2A14" w:rsidRDefault="00AF2A14">
            <w:pPr>
              <w:pStyle w:val="Tabletext"/>
              <w:jc w:val="right"/>
            </w:pPr>
            <w:r>
              <w:t>0</w:t>
            </w:r>
          </w:p>
        </w:tc>
        <w:tc>
          <w:tcPr>
            <w:tcW w:w="1121" w:type="dxa"/>
            <w:tcBorders>
              <w:top w:val="single" w:sz="2" w:space="0" w:color="8A8A84"/>
              <w:left w:val="single" w:sz="6" w:space="0" w:color="000000"/>
              <w:bottom w:val="single" w:sz="2" w:space="0" w:color="8A8A84"/>
              <w:right w:val="single" w:sz="6" w:space="0" w:color="000000"/>
            </w:tcBorders>
            <w:shd w:val="solid" w:color="EBE7E2" w:fill="auto"/>
            <w:tcMar>
              <w:top w:w="113" w:type="dxa"/>
              <w:left w:w="113" w:type="dxa"/>
              <w:bottom w:w="113" w:type="dxa"/>
              <w:right w:w="80" w:type="dxa"/>
            </w:tcMar>
          </w:tcPr>
          <w:p w14:paraId="158F21E7" w14:textId="77777777" w:rsidR="00AF2A14" w:rsidRDefault="00AF2A14">
            <w:pPr>
              <w:pStyle w:val="Tabletext"/>
              <w:jc w:val="right"/>
            </w:pPr>
            <w:r>
              <w:t>0</w:t>
            </w:r>
          </w:p>
        </w:tc>
        <w:tc>
          <w:tcPr>
            <w:tcW w:w="937" w:type="dxa"/>
            <w:tcBorders>
              <w:top w:val="single" w:sz="2" w:space="0" w:color="8A8A84"/>
              <w:left w:val="single" w:sz="6" w:space="0" w:color="000000"/>
              <w:bottom w:val="single" w:sz="2" w:space="0" w:color="8A8A84"/>
              <w:right w:val="single" w:sz="6" w:space="0" w:color="000000"/>
            </w:tcBorders>
            <w:shd w:val="solid" w:color="EBE7E2" w:fill="auto"/>
            <w:tcMar>
              <w:top w:w="113" w:type="dxa"/>
              <w:left w:w="113" w:type="dxa"/>
              <w:bottom w:w="113" w:type="dxa"/>
              <w:right w:w="80" w:type="dxa"/>
            </w:tcMar>
          </w:tcPr>
          <w:p w14:paraId="2F145EA8" w14:textId="77777777" w:rsidR="00AF2A14" w:rsidRDefault="00AF2A14">
            <w:pPr>
              <w:pStyle w:val="Tabletext"/>
              <w:jc w:val="right"/>
            </w:pPr>
            <w:r>
              <w:t>0</w:t>
            </w:r>
          </w:p>
        </w:tc>
        <w:tc>
          <w:tcPr>
            <w:tcW w:w="992" w:type="dxa"/>
            <w:tcBorders>
              <w:top w:val="single" w:sz="2" w:space="0" w:color="8A8A84"/>
              <w:left w:val="single" w:sz="6" w:space="0" w:color="000000"/>
              <w:bottom w:val="single" w:sz="2" w:space="0" w:color="8A8A84"/>
              <w:right w:val="single" w:sz="6" w:space="0" w:color="000000"/>
            </w:tcBorders>
            <w:shd w:val="solid" w:color="EBE7E2" w:fill="auto"/>
            <w:tcMar>
              <w:top w:w="113" w:type="dxa"/>
              <w:left w:w="113" w:type="dxa"/>
              <w:bottom w:w="113" w:type="dxa"/>
              <w:right w:w="80" w:type="dxa"/>
            </w:tcMar>
          </w:tcPr>
          <w:p w14:paraId="3B800E4D" w14:textId="77777777" w:rsidR="00AF2A14" w:rsidRDefault="00AF2A14">
            <w:pPr>
              <w:pStyle w:val="Tabletext"/>
              <w:jc w:val="right"/>
            </w:pPr>
            <w:r>
              <w:t>0</w:t>
            </w:r>
          </w:p>
        </w:tc>
        <w:tc>
          <w:tcPr>
            <w:tcW w:w="1134" w:type="dxa"/>
            <w:tcBorders>
              <w:top w:val="single" w:sz="2" w:space="0" w:color="8A8A84"/>
              <w:left w:val="single" w:sz="6" w:space="0" w:color="000000"/>
              <w:bottom w:val="single" w:sz="2" w:space="0" w:color="8A8A84"/>
              <w:right w:val="single" w:sz="6" w:space="0" w:color="FFFFFF"/>
            </w:tcBorders>
            <w:shd w:val="solid" w:color="EBE7E2" w:fill="auto"/>
            <w:tcMar>
              <w:top w:w="113" w:type="dxa"/>
              <w:left w:w="113" w:type="dxa"/>
              <w:bottom w:w="113" w:type="dxa"/>
              <w:right w:w="80" w:type="dxa"/>
            </w:tcMar>
          </w:tcPr>
          <w:p w14:paraId="3AB16D73" w14:textId="77777777" w:rsidR="00AF2A14" w:rsidRDefault="00AF2A14">
            <w:pPr>
              <w:pStyle w:val="Tabletext"/>
              <w:jc w:val="right"/>
            </w:pPr>
            <w:r>
              <w:t>4</w:t>
            </w:r>
          </w:p>
        </w:tc>
        <w:tc>
          <w:tcPr>
            <w:tcW w:w="850" w:type="dxa"/>
            <w:tcBorders>
              <w:top w:val="single" w:sz="2" w:space="0" w:color="8A8A84"/>
              <w:left w:val="single" w:sz="6" w:space="0" w:color="FFFFFF"/>
              <w:bottom w:val="single" w:sz="2" w:space="0" w:color="8A8A84"/>
              <w:right w:val="single" w:sz="6" w:space="0" w:color="000000"/>
            </w:tcBorders>
            <w:shd w:val="solid" w:color="EBE7E2" w:fill="auto"/>
            <w:tcMar>
              <w:top w:w="113" w:type="dxa"/>
              <w:left w:w="113" w:type="dxa"/>
              <w:bottom w:w="113" w:type="dxa"/>
              <w:right w:w="80" w:type="dxa"/>
            </w:tcMar>
          </w:tcPr>
          <w:p w14:paraId="43C0A793" w14:textId="77777777" w:rsidR="00AF2A14" w:rsidRDefault="00AF2A14">
            <w:pPr>
              <w:pStyle w:val="Tabletext"/>
              <w:jc w:val="right"/>
            </w:pPr>
            <w:r>
              <w:t>4</w:t>
            </w:r>
          </w:p>
        </w:tc>
      </w:tr>
      <w:tr w:rsidR="00866A98" w14:paraId="25765336" w14:textId="77777777" w:rsidTr="00866A98">
        <w:trPr>
          <w:trHeight w:val="60"/>
        </w:trPr>
        <w:tc>
          <w:tcPr>
            <w:tcW w:w="2494" w:type="dxa"/>
            <w:tcBorders>
              <w:top w:val="single" w:sz="2" w:space="0" w:color="8A8A84"/>
              <w:left w:val="single" w:sz="6" w:space="0" w:color="FFFFFF"/>
              <w:bottom w:val="single" w:sz="2" w:space="0" w:color="8A8A84"/>
              <w:right w:val="single" w:sz="6" w:space="0" w:color="000000"/>
            </w:tcBorders>
            <w:shd w:val="solid" w:color="EBE7E2" w:fill="auto"/>
            <w:tcMar>
              <w:top w:w="113" w:type="dxa"/>
              <w:left w:w="113" w:type="dxa"/>
              <w:bottom w:w="113" w:type="dxa"/>
              <w:right w:w="80" w:type="dxa"/>
            </w:tcMar>
          </w:tcPr>
          <w:p w14:paraId="290F6B35" w14:textId="77777777" w:rsidR="00AF2A14" w:rsidRDefault="00AF2A14">
            <w:pPr>
              <w:pStyle w:val="Tabletextbold"/>
            </w:pPr>
            <w:r>
              <w:t>APS 2</w:t>
            </w:r>
          </w:p>
        </w:tc>
        <w:tc>
          <w:tcPr>
            <w:tcW w:w="977" w:type="dxa"/>
            <w:tcBorders>
              <w:top w:val="single" w:sz="2" w:space="0" w:color="8A8A84"/>
              <w:left w:val="single" w:sz="6" w:space="0" w:color="000000"/>
              <w:bottom w:val="single" w:sz="2" w:space="0" w:color="8A8A84"/>
              <w:right w:val="single" w:sz="6" w:space="0" w:color="000000"/>
            </w:tcBorders>
            <w:shd w:val="solid" w:color="EBE7E2" w:fill="auto"/>
            <w:tcMar>
              <w:top w:w="113" w:type="dxa"/>
              <w:left w:w="113" w:type="dxa"/>
              <w:bottom w:w="113" w:type="dxa"/>
              <w:right w:w="80" w:type="dxa"/>
            </w:tcMar>
          </w:tcPr>
          <w:p w14:paraId="4F90A1A0" w14:textId="77777777" w:rsidR="00AF2A14" w:rsidRDefault="00AF2A14">
            <w:pPr>
              <w:pStyle w:val="Tabletext"/>
              <w:jc w:val="right"/>
            </w:pPr>
            <w:r>
              <w:t>4</w:t>
            </w:r>
          </w:p>
        </w:tc>
        <w:tc>
          <w:tcPr>
            <w:tcW w:w="1121" w:type="dxa"/>
            <w:tcBorders>
              <w:top w:val="single" w:sz="2" w:space="0" w:color="8A8A84"/>
              <w:left w:val="single" w:sz="6" w:space="0" w:color="000000"/>
              <w:bottom w:val="single" w:sz="2" w:space="0" w:color="8A8A84"/>
              <w:right w:val="single" w:sz="6" w:space="0" w:color="000000"/>
            </w:tcBorders>
            <w:shd w:val="solid" w:color="EBE7E2" w:fill="auto"/>
            <w:tcMar>
              <w:top w:w="113" w:type="dxa"/>
              <w:left w:w="113" w:type="dxa"/>
              <w:bottom w:w="113" w:type="dxa"/>
              <w:right w:w="80" w:type="dxa"/>
            </w:tcMar>
          </w:tcPr>
          <w:p w14:paraId="7A955B00" w14:textId="77777777" w:rsidR="00AF2A14" w:rsidRDefault="00AF2A14">
            <w:pPr>
              <w:pStyle w:val="Tabletext"/>
              <w:jc w:val="right"/>
            </w:pPr>
            <w:r>
              <w:t>8</w:t>
            </w:r>
          </w:p>
        </w:tc>
        <w:tc>
          <w:tcPr>
            <w:tcW w:w="937" w:type="dxa"/>
            <w:tcBorders>
              <w:top w:val="single" w:sz="2" w:space="0" w:color="8A8A84"/>
              <w:left w:val="single" w:sz="6" w:space="0" w:color="000000"/>
              <w:bottom w:val="single" w:sz="2" w:space="0" w:color="8A8A84"/>
              <w:right w:val="single" w:sz="6" w:space="0" w:color="000000"/>
            </w:tcBorders>
            <w:shd w:val="solid" w:color="EBE7E2" w:fill="auto"/>
            <w:tcMar>
              <w:top w:w="113" w:type="dxa"/>
              <w:left w:w="113" w:type="dxa"/>
              <w:bottom w:w="113" w:type="dxa"/>
              <w:right w:w="80" w:type="dxa"/>
            </w:tcMar>
          </w:tcPr>
          <w:p w14:paraId="4ED11412" w14:textId="77777777" w:rsidR="00AF2A14" w:rsidRDefault="00AF2A14">
            <w:pPr>
              <w:pStyle w:val="Tabletext"/>
              <w:jc w:val="right"/>
            </w:pPr>
            <w:r>
              <w:t>12</w:t>
            </w:r>
          </w:p>
        </w:tc>
        <w:tc>
          <w:tcPr>
            <w:tcW w:w="992" w:type="dxa"/>
            <w:tcBorders>
              <w:top w:val="single" w:sz="2" w:space="0" w:color="8A8A84"/>
              <w:left w:val="single" w:sz="6" w:space="0" w:color="000000"/>
              <w:bottom w:val="single" w:sz="2" w:space="0" w:color="8A8A84"/>
              <w:right w:val="single" w:sz="6" w:space="0" w:color="000000"/>
            </w:tcBorders>
            <w:shd w:val="solid" w:color="EBE7E2" w:fill="auto"/>
            <w:tcMar>
              <w:top w:w="113" w:type="dxa"/>
              <w:left w:w="113" w:type="dxa"/>
              <w:bottom w:w="113" w:type="dxa"/>
              <w:right w:w="80" w:type="dxa"/>
            </w:tcMar>
          </w:tcPr>
          <w:p w14:paraId="45FBE728" w14:textId="77777777" w:rsidR="00AF2A14" w:rsidRDefault="00AF2A14">
            <w:pPr>
              <w:pStyle w:val="Tabletext"/>
              <w:jc w:val="right"/>
            </w:pPr>
            <w:r>
              <w:t>5</w:t>
            </w:r>
          </w:p>
        </w:tc>
        <w:tc>
          <w:tcPr>
            <w:tcW w:w="1134" w:type="dxa"/>
            <w:tcBorders>
              <w:top w:val="single" w:sz="2" w:space="0" w:color="8A8A84"/>
              <w:left w:val="single" w:sz="6" w:space="0" w:color="000000"/>
              <w:bottom w:val="single" w:sz="2" w:space="0" w:color="8A8A84"/>
              <w:right w:val="single" w:sz="6" w:space="0" w:color="FFFFFF"/>
            </w:tcBorders>
            <w:shd w:val="solid" w:color="EBE7E2" w:fill="auto"/>
            <w:tcMar>
              <w:top w:w="113" w:type="dxa"/>
              <w:left w:w="113" w:type="dxa"/>
              <w:bottom w:w="113" w:type="dxa"/>
              <w:right w:w="80" w:type="dxa"/>
            </w:tcMar>
          </w:tcPr>
          <w:p w14:paraId="6BDFC398" w14:textId="77777777" w:rsidR="00AF2A14" w:rsidRDefault="00AF2A14">
            <w:pPr>
              <w:pStyle w:val="Tabletext"/>
              <w:jc w:val="right"/>
            </w:pPr>
            <w:r>
              <w:t>11</w:t>
            </w:r>
          </w:p>
        </w:tc>
        <w:tc>
          <w:tcPr>
            <w:tcW w:w="850" w:type="dxa"/>
            <w:tcBorders>
              <w:top w:val="single" w:sz="2" w:space="0" w:color="8A8A84"/>
              <w:left w:val="single" w:sz="6" w:space="0" w:color="FFFFFF"/>
              <w:bottom w:val="single" w:sz="2" w:space="0" w:color="8A8A84"/>
              <w:right w:val="single" w:sz="6" w:space="0" w:color="000000"/>
            </w:tcBorders>
            <w:shd w:val="solid" w:color="EBE7E2" w:fill="auto"/>
            <w:tcMar>
              <w:top w:w="113" w:type="dxa"/>
              <w:left w:w="113" w:type="dxa"/>
              <w:bottom w:w="113" w:type="dxa"/>
              <w:right w:w="80" w:type="dxa"/>
            </w:tcMar>
          </w:tcPr>
          <w:p w14:paraId="025F84CD" w14:textId="77777777" w:rsidR="00AF2A14" w:rsidRDefault="00AF2A14">
            <w:pPr>
              <w:pStyle w:val="Tabletext"/>
              <w:jc w:val="right"/>
            </w:pPr>
            <w:r>
              <w:t>16</w:t>
            </w:r>
          </w:p>
        </w:tc>
      </w:tr>
      <w:tr w:rsidR="00866A98" w14:paraId="016563EE" w14:textId="77777777" w:rsidTr="00866A98">
        <w:trPr>
          <w:trHeight w:val="60"/>
        </w:trPr>
        <w:tc>
          <w:tcPr>
            <w:tcW w:w="2494" w:type="dxa"/>
            <w:tcBorders>
              <w:top w:val="single" w:sz="2" w:space="0" w:color="8A8A84"/>
              <w:left w:val="single" w:sz="6" w:space="0" w:color="FFFFFF"/>
              <w:bottom w:val="single" w:sz="2" w:space="0" w:color="8A8A84"/>
              <w:right w:val="single" w:sz="6" w:space="0" w:color="000000"/>
            </w:tcBorders>
            <w:shd w:val="solid" w:color="EBE7E2" w:fill="auto"/>
            <w:tcMar>
              <w:top w:w="113" w:type="dxa"/>
              <w:left w:w="113" w:type="dxa"/>
              <w:bottom w:w="113" w:type="dxa"/>
              <w:right w:w="80" w:type="dxa"/>
            </w:tcMar>
          </w:tcPr>
          <w:p w14:paraId="476314F0" w14:textId="77777777" w:rsidR="00AF2A14" w:rsidRDefault="00AF2A14">
            <w:pPr>
              <w:pStyle w:val="Tabletextbold"/>
            </w:pPr>
            <w:r>
              <w:t>APS 3</w:t>
            </w:r>
          </w:p>
        </w:tc>
        <w:tc>
          <w:tcPr>
            <w:tcW w:w="977" w:type="dxa"/>
            <w:tcBorders>
              <w:top w:val="single" w:sz="2" w:space="0" w:color="8A8A84"/>
              <w:left w:val="single" w:sz="6" w:space="0" w:color="000000"/>
              <w:bottom w:val="single" w:sz="2" w:space="0" w:color="8A8A84"/>
              <w:right w:val="single" w:sz="6" w:space="0" w:color="000000"/>
            </w:tcBorders>
            <w:shd w:val="solid" w:color="EBE7E2" w:fill="auto"/>
            <w:tcMar>
              <w:top w:w="113" w:type="dxa"/>
              <w:left w:w="113" w:type="dxa"/>
              <w:bottom w:w="113" w:type="dxa"/>
              <w:right w:w="80" w:type="dxa"/>
            </w:tcMar>
          </w:tcPr>
          <w:p w14:paraId="3F270F42" w14:textId="77777777" w:rsidR="00AF2A14" w:rsidRDefault="00AF2A14">
            <w:pPr>
              <w:pStyle w:val="Tabletext"/>
              <w:jc w:val="right"/>
            </w:pPr>
            <w:r>
              <w:t>44</w:t>
            </w:r>
          </w:p>
        </w:tc>
        <w:tc>
          <w:tcPr>
            <w:tcW w:w="1121" w:type="dxa"/>
            <w:tcBorders>
              <w:top w:val="single" w:sz="2" w:space="0" w:color="8A8A84"/>
              <w:left w:val="single" w:sz="6" w:space="0" w:color="000000"/>
              <w:bottom w:val="single" w:sz="2" w:space="0" w:color="8A8A84"/>
              <w:right w:val="single" w:sz="6" w:space="0" w:color="000000"/>
            </w:tcBorders>
            <w:shd w:val="solid" w:color="EBE7E2" w:fill="auto"/>
            <w:tcMar>
              <w:top w:w="113" w:type="dxa"/>
              <w:left w:w="113" w:type="dxa"/>
              <w:bottom w:w="113" w:type="dxa"/>
              <w:right w:w="80" w:type="dxa"/>
            </w:tcMar>
          </w:tcPr>
          <w:p w14:paraId="5881292C" w14:textId="77777777" w:rsidR="00AF2A14" w:rsidRDefault="00AF2A14">
            <w:pPr>
              <w:pStyle w:val="Tabletext"/>
              <w:jc w:val="right"/>
            </w:pPr>
            <w:r>
              <w:t>10</w:t>
            </w:r>
          </w:p>
        </w:tc>
        <w:tc>
          <w:tcPr>
            <w:tcW w:w="937" w:type="dxa"/>
            <w:tcBorders>
              <w:top w:val="single" w:sz="2" w:space="0" w:color="8A8A84"/>
              <w:left w:val="single" w:sz="6" w:space="0" w:color="000000"/>
              <w:bottom w:val="single" w:sz="2" w:space="0" w:color="8A8A84"/>
              <w:right w:val="single" w:sz="6" w:space="0" w:color="000000"/>
            </w:tcBorders>
            <w:shd w:val="solid" w:color="EBE7E2" w:fill="auto"/>
            <w:tcMar>
              <w:top w:w="113" w:type="dxa"/>
              <w:left w:w="113" w:type="dxa"/>
              <w:bottom w:w="113" w:type="dxa"/>
              <w:right w:w="80" w:type="dxa"/>
            </w:tcMar>
          </w:tcPr>
          <w:p w14:paraId="6E1560C9" w14:textId="77777777" w:rsidR="00AF2A14" w:rsidRDefault="00AF2A14">
            <w:pPr>
              <w:pStyle w:val="Tabletext"/>
              <w:jc w:val="right"/>
            </w:pPr>
            <w:r>
              <w:t>54</w:t>
            </w:r>
          </w:p>
        </w:tc>
        <w:tc>
          <w:tcPr>
            <w:tcW w:w="992" w:type="dxa"/>
            <w:tcBorders>
              <w:top w:val="single" w:sz="2" w:space="0" w:color="8A8A84"/>
              <w:left w:val="single" w:sz="6" w:space="0" w:color="000000"/>
              <w:bottom w:val="single" w:sz="2" w:space="0" w:color="8A8A84"/>
              <w:right w:val="single" w:sz="6" w:space="0" w:color="000000"/>
            </w:tcBorders>
            <w:shd w:val="solid" w:color="EBE7E2" w:fill="auto"/>
            <w:tcMar>
              <w:top w:w="113" w:type="dxa"/>
              <w:left w:w="113" w:type="dxa"/>
              <w:bottom w:w="113" w:type="dxa"/>
              <w:right w:w="80" w:type="dxa"/>
            </w:tcMar>
          </w:tcPr>
          <w:p w14:paraId="452EFD20" w14:textId="77777777" w:rsidR="00AF2A14" w:rsidRDefault="00AF2A14">
            <w:pPr>
              <w:pStyle w:val="Tabletext"/>
              <w:jc w:val="right"/>
            </w:pPr>
            <w:r>
              <w:t>47</w:t>
            </w:r>
          </w:p>
        </w:tc>
        <w:tc>
          <w:tcPr>
            <w:tcW w:w="1134" w:type="dxa"/>
            <w:tcBorders>
              <w:top w:val="single" w:sz="2" w:space="0" w:color="8A8A84"/>
              <w:left w:val="single" w:sz="6" w:space="0" w:color="000000"/>
              <w:bottom w:val="single" w:sz="2" w:space="0" w:color="8A8A84"/>
              <w:right w:val="single" w:sz="6" w:space="0" w:color="FFFFFF"/>
            </w:tcBorders>
            <w:shd w:val="solid" w:color="EBE7E2" w:fill="auto"/>
            <w:tcMar>
              <w:top w:w="113" w:type="dxa"/>
              <w:left w:w="113" w:type="dxa"/>
              <w:bottom w:w="113" w:type="dxa"/>
              <w:right w:w="80" w:type="dxa"/>
            </w:tcMar>
          </w:tcPr>
          <w:p w14:paraId="36B18313" w14:textId="77777777" w:rsidR="00AF2A14" w:rsidRDefault="00AF2A14">
            <w:pPr>
              <w:pStyle w:val="Tabletext"/>
              <w:jc w:val="right"/>
            </w:pPr>
            <w:r>
              <w:t>85</w:t>
            </w:r>
          </w:p>
        </w:tc>
        <w:tc>
          <w:tcPr>
            <w:tcW w:w="850" w:type="dxa"/>
            <w:tcBorders>
              <w:top w:val="single" w:sz="2" w:space="0" w:color="8A8A84"/>
              <w:left w:val="single" w:sz="6" w:space="0" w:color="FFFFFF"/>
              <w:bottom w:val="single" w:sz="2" w:space="0" w:color="8A8A84"/>
              <w:right w:val="single" w:sz="6" w:space="0" w:color="000000"/>
            </w:tcBorders>
            <w:shd w:val="solid" w:color="EBE7E2" w:fill="auto"/>
            <w:tcMar>
              <w:top w:w="113" w:type="dxa"/>
              <w:left w:w="113" w:type="dxa"/>
              <w:bottom w:w="113" w:type="dxa"/>
              <w:right w:w="80" w:type="dxa"/>
            </w:tcMar>
          </w:tcPr>
          <w:p w14:paraId="52FE508F" w14:textId="77777777" w:rsidR="00AF2A14" w:rsidRDefault="00AF2A14">
            <w:pPr>
              <w:pStyle w:val="Tabletext"/>
              <w:jc w:val="right"/>
            </w:pPr>
            <w:r>
              <w:t>132</w:t>
            </w:r>
          </w:p>
        </w:tc>
      </w:tr>
      <w:tr w:rsidR="00866A98" w14:paraId="26CAAFBD" w14:textId="77777777" w:rsidTr="00866A98">
        <w:trPr>
          <w:trHeight w:val="60"/>
        </w:trPr>
        <w:tc>
          <w:tcPr>
            <w:tcW w:w="2494" w:type="dxa"/>
            <w:tcBorders>
              <w:top w:val="single" w:sz="2" w:space="0" w:color="8A8A84"/>
              <w:left w:val="single" w:sz="6" w:space="0" w:color="FFFFFF"/>
              <w:bottom w:val="single" w:sz="2" w:space="0" w:color="8A8A84"/>
              <w:right w:val="single" w:sz="6" w:space="0" w:color="000000"/>
            </w:tcBorders>
            <w:shd w:val="solid" w:color="EBE7E2" w:fill="auto"/>
            <w:tcMar>
              <w:top w:w="113" w:type="dxa"/>
              <w:left w:w="113" w:type="dxa"/>
              <w:bottom w:w="113" w:type="dxa"/>
              <w:right w:w="80" w:type="dxa"/>
            </w:tcMar>
          </w:tcPr>
          <w:p w14:paraId="29B75D1B" w14:textId="77777777" w:rsidR="00AF2A14" w:rsidRDefault="00AF2A14">
            <w:pPr>
              <w:pStyle w:val="Tabletextbold"/>
            </w:pPr>
            <w:r>
              <w:t>APS 4</w:t>
            </w:r>
          </w:p>
        </w:tc>
        <w:tc>
          <w:tcPr>
            <w:tcW w:w="977" w:type="dxa"/>
            <w:tcBorders>
              <w:top w:val="single" w:sz="2" w:space="0" w:color="8A8A84"/>
              <w:left w:val="single" w:sz="6" w:space="0" w:color="000000"/>
              <w:bottom w:val="single" w:sz="2" w:space="0" w:color="8A8A84"/>
              <w:right w:val="single" w:sz="6" w:space="0" w:color="000000"/>
            </w:tcBorders>
            <w:shd w:val="solid" w:color="EBE7E2" w:fill="auto"/>
            <w:tcMar>
              <w:top w:w="113" w:type="dxa"/>
              <w:left w:w="113" w:type="dxa"/>
              <w:bottom w:w="113" w:type="dxa"/>
              <w:right w:w="80" w:type="dxa"/>
            </w:tcMar>
          </w:tcPr>
          <w:p w14:paraId="7A7B9EC3" w14:textId="77777777" w:rsidR="00AF2A14" w:rsidRDefault="00AF2A14">
            <w:pPr>
              <w:pStyle w:val="Tabletext"/>
              <w:jc w:val="right"/>
            </w:pPr>
            <w:r>
              <w:t>74</w:t>
            </w:r>
          </w:p>
        </w:tc>
        <w:tc>
          <w:tcPr>
            <w:tcW w:w="1121" w:type="dxa"/>
            <w:tcBorders>
              <w:top w:val="single" w:sz="2" w:space="0" w:color="8A8A84"/>
              <w:left w:val="single" w:sz="6" w:space="0" w:color="000000"/>
              <w:bottom w:val="single" w:sz="2" w:space="0" w:color="8A8A84"/>
              <w:right w:val="single" w:sz="6" w:space="0" w:color="000000"/>
            </w:tcBorders>
            <w:shd w:val="solid" w:color="EBE7E2" w:fill="auto"/>
            <w:tcMar>
              <w:top w:w="113" w:type="dxa"/>
              <w:left w:w="113" w:type="dxa"/>
              <w:bottom w:w="113" w:type="dxa"/>
              <w:right w:w="80" w:type="dxa"/>
            </w:tcMar>
          </w:tcPr>
          <w:p w14:paraId="73868EE4" w14:textId="77777777" w:rsidR="00AF2A14" w:rsidRDefault="00AF2A14">
            <w:pPr>
              <w:pStyle w:val="Tabletext"/>
              <w:jc w:val="right"/>
            </w:pPr>
            <w:r>
              <w:t>18</w:t>
            </w:r>
          </w:p>
        </w:tc>
        <w:tc>
          <w:tcPr>
            <w:tcW w:w="937" w:type="dxa"/>
            <w:tcBorders>
              <w:top w:val="single" w:sz="2" w:space="0" w:color="8A8A84"/>
              <w:left w:val="single" w:sz="6" w:space="0" w:color="000000"/>
              <w:bottom w:val="single" w:sz="2" w:space="0" w:color="8A8A84"/>
              <w:right w:val="single" w:sz="6" w:space="0" w:color="000000"/>
            </w:tcBorders>
            <w:shd w:val="solid" w:color="EBE7E2" w:fill="auto"/>
            <w:tcMar>
              <w:top w:w="113" w:type="dxa"/>
              <w:left w:w="113" w:type="dxa"/>
              <w:bottom w:w="113" w:type="dxa"/>
              <w:right w:w="80" w:type="dxa"/>
            </w:tcMar>
          </w:tcPr>
          <w:p w14:paraId="0C24C694" w14:textId="77777777" w:rsidR="00AF2A14" w:rsidRDefault="00AF2A14">
            <w:pPr>
              <w:pStyle w:val="Tabletext"/>
              <w:jc w:val="right"/>
            </w:pPr>
            <w:r>
              <w:t>92</w:t>
            </w:r>
          </w:p>
        </w:tc>
        <w:tc>
          <w:tcPr>
            <w:tcW w:w="992" w:type="dxa"/>
            <w:tcBorders>
              <w:top w:val="single" w:sz="2" w:space="0" w:color="8A8A84"/>
              <w:left w:val="single" w:sz="6" w:space="0" w:color="000000"/>
              <w:bottom w:val="single" w:sz="2" w:space="0" w:color="8A8A84"/>
              <w:right w:val="single" w:sz="6" w:space="0" w:color="000000"/>
            </w:tcBorders>
            <w:shd w:val="solid" w:color="EBE7E2" w:fill="auto"/>
            <w:tcMar>
              <w:top w:w="113" w:type="dxa"/>
              <w:left w:w="113" w:type="dxa"/>
              <w:bottom w:w="113" w:type="dxa"/>
              <w:right w:w="80" w:type="dxa"/>
            </w:tcMar>
          </w:tcPr>
          <w:p w14:paraId="79E2D814" w14:textId="77777777" w:rsidR="00AF2A14" w:rsidRDefault="00AF2A14">
            <w:pPr>
              <w:pStyle w:val="Tabletext"/>
              <w:jc w:val="right"/>
            </w:pPr>
            <w:r>
              <w:t>152</w:t>
            </w:r>
          </w:p>
        </w:tc>
        <w:tc>
          <w:tcPr>
            <w:tcW w:w="1134" w:type="dxa"/>
            <w:tcBorders>
              <w:top w:val="single" w:sz="2" w:space="0" w:color="8A8A84"/>
              <w:left w:val="single" w:sz="6" w:space="0" w:color="000000"/>
              <w:bottom w:val="single" w:sz="2" w:space="0" w:color="8A8A84"/>
              <w:right w:val="single" w:sz="6" w:space="0" w:color="FFFFFF"/>
            </w:tcBorders>
            <w:shd w:val="solid" w:color="EBE7E2" w:fill="auto"/>
            <w:tcMar>
              <w:top w:w="113" w:type="dxa"/>
              <w:left w:w="113" w:type="dxa"/>
              <w:bottom w:w="113" w:type="dxa"/>
              <w:right w:w="80" w:type="dxa"/>
            </w:tcMar>
          </w:tcPr>
          <w:p w14:paraId="0E887FF0" w14:textId="77777777" w:rsidR="00AF2A14" w:rsidRDefault="00AF2A14">
            <w:pPr>
              <w:pStyle w:val="Tabletext"/>
              <w:jc w:val="right"/>
            </w:pPr>
            <w:r>
              <w:t>124</w:t>
            </w:r>
          </w:p>
        </w:tc>
        <w:tc>
          <w:tcPr>
            <w:tcW w:w="850" w:type="dxa"/>
            <w:tcBorders>
              <w:top w:val="single" w:sz="2" w:space="0" w:color="8A8A84"/>
              <w:left w:val="single" w:sz="6" w:space="0" w:color="FFFFFF"/>
              <w:bottom w:val="single" w:sz="2" w:space="0" w:color="8A8A84"/>
              <w:right w:val="single" w:sz="6" w:space="0" w:color="000000"/>
            </w:tcBorders>
            <w:shd w:val="solid" w:color="EBE7E2" w:fill="auto"/>
            <w:tcMar>
              <w:top w:w="113" w:type="dxa"/>
              <w:left w:w="113" w:type="dxa"/>
              <w:bottom w:w="113" w:type="dxa"/>
              <w:right w:w="80" w:type="dxa"/>
            </w:tcMar>
          </w:tcPr>
          <w:p w14:paraId="25A0D9A7" w14:textId="77777777" w:rsidR="00AF2A14" w:rsidRDefault="00AF2A14">
            <w:pPr>
              <w:pStyle w:val="Tabletext"/>
              <w:jc w:val="right"/>
            </w:pPr>
            <w:r>
              <w:t>276</w:t>
            </w:r>
          </w:p>
        </w:tc>
      </w:tr>
      <w:tr w:rsidR="00866A98" w14:paraId="4F33E6A4" w14:textId="77777777" w:rsidTr="00866A98">
        <w:trPr>
          <w:trHeight w:val="60"/>
        </w:trPr>
        <w:tc>
          <w:tcPr>
            <w:tcW w:w="2494" w:type="dxa"/>
            <w:tcBorders>
              <w:top w:val="single" w:sz="2" w:space="0" w:color="8A8A84"/>
              <w:left w:val="single" w:sz="6" w:space="0" w:color="FFFFFF"/>
              <w:bottom w:val="single" w:sz="2" w:space="0" w:color="8A8A84"/>
              <w:right w:val="single" w:sz="6" w:space="0" w:color="000000"/>
            </w:tcBorders>
            <w:shd w:val="solid" w:color="EBE7E2" w:fill="auto"/>
            <w:tcMar>
              <w:top w:w="113" w:type="dxa"/>
              <w:left w:w="113" w:type="dxa"/>
              <w:bottom w:w="113" w:type="dxa"/>
              <w:right w:w="80" w:type="dxa"/>
            </w:tcMar>
          </w:tcPr>
          <w:p w14:paraId="48C4B7DB" w14:textId="77777777" w:rsidR="00AF2A14" w:rsidRDefault="00AF2A14">
            <w:pPr>
              <w:pStyle w:val="Tabletextbold"/>
            </w:pPr>
            <w:r>
              <w:t>APS 5</w:t>
            </w:r>
          </w:p>
        </w:tc>
        <w:tc>
          <w:tcPr>
            <w:tcW w:w="977" w:type="dxa"/>
            <w:tcBorders>
              <w:top w:val="single" w:sz="2" w:space="0" w:color="8A8A84"/>
              <w:left w:val="single" w:sz="6" w:space="0" w:color="000000"/>
              <w:bottom w:val="single" w:sz="2" w:space="0" w:color="8A8A84"/>
              <w:right w:val="single" w:sz="6" w:space="0" w:color="000000"/>
            </w:tcBorders>
            <w:shd w:val="solid" w:color="EBE7E2" w:fill="auto"/>
            <w:tcMar>
              <w:top w:w="113" w:type="dxa"/>
              <w:left w:w="113" w:type="dxa"/>
              <w:bottom w:w="113" w:type="dxa"/>
              <w:right w:w="80" w:type="dxa"/>
            </w:tcMar>
          </w:tcPr>
          <w:p w14:paraId="3DCE305D" w14:textId="77777777" w:rsidR="00AF2A14" w:rsidRDefault="00AF2A14">
            <w:pPr>
              <w:pStyle w:val="Tabletext"/>
              <w:jc w:val="right"/>
            </w:pPr>
            <w:r>
              <w:t>196</w:t>
            </w:r>
          </w:p>
        </w:tc>
        <w:tc>
          <w:tcPr>
            <w:tcW w:w="1121" w:type="dxa"/>
            <w:tcBorders>
              <w:top w:val="single" w:sz="2" w:space="0" w:color="8A8A84"/>
              <w:left w:val="single" w:sz="6" w:space="0" w:color="000000"/>
              <w:bottom w:val="single" w:sz="2" w:space="0" w:color="8A8A84"/>
              <w:right w:val="single" w:sz="6" w:space="0" w:color="000000"/>
            </w:tcBorders>
            <w:shd w:val="solid" w:color="EBE7E2" w:fill="auto"/>
            <w:tcMar>
              <w:top w:w="113" w:type="dxa"/>
              <w:left w:w="113" w:type="dxa"/>
              <w:bottom w:w="113" w:type="dxa"/>
              <w:right w:w="80" w:type="dxa"/>
            </w:tcMar>
          </w:tcPr>
          <w:p w14:paraId="2A223787" w14:textId="77777777" w:rsidR="00AF2A14" w:rsidRDefault="00AF2A14">
            <w:pPr>
              <w:pStyle w:val="Tabletext"/>
              <w:jc w:val="right"/>
            </w:pPr>
            <w:r>
              <w:t>19</w:t>
            </w:r>
          </w:p>
        </w:tc>
        <w:tc>
          <w:tcPr>
            <w:tcW w:w="937" w:type="dxa"/>
            <w:tcBorders>
              <w:top w:val="single" w:sz="2" w:space="0" w:color="8A8A84"/>
              <w:left w:val="single" w:sz="6" w:space="0" w:color="000000"/>
              <w:bottom w:val="single" w:sz="2" w:space="0" w:color="8A8A84"/>
              <w:right w:val="single" w:sz="6" w:space="0" w:color="000000"/>
            </w:tcBorders>
            <w:shd w:val="solid" w:color="EBE7E2" w:fill="auto"/>
            <w:tcMar>
              <w:top w:w="113" w:type="dxa"/>
              <w:left w:w="113" w:type="dxa"/>
              <w:bottom w:w="113" w:type="dxa"/>
              <w:right w:w="80" w:type="dxa"/>
            </w:tcMar>
          </w:tcPr>
          <w:p w14:paraId="7DB9046A" w14:textId="77777777" w:rsidR="00AF2A14" w:rsidRDefault="00AF2A14">
            <w:pPr>
              <w:pStyle w:val="Tabletext"/>
              <w:jc w:val="right"/>
            </w:pPr>
            <w:r>
              <w:t>215</w:t>
            </w:r>
          </w:p>
        </w:tc>
        <w:tc>
          <w:tcPr>
            <w:tcW w:w="992" w:type="dxa"/>
            <w:tcBorders>
              <w:top w:val="single" w:sz="2" w:space="0" w:color="8A8A84"/>
              <w:left w:val="single" w:sz="6" w:space="0" w:color="000000"/>
              <w:bottom w:val="single" w:sz="2" w:space="0" w:color="8A8A84"/>
              <w:right w:val="single" w:sz="6" w:space="0" w:color="000000"/>
            </w:tcBorders>
            <w:shd w:val="solid" w:color="EBE7E2" w:fill="auto"/>
            <w:tcMar>
              <w:top w:w="113" w:type="dxa"/>
              <w:left w:w="113" w:type="dxa"/>
              <w:bottom w:w="113" w:type="dxa"/>
              <w:right w:w="80" w:type="dxa"/>
            </w:tcMar>
          </w:tcPr>
          <w:p w14:paraId="3DEB5690" w14:textId="77777777" w:rsidR="00AF2A14" w:rsidRDefault="00AF2A14">
            <w:pPr>
              <w:pStyle w:val="Tabletext"/>
              <w:jc w:val="right"/>
            </w:pPr>
            <w:r>
              <w:t>295</w:t>
            </w:r>
          </w:p>
        </w:tc>
        <w:tc>
          <w:tcPr>
            <w:tcW w:w="1134" w:type="dxa"/>
            <w:tcBorders>
              <w:top w:val="single" w:sz="2" w:space="0" w:color="8A8A84"/>
              <w:left w:val="single" w:sz="6" w:space="0" w:color="000000"/>
              <w:bottom w:val="single" w:sz="2" w:space="0" w:color="8A8A84"/>
              <w:right w:val="single" w:sz="6" w:space="0" w:color="FFFFFF"/>
            </w:tcBorders>
            <w:shd w:val="solid" w:color="EBE7E2" w:fill="auto"/>
            <w:tcMar>
              <w:top w:w="113" w:type="dxa"/>
              <w:left w:w="113" w:type="dxa"/>
              <w:bottom w:w="113" w:type="dxa"/>
              <w:right w:w="80" w:type="dxa"/>
            </w:tcMar>
          </w:tcPr>
          <w:p w14:paraId="08649620" w14:textId="77777777" w:rsidR="00AF2A14" w:rsidRDefault="00AF2A14">
            <w:pPr>
              <w:pStyle w:val="Tabletext"/>
              <w:jc w:val="right"/>
            </w:pPr>
            <w:r>
              <w:t>88</w:t>
            </w:r>
          </w:p>
        </w:tc>
        <w:tc>
          <w:tcPr>
            <w:tcW w:w="850" w:type="dxa"/>
            <w:tcBorders>
              <w:top w:val="single" w:sz="2" w:space="0" w:color="8A8A84"/>
              <w:left w:val="single" w:sz="6" w:space="0" w:color="FFFFFF"/>
              <w:bottom w:val="single" w:sz="2" w:space="0" w:color="8A8A84"/>
              <w:right w:val="single" w:sz="6" w:space="0" w:color="000000"/>
            </w:tcBorders>
            <w:shd w:val="solid" w:color="EBE7E2" w:fill="auto"/>
            <w:tcMar>
              <w:top w:w="113" w:type="dxa"/>
              <w:left w:w="113" w:type="dxa"/>
              <w:bottom w:w="113" w:type="dxa"/>
              <w:right w:w="80" w:type="dxa"/>
            </w:tcMar>
          </w:tcPr>
          <w:p w14:paraId="15E00BDD" w14:textId="77777777" w:rsidR="00AF2A14" w:rsidRDefault="00AF2A14">
            <w:pPr>
              <w:pStyle w:val="Tabletext"/>
              <w:jc w:val="right"/>
            </w:pPr>
            <w:r>
              <w:t>383</w:t>
            </w:r>
          </w:p>
        </w:tc>
      </w:tr>
      <w:tr w:rsidR="00866A98" w14:paraId="4D1387CF" w14:textId="77777777" w:rsidTr="00866A98">
        <w:trPr>
          <w:trHeight w:val="60"/>
        </w:trPr>
        <w:tc>
          <w:tcPr>
            <w:tcW w:w="2494" w:type="dxa"/>
            <w:tcBorders>
              <w:top w:val="single" w:sz="2" w:space="0" w:color="8A8A84"/>
              <w:left w:val="single" w:sz="6" w:space="0" w:color="FFFFFF"/>
              <w:bottom w:val="single" w:sz="2" w:space="0" w:color="8A8A84"/>
              <w:right w:val="single" w:sz="6" w:space="0" w:color="000000"/>
            </w:tcBorders>
            <w:shd w:val="solid" w:color="EBE7E2" w:fill="auto"/>
            <w:tcMar>
              <w:top w:w="113" w:type="dxa"/>
              <w:left w:w="113" w:type="dxa"/>
              <w:bottom w:w="113" w:type="dxa"/>
              <w:right w:w="80" w:type="dxa"/>
            </w:tcMar>
          </w:tcPr>
          <w:p w14:paraId="1523F4C0" w14:textId="77777777" w:rsidR="00AF2A14" w:rsidRDefault="00AF2A14">
            <w:pPr>
              <w:pStyle w:val="Tabletextbold"/>
            </w:pPr>
            <w:r>
              <w:t>APS 6</w:t>
            </w:r>
          </w:p>
        </w:tc>
        <w:tc>
          <w:tcPr>
            <w:tcW w:w="977" w:type="dxa"/>
            <w:tcBorders>
              <w:top w:val="single" w:sz="2" w:space="0" w:color="8A8A84"/>
              <w:left w:val="single" w:sz="6" w:space="0" w:color="000000"/>
              <w:bottom w:val="single" w:sz="2" w:space="0" w:color="8A8A84"/>
              <w:right w:val="single" w:sz="6" w:space="0" w:color="000000"/>
            </w:tcBorders>
            <w:shd w:val="solid" w:color="EBE7E2" w:fill="auto"/>
            <w:tcMar>
              <w:top w:w="113" w:type="dxa"/>
              <w:left w:w="113" w:type="dxa"/>
              <w:bottom w:w="113" w:type="dxa"/>
              <w:right w:w="80" w:type="dxa"/>
            </w:tcMar>
          </w:tcPr>
          <w:p w14:paraId="1F71350E" w14:textId="77777777" w:rsidR="00AF2A14" w:rsidRDefault="00AF2A14">
            <w:pPr>
              <w:pStyle w:val="Tabletext"/>
              <w:jc w:val="right"/>
            </w:pPr>
            <w:r>
              <w:t>240</w:t>
            </w:r>
          </w:p>
        </w:tc>
        <w:tc>
          <w:tcPr>
            <w:tcW w:w="1121" w:type="dxa"/>
            <w:tcBorders>
              <w:top w:val="single" w:sz="2" w:space="0" w:color="8A8A84"/>
              <w:left w:val="single" w:sz="6" w:space="0" w:color="000000"/>
              <w:bottom w:val="single" w:sz="2" w:space="0" w:color="8A8A84"/>
              <w:right w:val="single" w:sz="6" w:space="0" w:color="000000"/>
            </w:tcBorders>
            <w:shd w:val="solid" w:color="EBE7E2" w:fill="auto"/>
            <w:tcMar>
              <w:top w:w="113" w:type="dxa"/>
              <w:left w:w="113" w:type="dxa"/>
              <w:bottom w:w="113" w:type="dxa"/>
              <w:right w:w="80" w:type="dxa"/>
            </w:tcMar>
          </w:tcPr>
          <w:p w14:paraId="550D229E" w14:textId="77777777" w:rsidR="00AF2A14" w:rsidRDefault="00AF2A14">
            <w:pPr>
              <w:pStyle w:val="Tabletext"/>
              <w:jc w:val="right"/>
            </w:pPr>
            <w:r>
              <w:t>13</w:t>
            </w:r>
          </w:p>
        </w:tc>
        <w:tc>
          <w:tcPr>
            <w:tcW w:w="937" w:type="dxa"/>
            <w:tcBorders>
              <w:top w:val="single" w:sz="2" w:space="0" w:color="8A8A84"/>
              <w:left w:val="single" w:sz="6" w:space="0" w:color="000000"/>
              <w:bottom w:val="single" w:sz="2" w:space="0" w:color="8A8A84"/>
              <w:right w:val="single" w:sz="6" w:space="0" w:color="000000"/>
            </w:tcBorders>
            <w:shd w:val="solid" w:color="EBE7E2" w:fill="auto"/>
            <w:tcMar>
              <w:top w:w="113" w:type="dxa"/>
              <w:left w:w="113" w:type="dxa"/>
              <w:bottom w:w="113" w:type="dxa"/>
              <w:right w:w="80" w:type="dxa"/>
            </w:tcMar>
          </w:tcPr>
          <w:p w14:paraId="73F5DAA4" w14:textId="77777777" w:rsidR="00AF2A14" w:rsidRDefault="00AF2A14">
            <w:pPr>
              <w:pStyle w:val="Tabletext"/>
              <w:jc w:val="right"/>
            </w:pPr>
            <w:r>
              <w:t>253</w:t>
            </w:r>
          </w:p>
        </w:tc>
        <w:tc>
          <w:tcPr>
            <w:tcW w:w="992" w:type="dxa"/>
            <w:tcBorders>
              <w:top w:val="single" w:sz="2" w:space="0" w:color="8A8A84"/>
              <w:left w:val="single" w:sz="6" w:space="0" w:color="000000"/>
              <w:bottom w:val="single" w:sz="2" w:space="0" w:color="8A8A84"/>
              <w:right w:val="single" w:sz="6" w:space="0" w:color="000000"/>
            </w:tcBorders>
            <w:shd w:val="solid" w:color="EBE7E2" w:fill="auto"/>
            <w:tcMar>
              <w:top w:w="113" w:type="dxa"/>
              <w:left w:w="113" w:type="dxa"/>
              <w:bottom w:w="113" w:type="dxa"/>
              <w:right w:w="80" w:type="dxa"/>
            </w:tcMar>
          </w:tcPr>
          <w:p w14:paraId="39D1BE37" w14:textId="77777777" w:rsidR="00AF2A14" w:rsidRDefault="00AF2A14">
            <w:pPr>
              <w:pStyle w:val="Tabletext"/>
              <w:jc w:val="right"/>
            </w:pPr>
            <w:r>
              <w:t>336</w:t>
            </w:r>
          </w:p>
        </w:tc>
        <w:tc>
          <w:tcPr>
            <w:tcW w:w="1134" w:type="dxa"/>
            <w:tcBorders>
              <w:top w:val="single" w:sz="2" w:space="0" w:color="8A8A84"/>
              <w:left w:val="single" w:sz="6" w:space="0" w:color="000000"/>
              <w:bottom w:val="single" w:sz="2" w:space="0" w:color="8A8A84"/>
              <w:right w:val="single" w:sz="6" w:space="0" w:color="FFFFFF"/>
            </w:tcBorders>
            <w:shd w:val="solid" w:color="EBE7E2" w:fill="auto"/>
            <w:tcMar>
              <w:top w:w="113" w:type="dxa"/>
              <w:left w:w="113" w:type="dxa"/>
              <w:bottom w:w="113" w:type="dxa"/>
              <w:right w:w="80" w:type="dxa"/>
            </w:tcMar>
          </w:tcPr>
          <w:p w14:paraId="3E7B088A" w14:textId="77777777" w:rsidR="00AF2A14" w:rsidRDefault="00AF2A14">
            <w:pPr>
              <w:pStyle w:val="Tabletext"/>
              <w:jc w:val="right"/>
            </w:pPr>
            <w:r>
              <w:t>25</w:t>
            </w:r>
          </w:p>
        </w:tc>
        <w:tc>
          <w:tcPr>
            <w:tcW w:w="850" w:type="dxa"/>
            <w:tcBorders>
              <w:top w:val="single" w:sz="2" w:space="0" w:color="8A8A84"/>
              <w:left w:val="single" w:sz="6" w:space="0" w:color="FFFFFF"/>
              <w:bottom w:val="single" w:sz="2" w:space="0" w:color="8A8A84"/>
              <w:right w:val="single" w:sz="6" w:space="0" w:color="000000"/>
            </w:tcBorders>
            <w:shd w:val="solid" w:color="EBE7E2" w:fill="auto"/>
            <w:tcMar>
              <w:top w:w="113" w:type="dxa"/>
              <w:left w:w="113" w:type="dxa"/>
              <w:bottom w:w="113" w:type="dxa"/>
              <w:right w:w="80" w:type="dxa"/>
            </w:tcMar>
          </w:tcPr>
          <w:p w14:paraId="110377B1" w14:textId="77777777" w:rsidR="00AF2A14" w:rsidRDefault="00AF2A14">
            <w:pPr>
              <w:pStyle w:val="Tabletext"/>
              <w:jc w:val="right"/>
            </w:pPr>
            <w:r>
              <w:t>361</w:t>
            </w:r>
          </w:p>
        </w:tc>
      </w:tr>
      <w:tr w:rsidR="00866A98" w14:paraId="6B41699D" w14:textId="77777777" w:rsidTr="00866A98">
        <w:trPr>
          <w:trHeight w:val="60"/>
        </w:trPr>
        <w:tc>
          <w:tcPr>
            <w:tcW w:w="2494" w:type="dxa"/>
            <w:tcBorders>
              <w:top w:val="single" w:sz="2" w:space="0" w:color="8A8A84"/>
              <w:left w:val="single" w:sz="6" w:space="0" w:color="FFFFFF"/>
              <w:bottom w:val="single" w:sz="2" w:space="0" w:color="8A8A84"/>
              <w:right w:val="single" w:sz="6" w:space="0" w:color="000000"/>
            </w:tcBorders>
            <w:shd w:val="solid" w:color="EBE7E2" w:fill="auto"/>
            <w:tcMar>
              <w:top w:w="113" w:type="dxa"/>
              <w:left w:w="113" w:type="dxa"/>
              <w:bottom w:w="113" w:type="dxa"/>
              <w:right w:w="80" w:type="dxa"/>
            </w:tcMar>
          </w:tcPr>
          <w:p w14:paraId="014DE71F" w14:textId="77777777" w:rsidR="00AF2A14" w:rsidRDefault="00AF2A14">
            <w:pPr>
              <w:pStyle w:val="Tabletextbold"/>
            </w:pPr>
            <w:r>
              <w:t>EL 1</w:t>
            </w:r>
          </w:p>
        </w:tc>
        <w:tc>
          <w:tcPr>
            <w:tcW w:w="977" w:type="dxa"/>
            <w:tcBorders>
              <w:top w:val="single" w:sz="2" w:space="0" w:color="8A8A84"/>
              <w:left w:val="single" w:sz="6" w:space="0" w:color="000000"/>
              <w:bottom w:val="single" w:sz="2" w:space="0" w:color="8A8A84"/>
              <w:right w:val="single" w:sz="6" w:space="0" w:color="000000"/>
            </w:tcBorders>
            <w:shd w:val="solid" w:color="EBE7E2" w:fill="auto"/>
            <w:tcMar>
              <w:top w:w="113" w:type="dxa"/>
              <w:left w:w="113" w:type="dxa"/>
              <w:bottom w:w="113" w:type="dxa"/>
              <w:right w:w="80" w:type="dxa"/>
            </w:tcMar>
          </w:tcPr>
          <w:p w14:paraId="24A8385A" w14:textId="77777777" w:rsidR="00AF2A14" w:rsidRDefault="00AF2A14">
            <w:pPr>
              <w:pStyle w:val="Tabletext"/>
              <w:jc w:val="right"/>
            </w:pPr>
            <w:r>
              <w:t>107</w:t>
            </w:r>
          </w:p>
        </w:tc>
        <w:tc>
          <w:tcPr>
            <w:tcW w:w="1121" w:type="dxa"/>
            <w:tcBorders>
              <w:top w:val="single" w:sz="2" w:space="0" w:color="8A8A84"/>
              <w:left w:val="single" w:sz="6" w:space="0" w:color="000000"/>
              <w:bottom w:val="single" w:sz="2" w:space="0" w:color="8A8A84"/>
              <w:right w:val="single" w:sz="6" w:space="0" w:color="000000"/>
            </w:tcBorders>
            <w:shd w:val="solid" w:color="EBE7E2" w:fill="auto"/>
            <w:tcMar>
              <w:top w:w="113" w:type="dxa"/>
              <w:left w:w="113" w:type="dxa"/>
              <w:bottom w:w="113" w:type="dxa"/>
              <w:right w:w="80" w:type="dxa"/>
            </w:tcMar>
          </w:tcPr>
          <w:p w14:paraId="64868EFD" w14:textId="77777777" w:rsidR="00AF2A14" w:rsidRDefault="00AF2A14">
            <w:pPr>
              <w:pStyle w:val="Tabletext"/>
              <w:jc w:val="right"/>
            </w:pPr>
            <w:r>
              <w:t>13</w:t>
            </w:r>
          </w:p>
        </w:tc>
        <w:tc>
          <w:tcPr>
            <w:tcW w:w="937" w:type="dxa"/>
            <w:tcBorders>
              <w:top w:val="single" w:sz="2" w:space="0" w:color="8A8A84"/>
              <w:left w:val="single" w:sz="6" w:space="0" w:color="000000"/>
              <w:bottom w:val="single" w:sz="2" w:space="0" w:color="8A8A84"/>
              <w:right w:val="single" w:sz="6" w:space="0" w:color="000000"/>
            </w:tcBorders>
            <w:shd w:val="solid" w:color="EBE7E2" w:fill="auto"/>
            <w:tcMar>
              <w:top w:w="113" w:type="dxa"/>
              <w:left w:w="113" w:type="dxa"/>
              <w:bottom w:w="113" w:type="dxa"/>
              <w:right w:w="80" w:type="dxa"/>
            </w:tcMar>
          </w:tcPr>
          <w:p w14:paraId="19287164" w14:textId="77777777" w:rsidR="00AF2A14" w:rsidRDefault="00AF2A14">
            <w:pPr>
              <w:pStyle w:val="Tabletext"/>
              <w:jc w:val="right"/>
            </w:pPr>
            <w:r>
              <w:t>120</w:t>
            </w:r>
          </w:p>
        </w:tc>
        <w:tc>
          <w:tcPr>
            <w:tcW w:w="992" w:type="dxa"/>
            <w:tcBorders>
              <w:top w:val="single" w:sz="2" w:space="0" w:color="8A8A84"/>
              <w:left w:val="single" w:sz="6" w:space="0" w:color="000000"/>
              <w:bottom w:val="single" w:sz="2" w:space="0" w:color="8A8A84"/>
              <w:right w:val="single" w:sz="6" w:space="0" w:color="000000"/>
            </w:tcBorders>
            <w:shd w:val="solid" w:color="EBE7E2" w:fill="auto"/>
            <w:tcMar>
              <w:top w:w="113" w:type="dxa"/>
              <w:left w:w="113" w:type="dxa"/>
              <w:bottom w:w="113" w:type="dxa"/>
              <w:right w:w="80" w:type="dxa"/>
            </w:tcMar>
          </w:tcPr>
          <w:p w14:paraId="3F92D3A8" w14:textId="77777777" w:rsidR="00AF2A14" w:rsidRDefault="00AF2A14">
            <w:pPr>
              <w:pStyle w:val="Tabletext"/>
              <w:jc w:val="right"/>
            </w:pPr>
            <w:r>
              <w:t>156</w:t>
            </w:r>
          </w:p>
        </w:tc>
        <w:tc>
          <w:tcPr>
            <w:tcW w:w="1134" w:type="dxa"/>
            <w:tcBorders>
              <w:top w:val="single" w:sz="2" w:space="0" w:color="8A8A84"/>
              <w:left w:val="single" w:sz="6" w:space="0" w:color="000000"/>
              <w:bottom w:val="single" w:sz="2" w:space="0" w:color="8A8A84"/>
              <w:right w:val="single" w:sz="6" w:space="0" w:color="FFFFFF"/>
            </w:tcBorders>
            <w:shd w:val="solid" w:color="EBE7E2" w:fill="auto"/>
            <w:tcMar>
              <w:top w:w="113" w:type="dxa"/>
              <w:left w:w="113" w:type="dxa"/>
              <w:bottom w:w="113" w:type="dxa"/>
              <w:right w:w="80" w:type="dxa"/>
            </w:tcMar>
          </w:tcPr>
          <w:p w14:paraId="7ECEB50F" w14:textId="77777777" w:rsidR="00AF2A14" w:rsidRDefault="00AF2A14">
            <w:pPr>
              <w:pStyle w:val="Tabletext"/>
              <w:jc w:val="right"/>
            </w:pPr>
            <w:r>
              <w:t>19</w:t>
            </w:r>
          </w:p>
        </w:tc>
        <w:tc>
          <w:tcPr>
            <w:tcW w:w="850" w:type="dxa"/>
            <w:tcBorders>
              <w:top w:val="single" w:sz="2" w:space="0" w:color="8A8A84"/>
              <w:left w:val="single" w:sz="6" w:space="0" w:color="FFFFFF"/>
              <w:bottom w:val="single" w:sz="2" w:space="0" w:color="8A8A84"/>
              <w:right w:val="single" w:sz="6" w:space="0" w:color="000000"/>
            </w:tcBorders>
            <w:shd w:val="solid" w:color="EBE7E2" w:fill="auto"/>
            <w:tcMar>
              <w:top w:w="113" w:type="dxa"/>
              <w:left w:w="113" w:type="dxa"/>
              <w:bottom w:w="113" w:type="dxa"/>
              <w:right w:w="80" w:type="dxa"/>
            </w:tcMar>
          </w:tcPr>
          <w:p w14:paraId="5B050944" w14:textId="77777777" w:rsidR="00AF2A14" w:rsidRDefault="00AF2A14">
            <w:pPr>
              <w:pStyle w:val="Tabletext"/>
              <w:jc w:val="right"/>
            </w:pPr>
            <w:r>
              <w:t>175</w:t>
            </w:r>
          </w:p>
        </w:tc>
      </w:tr>
      <w:tr w:rsidR="00866A98" w14:paraId="0E02D4AB" w14:textId="77777777" w:rsidTr="00866A98">
        <w:trPr>
          <w:trHeight w:val="60"/>
        </w:trPr>
        <w:tc>
          <w:tcPr>
            <w:tcW w:w="2494" w:type="dxa"/>
            <w:tcBorders>
              <w:top w:val="single" w:sz="2" w:space="0" w:color="8A8A84"/>
              <w:left w:val="single" w:sz="6" w:space="0" w:color="FFFFFF"/>
              <w:bottom w:val="single" w:sz="2" w:space="0" w:color="8A8A84"/>
              <w:right w:val="single" w:sz="6" w:space="0" w:color="000000"/>
            </w:tcBorders>
            <w:shd w:val="solid" w:color="EBE7E2" w:fill="auto"/>
            <w:tcMar>
              <w:top w:w="113" w:type="dxa"/>
              <w:left w:w="113" w:type="dxa"/>
              <w:bottom w:w="113" w:type="dxa"/>
              <w:right w:w="80" w:type="dxa"/>
            </w:tcMar>
          </w:tcPr>
          <w:p w14:paraId="477DAC2A" w14:textId="77777777" w:rsidR="00AF2A14" w:rsidRDefault="00AF2A14">
            <w:pPr>
              <w:pStyle w:val="Tabletextbold"/>
            </w:pPr>
            <w:r>
              <w:t>EL 2</w:t>
            </w:r>
          </w:p>
        </w:tc>
        <w:tc>
          <w:tcPr>
            <w:tcW w:w="977" w:type="dxa"/>
            <w:tcBorders>
              <w:top w:val="single" w:sz="2" w:space="0" w:color="8A8A84"/>
              <w:left w:val="single" w:sz="6" w:space="0" w:color="000000"/>
              <w:bottom w:val="single" w:sz="2" w:space="0" w:color="8A8A84"/>
              <w:right w:val="single" w:sz="6" w:space="0" w:color="000000"/>
            </w:tcBorders>
            <w:shd w:val="solid" w:color="EBE7E2" w:fill="auto"/>
            <w:tcMar>
              <w:top w:w="113" w:type="dxa"/>
              <w:left w:w="113" w:type="dxa"/>
              <w:bottom w:w="113" w:type="dxa"/>
              <w:right w:w="80" w:type="dxa"/>
            </w:tcMar>
          </w:tcPr>
          <w:p w14:paraId="3B42921D" w14:textId="77777777" w:rsidR="00AF2A14" w:rsidRDefault="00AF2A14">
            <w:pPr>
              <w:pStyle w:val="Tabletext"/>
              <w:jc w:val="right"/>
            </w:pPr>
            <w:r>
              <w:t>54</w:t>
            </w:r>
          </w:p>
        </w:tc>
        <w:tc>
          <w:tcPr>
            <w:tcW w:w="1121" w:type="dxa"/>
            <w:tcBorders>
              <w:top w:val="single" w:sz="2" w:space="0" w:color="8A8A84"/>
              <w:left w:val="single" w:sz="6" w:space="0" w:color="000000"/>
              <w:bottom w:val="single" w:sz="2" w:space="0" w:color="8A8A84"/>
              <w:right w:val="single" w:sz="6" w:space="0" w:color="000000"/>
            </w:tcBorders>
            <w:shd w:val="solid" w:color="EBE7E2" w:fill="auto"/>
            <w:tcMar>
              <w:top w:w="113" w:type="dxa"/>
              <w:left w:w="113" w:type="dxa"/>
              <w:bottom w:w="113" w:type="dxa"/>
              <w:right w:w="80" w:type="dxa"/>
            </w:tcMar>
          </w:tcPr>
          <w:p w14:paraId="03EC279F" w14:textId="77777777" w:rsidR="00AF2A14" w:rsidRDefault="00AF2A14">
            <w:pPr>
              <w:pStyle w:val="Tabletext"/>
              <w:jc w:val="right"/>
            </w:pPr>
            <w:r>
              <w:t>19</w:t>
            </w:r>
          </w:p>
        </w:tc>
        <w:tc>
          <w:tcPr>
            <w:tcW w:w="937" w:type="dxa"/>
            <w:tcBorders>
              <w:top w:val="single" w:sz="2" w:space="0" w:color="8A8A84"/>
              <w:left w:val="single" w:sz="6" w:space="0" w:color="000000"/>
              <w:bottom w:val="single" w:sz="2" w:space="0" w:color="8A8A84"/>
              <w:right w:val="single" w:sz="6" w:space="0" w:color="000000"/>
            </w:tcBorders>
            <w:shd w:val="solid" w:color="EBE7E2" w:fill="auto"/>
            <w:tcMar>
              <w:top w:w="113" w:type="dxa"/>
              <w:left w:w="113" w:type="dxa"/>
              <w:bottom w:w="113" w:type="dxa"/>
              <w:right w:w="80" w:type="dxa"/>
            </w:tcMar>
          </w:tcPr>
          <w:p w14:paraId="15B8C45F" w14:textId="77777777" w:rsidR="00AF2A14" w:rsidRDefault="00AF2A14">
            <w:pPr>
              <w:pStyle w:val="Tabletext"/>
              <w:jc w:val="right"/>
            </w:pPr>
            <w:r>
              <w:t>73</w:t>
            </w:r>
          </w:p>
        </w:tc>
        <w:tc>
          <w:tcPr>
            <w:tcW w:w="992" w:type="dxa"/>
            <w:tcBorders>
              <w:top w:val="single" w:sz="2" w:space="0" w:color="8A8A84"/>
              <w:left w:val="single" w:sz="6" w:space="0" w:color="000000"/>
              <w:bottom w:val="single" w:sz="2" w:space="0" w:color="8A8A84"/>
              <w:right w:val="single" w:sz="6" w:space="0" w:color="000000"/>
            </w:tcBorders>
            <w:shd w:val="solid" w:color="EBE7E2" w:fill="auto"/>
            <w:tcMar>
              <w:top w:w="113" w:type="dxa"/>
              <w:left w:w="113" w:type="dxa"/>
              <w:bottom w:w="113" w:type="dxa"/>
              <w:right w:w="80" w:type="dxa"/>
            </w:tcMar>
          </w:tcPr>
          <w:p w14:paraId="6C524088" w14:textId="77777777" w:rsidR="00AF2A14" w:rsidRDefault="00AF2A14">
            <w:pPr>
              <w:pStyle w:val="Tabletext"/>
              <w:jc w:val="right"/>
            </w:pPr>
            <w:r>
              <w:t>81</w:t>
            </w:r>
          </w:p>
        </w:tc>
        <w:tc>
          <w:tcPr>
            <w:tcW w:w="1134" w:type="dxa"/>
            <w:tcBorders>
              <w:top w:val="single" w:sz="2" w:space="0" w:color="8A8A84"/>
              <w:left w:val="single" w:sz="6" w:space="0" w:color="000000"/>
              <w:bottom w:val="single" w:sz="2" w:space="0" w:color="8A8A84"/>
              <w:right w:val="single" w:sz="6" w:space="0" w:color="FFFFFF"/>
            </w:tcBorders>
            <w:shd w:val="solid" w:color="EBE7E2" w:fill="auto"/>
            <w:tcMar>
              <w:top w:w="113" w:type="dxa"/>
              <w:left w:w="113" w:type="dxa"/>
              <w:bottom w:w="113" w:type="dxa"/>
              <w:right w:w="80" w:type="dxa"/>
            </w:tcMar>
          </w:tcPr>
          <w:p w14:paraId="2A82A14F" w14:textId="77777777" w:rsidR="00AF2A14" w:rsidRDefault="00AF2A14">
            <w:pPr>
              <w:pStyle w:val="Tabletext"/>
              <w:jc w:val="right"/>
            </w:pPr>
            <w:r>
              <w:t>13</w:t>
            </w:r>
          </w:p>
        </w:tc>
        <w:tc>
          <w:tcPr>
            <w:tcW w:w="850" w:type="dxa"/>
            <w:tcBorders>
              <w:top w:val="single" w:sz="2" w:space="0" w:color="8A8A84"/>
              <w:left w:val="single" w:sz="6" w:space="0" w:color="FFFFFF"/>
              <w:bottom w:val="single" w:sz="2" w:space="0" w:color="8A8A84"/>
              <w:right w:val="single" w:sz="6" w:space="0" w:color="000000"/>
            </w:tcBorders>
            <w:shd w:val="solid" w:color="EBE7E2" w:fill="auto"/>
            <w:tcMar>
              <w:top w:w="113" w:type="dxa"/>
              <w:left w:w="113" w:type="dxa"/>
              <w:bottom w:w="113" w:type="dxa"/>
              <w:right w:w="80" w:type="dxa"/>
            </w:tcMar>
          </w:tcPr>
          <w:p w14:paraId="70732FEF" w14:textId="77777777" w:rsidR="00AF2A14" w:rsidRDefault="00AF2A14">
            <w:pPr>
              <w:pStyle w:val="Tabletext"/>
              <w:jc w:val="right"/>
            </w:pPr>
            <w:r>
              <w:t>94</w:t>
            </w:r>
          </w:p>
        </w:tc>
      </w:tr>
      <w:tr w:rsidR="00866A98" w14:paraId="680D417C" w14:textId="77777777" w:rsidTr="00866A98">
        <w:trPr>
          <w:trHeight w:val="60"/>
        </w:trPr>
        <w:tc>
          <w:tcPr>
            <w:tcW w:w="2494" w:type="dxa"/>
            <w:tcBorders>
              <w:top w:val="single" w:sz="2" w:space="0" w:color="8A8A84"/>
              <w:left w:val="single" w:sz="6" w:space="0" w:color="FFFFFF"/>
              <w:bottom w:val="single" w:sz="2" w:space="0" w:color="8A8A84"/>
              <w:right w:val="single" w:sz="6" w:space="0" w:color="000000"/>
            </w:tcBorders>
            <w:shd w:val="solid" w:color="EBE7E2" w:fill="auto"/>
            <w:tcMar>
              <w:top w:w="113" w:type="dxa"/>
              <w:left w:w="113" w:type="dxa"/>
              <w:bottom w:w="113" w:type="dxa"/>
              <w:right w:w="80" w:type="dxa"/>
            </w:tcMar>
          </w:tcPr>
          <w:p w14:paraId="1DA56CE1" w14:textId="77777777" w:rsidR="00AF2A14" w:rsidRDefault="00AF2A14">
            <w:pPr>
              <w:pStyle w:val="Tabletextbold"/>
            </w:pPr>
            <w:r>
              <w:t>Legal Officer</w:t>
            </w:r>
          </w:p>
        </w:tc>
        <w:tc>
          <w:tcPr>
            <w:tcW w:w="977" w:type="dxa"/>
            <w:tcBorders>
              <w:top w:val="single" w:sz="2" w:space="0" w:color="8A8A84"/>
              <w:left w:val="single" w:sz="6" w:space="0" w:color="000000"/>
              <w:bottom w:val="single" w:sz="2" w:space="0" w:color="8A8A84"/>
              <w:right w:val="single" w:sz="6" w:space="0" w:color="000000"/>
            </w:tcBorders>
            <w:shd w:val="solid" w:color="EBE7E2" w:fill="auto"/>
            <w:tcMar>
              <w:top w:w="113" w:type="dxa"/>
              <w:left w:w="113" w:type="dxa"/>
              <w:bottom w:w="113" w:type="dxa"/>
              <w:right w:w="80" w:type="dxa"/>
            </w:tcMar>
          </w:tcPr>
          <w:p w14:paraId="6E4EB586" w14:textId="77777777" w:rsidR="00AF2A14" w:rsidRDefault="00AF2A14">
            <w:pPr>
              <w:pStyle w:val="Tabletext"/>
              <w:jc w:val="right"/>
            </w:pPr>
            <w:r>
              <w:t>2</w:t>
            </w:r>
          </w:p>
        </w:tc>
        <w:tc>
          <w:tcPr>
            <w:tcW w:w="1121" w:type="dxa"/>
            <w:tcBorders>
              <w:top w:val="single" w:sz="2" w:space="0" w:color="8A8A84"/>
              <w:left w:val="single" w:sz="6" w:space="0" w:color="000000"/>
              <w:bottom w:val="single" w:sz="2" w:space="0" w:color="8A8A84"/>
              <w:right w:val="single" w:sz="6" w:space="0" w:color="000000"/>
            </w:tcBorders>
            <w:shd w:val="solid" w:color="EBE7E2" w:fill="auto"/>
            <w:tcMar>
              <w:top w:w="113" w:type="dxa"/>
              <w:left w:w="113" w:type="dxa"/>
              <w:bottom w:w="113" w:type="dxa"/>
              <w:right w:w="80" w:type="dxa"/>
            </w:tcMar>
          </w:tcPr>
          <w:p w14:paraId="5C96C1F3" w14:textId="77777777" w:rsidR="00AF2A14" w:rsidRDefault="00AF2A14">
            <w:pPr>
              <w:pStyle w:val="Tabletext"/>
              <w:jc w:val="right"/>
            </w:pPr>
            <w:r>
              <w:t>0</w:t>
            </w:r>
          </w:p>
        </w:tc>
        <w:tc>
          <w:tcPr>
            <w:tcW w:w="937" w:type="dxa"/>
            <w:tcBorders>
              <w:top w:val="single" w:sz="2" w:space="0" w:color="8A8A84"/>
              <w:left w:val="single" w:sz="6" w:space="0" w:color="000000"/>
              <w:bottom w:val="single" w:sz="2" w:space="0" w:color="8A8A84"/>
              <w:right w:val="single" w:sz="6" w:space="0" w:color="000000"/>
            </w:tcBorders>
            <w:shd w:val="solid" w:color="EBE7E2" w:fill="auto"/>
            <w:tcMar>
              <w:top w:w="113" w:type="dxa"/>
              <w:left w:w="113" w:type="dxa"/>
              <w:bottom w:w="113" w:type="dxa"/>
              <w:right w:w="80" w:type="dxa"/>
            </w:tcMar>
          </w:tcPr>
          <w:p w14:paraId="1E9B7340" w14:textId="77777777" w:rsidR="00AF2A14" w:rsidRDefault="00AF2A14">
            <w:pPr>
              <w:pStyle w:val="Tabletext"/>
              <w:jc w:val="right"/>
            </w:pPr>
            <w:r>
              <w:t>2</w:t>
            </w:r>
          </w:p>
        </w:tc>
        <w:tc>
          <w:tcPr>
            <w:tcW w:w="992" w:type="dxa"/>
            <w:tcBorders>
              <w:top w:val="single" w:sz="2" w:space="0" w:color="8A8A84"/>
              <w:left w:val="single" w:sz="6" w:space="0" w:color="000000"/>
              <w:bottom w:val="single" w:sz="2" w:space="0" w:color="8A8A84"/>
              <w:right w:val="single" w:sz="6" w:space="0" w:color="000000"/>
            </w:tcBorders>
            <w:shd w:val="solid" w:color="EBE7E2" w:fill="auto"/>
            <w:tcMar>
              <w:top w:w="113" w:type="dxa"/>
              <w:left w:w="113" w:type="dxa"/>
              <w:bottom w:w="113" w:type="dxa"/>
              <w:right w:w="80" w:type="dxa"/>
            </w:tcMar>
          </w:tcPr>
          <w:p w14:paraId="4CA12E46" w14:textId="77777777" w:rsidR="00AF2A14" w:rsidRDefault="00AF2A14">
            <w:pPr>
              <w:pStyle w:val="Tabletext"/>
              <w:jc w:val="right"/>
            </w:pPr>
            <w:r>
              <w:t>2</w:t>
            </w:r>
          </w:p>
        </w:tc>
        <w:tc>
          <w:tcPr>
            <w:tcW w:w="1134" w:type="dxa"/>
            <w:tcBorders>
              <w:top w:val="single" w:sz="2" w:space="0" w:color="8A8A84"/>
              <w:left w:val="single" w:sz="6" w:space="0" w:color="000000"/>
              <w:bottom w:val="single" w:sz="2" w:space="0" w:color="8A8A84"/>
              <w:right w:val="single" w:sz="6" w:space="0" w:color="FFFFFF"/>
            </w:tcBorders>
            <w:shd w:val="solid" w:color="EBE7E2" w:fill="auto"/>
            <w:tcMar>
              <w:top w:w="113" w:type="dxa"/>
              <w:left w:w="113" w:type="dxa"/>
              <w:bottom w:w="113" w:type="dxa"/>
              <w:right w:w="80" w:type="dxa"/>
            </w:tcMar>
          </w:tcPr>
          <w:p w14:paraId="5E790CF8" w14:textId="77777777" w:rsidR="00AF2A14" w:rsidRDefault="00AF2A14">
            <w:pPr>
              <w:pStyle w:val="Tabletext"/>
              <w:jc w:val="right"/>
            </w:pPr>
            <w:r>
              <w:t>0</w:t>
            </w:r>
          </w:p>
        </w:tc>
        <w:tc>
          <w:tcPr>
            <w:tcW w:w="850" w:type="dxa"/>
            <w:tcBorders>
              <w:top w:val="single" w:sz="2" w:space="0" w:color="8A8A84"/>
              <w:left w:val="single" w:sz="6" w:space="0" w:color="FFFFFF"/>
              <w:bottom w:val="single" w:sz="2" w:space="0" w:color="8A8A84"/>
              <w:right w:val="single" w:sz="6" w:space="0" w:color="000000"/>
            </w:tcBorders>
            <w:shd w:val="solid" w:color="EBE7E2" w:fill="auto"/>
            <w:tcMar>
              <w:top w:w="113" w:type="dxa"/>
              <w:left w:w="113" w:type="dxa"/>
              <w:bottom w:w="113" w:type="dxa"/>
              <w:right w:w="80" w:type="dxa"/>
            </w:tcMar>
          </w:tcPr>
          <w:p w14:paraId="64F36241" w14:textId="77777777" w:rsidR="00AF2A14" w:rsidRDefault="00AF2A14">
            <w:pPr>
              <w:pStyle w:val="Tabletext"/>
              <w:jc w:val="right"/>
            </w:pPr>
            <w:r>
              <w:t>2</w:t>
            </w:r>
          </w:p>
        </w:tc>
      </w:tr>
      <w:tr w:rsidR="00866A98" w14:paraId="1B0FB6FC" w14:textId="77777777" w:rsidTr="00866A98">
        <w:trPr>
          <w:trHeight w:val="60"/>
        </w:trPr>
        <w:tc>
          <w:tcPr>
            <w:tcW w:w="2494" w:type="dxa"/>
            <w:tcBorders>
              <w:top w:val="single" w:sz="2" w:space="0" w:color="8A8A84"/>
              <w:left w:val="single" w:sz="6" w:space="0" w:color="FFFFFF"/>
              <w:bottom w:val="single" w:sz="2" w:space="0" w:color="8A8A84"/>
              <w:right w:val="single" w:sz="6" w:space="0" w:color="000000"/>
            </w:tcBorders>
            <w:shd w:val="solid" w:color="EBE7E2" w:fill="auto"/>
            <w:tcMar>
              <w:top w:w="113" w:type="dxa"/>
              <w:left w:w="113" w:type="dxa"/>
              <w:bottom w:w="113" w:type="dxa"/>
              <w:right w:w="80" w:type="dxa"/>
            </w:tcMar>
          </w:tcPr>
          <w:p w14:paraId="5F962523" w14:textId="77777777" w:rsidR="00AF2A14" w:rsidRDefault="00AF2A14">
            <w:pPr>
              <w:pStyle w:val="Tabletextbold"/>
            </w:pPr>
            <w:r>
              <w:t>Senior Legal Officer</w:t>
            </w:r>
          </w:p>
        </w:tc>
        <w:tc>
          <w:tcPr>
            <w:tcW w:w="977" w:type="dxa"/>
            <w:tcBorders>
              <w:top w:val="single" w:sz="2" w:space="0" w:color="8A8A84"/>
              <w:left w:val="single" w:sz="6" w:space="0" w:color="000000"/>
              <w:bottom w:val="single" w:sz="2" w:space="0" w:color="8A8A84"/>
              <w:right w:val="single" w:sz="6" w:space="0" w:color="000000"/>
            </w:tcBorders>
            <w:shd w:val="solid" w:color="EBE7E2" w:fill="auto"/>
            <w:tcMar>
              <w:top w:w="113" w:type="dxa"/>
              <w:left w:w="113" w:type="dxa"/>
              <w:bottom w:w="113" w:type="dxa"/>
              <w:right w:w="80" w:type="dxa"/>
            </w:tcMar>
          </w:tcPr>
          <w:p w14:paraId="1E1B898E" w14:textId="77777777" w:rsidR="00AF2A14" w:rsidRDefault="00AF2A14">
            <w:pPr>
              <w:pStyle w:val="Tabletext"/>
              <w:jc w:val="right"/>
            </w:pPr>
            <w:r>
              <w:t>3</w:t>
            </w:r>
          </w:p>
        </w:tc>
        <w:tc>
          <w:tcPr>
            <w:tcW w:w="1121" w:type="dxa"/>
            <w:tcBorders>
              <w:top w:val="single" w:sz="2" w:space="0" w:color="8A8A84"/>
              <w:left w:val="single" w:sz="6" w:space="0" w:color="000000"/>
              <w:bottom w:val="single" w:sz="2" w:space="0" w:color="8A8A84"/>
              <w:right w:val="single" w:sz="6" w:space="0" w:color="000000"/>
            </w:tcBorders>
            <w:shd w:val="solid" w:color="EBE7E2" w:fill="auto"/>
            <w:tcMar>
              <w:top w:w="113" w:type="dxa"/>
              <w:left w:w="113" w:type="dxa"/>
              <w:bottom w:w="113" w:type="dxa"/>
              <w:right w:w="80" w:type="dxa"/>
            </w:tcMar>
          </w:tcPr>
          <w:p w14:paraId="2178DE43" w14:textId="77777777" w:rsidR="00AF2A14" w:rsidRDefault="00AF2A14">
            <w:pPr>
              <w:pStyle w:val="Tabletext"/>
              <w:jc w:val="right"/>
            </w:pPr>
            <w:r>
              <w:t>0</w:t>
            </w:r>
          </w:p>
        </w:tc>
        <w:tc>
          <w:tcPr>
            <w:tcW w:w="937" w:type="dxa"/>
            <w:tcBorders>
              <w:top w:val="single" w:sz="2" w:space="0" w:color="8A8A84"/>
              <w:left w:val="single" w:sz="6" w:space="0" w:color="000000"/>
              <w:bottom w:val="single" w:sz="2" w:space="0" w:color="8A8A84"/>
              <w:right w:val="single" w:sz="6" w:space="0" w:color="000000"/>
            </w:tcBorders>
            <w:shd w:val="solid" w:color="EBE7E2" w:fill="auto"/>
            <w:tcMar>
              <w:top w:w="113" w:type="dxa"/>
              <w:left w:w="113" w:type="dxa"/>
              <w:bottom w:w="113" w:type="dxa"/>
              <w:right w:w="80" w:type="dxa"/>
            </w:tcMar>
          </w:tcPr>
          <w:p w14:paraId="34F3635E" w14:textId="77777777" w:rsidR="00AF2A14" w:rsidRDefault="00AF2A14">
            <w:pPr>
              <w:pStyle w:val="Tabletext"/>
              <w:jc w:val="right"/>
            </w:pPr>
            <w:r>
              <w:t>3</w:t>
            </w:r>
          </w:p>
        </w:tc>
        <w:tc>
          <w:tcPr>
            <w:tcW w:w="992" w:type="dxa"/>
            <w:tcBorders>
              <w:top w:val="single" w:sz="2" w:space="0" w:color="8A8A84"/>
              <w:left w:val="single" w:sz="6" w:space="0" w:color="000000"/>
              <w:bottom w:val="single" w:sz="2" w:space="0" w:color="8A8A84"/>
              <w:right w:val="single" w:sz="6" w:space="0" w:color="000000"/>
            </w:tcBorders>
            <w:shd w:val="solid" w:color="EBE7E2" w:fill="auto"/>
            <w:tcMar>
              <w:top w:w="113" w:type="dxa"/>
              <w:left w:w="113" w:type="dxa"/>
              <w:bottom w:w="113" w:type="dxa"/>
              <w:right w:w="80" w:type="dxa"/>
            </w:tcMar>
          </w:tcPr>
          <w:p w14:paraId="7837DB5F" w14:textId="77777777" w:rsidR="00AF2A14" w:rsidRDefault="00AF2A14">
            <w:pPr>
              <w:pStyle w:val="Tabletext"/>
              <w:jc w:val="right"/>
            </w:pPr>
            <w:r>
              <w:t>3</w:t>
            </w:r>
          </w:p>
        </w:tc>
        <w:tc>
          <w:tcPr>
            <w:tcW w:w="1134" w:type="dxa"/>
            <w:tcBorders>
              <w:top w:val="single" w:sz="2" w:space="0" w:color="8A8A84"/>
              <w:left w:val="single" w:sz="6" w:space="0" w:color="000000"/>
              <w:bottom w:val="single" w:sz="2" w:space="0" w:color="8A8A84"/>
              <w:right w:val="single" w:sz="6" w:space="0" w:color="FFFFFF"/>
            </w:tcBorders>
            <w:shd w:val="solid" w:color="EBE7E2" w:fill="auto"/>
            <w:tcMar>
              <w:top w:w="113" w:type="dxa"/>
              <w:left w:w="113" w:type="dxa"/>
              <w:bottom w:w="113" w:type="dxa"/>
              <w:right w:w="80" w:type="dxa"/>
            </w:tcMar>
          </w:tcPr>
          <w:p w14:paraId="11E7BDA1" w14:textId="77777777" w:rsidR="00AF2A14" w:rsidRDefault="00AF2A14">
            <w:pPr>
              <w:pStyle w:val="Tabletext"/>
              <w:jc w:val="right"/>
            </w:pPr>
            <w:r>
              <w:t>2</w:t>
            </w:r>
          </w:p>
        </w:tc>
        <w:tc>
          <w:tcPr>
            <w:tcW w:w="850" w:type="dxa"/>
            <w:tcBorders>
              <w:top w:val="single" w:sz="2" w:space="0" w:color="8A8A84"/>
              <w:left w:val="single" w:sz="6" w:space="0" w:color="FFFFFF"/>
              <w:bottom w:val="single" w:sz="2" w:space="0" w:color="8A8A84"/>
              <w:right w:val="single" w:sz="6" w:space="0" w:color="000000"/>
            </w:tcBorders>
            <w:shd w:val="solid" w:color="EBE7E2" w:fill="auto"/>
            <w:tcMar>
              <w:top w:w="113" w:type="dxa"/>
              <w:left w:w="113" w:type="dxa"/>
              <w:bottom w:w="113" w:type="dxa"/>
              <w:right w:w="80" w:type="dxa"/>
            </w:tcMar>
          </w:tcPr>
          <w:p w14:paraId="0262958B" w14:textId="77777777" w:rsidR="00AF2A14" w:rsidRDefault="00AF2A14">
            <w:pPr>
              <w:pStyle w:val="Tabletext"/>
              <w:jc w:val="right"/>
            </w:pPr>
            <w:r>
              <w:t>5</w:t>
            </w:r>
          </w:p>
        </w:tc>
      </w:tr>
      <w:tr w:rsidR="00866A98" w14:paraId="7811BCD5" w14:textId="77777777" w:rsidTr="00866A98">
        <w:trPr>
          <w:trHeight w:val="60"/>
        </w:trPr>
        <w:tc>
          <w:tcPr>
            <w:tcW w:w="2494" w:type="dxa"/>
            <w:tcBorders>
              <w:top w:val="single" w:sz="2" w:space="0" w:color="8A8A84"/>
              <w:left w:val="single" w:sz="6" w:space="0" w:color="FFFFFF"/>
              <w:bottom w:val="single" w:sz="2" w:space="0" w:color="8A8A84"/>
              <w:right w:val="single" w:sz="6" w:space="0" w:color="000000"/>
            </w:tcBorders>
            <w:shd w:val="solid" w:color="EBE7E2" w:fill="auto"/>
            <w:tcMar>
              <w:top w:w="113" w:type="dxa"/>
              <w:left w:w="113" w:type="dxa"/>
              <w:bottom w:w="113" w:type="dxa"/>
              <w:right w:w="80" w:type="dxa"/>
            </w:tcMar>
          </w:tcPr>
          <w:p w14:paraId="44EBB1F3" w14:textId="77777777" w:rsidR="00AF2A14" w:rsidRDefault="00AF2A14">
            <w:pPr>
              <w:pStyle w:val="Tabletextbold"/>
            </w:pPr>
            <w:r>
              <w:lastRenderedPageBreak/>
              <w:t>Principal Legal Officer</w:t>
            </w:r>
          </w:p>
        </w:tc>
        <w:tc>
          <w:tcPr>
            <w:tcW w:w="977" w:type="dxa"/>
            <w:tcBorders>
              <w:top w:val="single" w:sz="2" w:space="0" w:color="8A8A84"/>
              <w:left w:val="single" w:sz="6" w:space="0" w:color="000000"/>
              <w:bottom w:val="single" w:sz="2" w:space="0" w:color="8A8A84"/>
              <w:right w:val="single" w:sz="6" w:space="0" w:color="000000"/>
            </w:tcBorders>
            <w:shd w:val="solid" w:color="EBE7E2" w:fill="auto"/>
            <w:tcMar>
              <w:top w:w="113" w:type="dxa"/>
              <w:left w:w="113" w:type="dxa"/>
              <w:bottom w:w="113" w:type="dxa"/>
              <w:right w:w="80" w:type="dxa"/>
            </w:tcMar>
          </w:tcPr>
          <w:p w14:paraId="21167DF0" w14:textId="77777777" w:rsidR="00AF2A14" w:rsidRDefault="00AF2A14">
            <w:pPr>
              <w:pStyle w:val="Tabletext"/>
              <w:jc w:val="right"/>
            </w:pPr>
            <w:r>
              <w:t>2</w:t>
            </w:r>
          </w:p>
        </w:tc>
        <w:tc>
          <w:tcPr>
            <w:tcW w:w="1121" w:type="dxa"/>
            <w:tcBorders>
              <w:top w:val="single" w:sz="2" w:space="0" w:color="8A8A84"/>
              <w:left w:val="single" w:sz="6" w:space="0" w:color="000000"/>
              <w:bottom w:val="single" w:sz="2" w:space="0" w:color="8A8A84"/>
              <w:right w:val="single" w:sz="6" w:space="0" w:color="000000"/>
            </w:tcBorders>
            <w:shd w:val="solid" w:color="EBE7E2" w:fill="auto"/>
            <w:tcMar>
              <w:top w:w="113" w:type="dxa"/>
              <w:left w:w="113" w:type="dxa"/>
              <w:bottom w:w="113" w:type="dxa"/>
              <w:right w:w="80" w:type="dxa"/>
            </w:tcMar>
          </w:tcPr>
          <w:p w14:paraId="76EA1EAD" w14:textId="77777777" w:rsidR="00AF2A14" w:rsidRDefault="00AF2A14">
            <w:pPr>
              <w:pStyle w:val="Tabletext"/>
              <w:jc w:val="right"/>
            </w:pPr>
            <w:r>
              <w:t>1</w:t>
            </w:r>
          </w:p>
        </w:tc>
        <w:tc>
          <w:tcPr>
            <w:tcW w:w="937" w:type="dxa"/>
            <w:tcBorders>
              <w:top w:val="single" w:sz="2" w:space="0" w:color="8A8A84"/>
              <w:left w:val="single" w:sz="6" w:space="0" w:color="000000"/>
              <w:bottom w:val="single" w:sz="2" w:space="0" w:color="8A8A84"/>
              <w:right w:val="single" w:sz="6" w:space="0" w:color="000000"/>
            </w:tcBorders>
            <w:shd w:val="solid" w:color="EBE7E2" w:fill="auto"/>
            <w:tcMar>
              <w:top w:w="113" w:type="dxa"/>
              <w:left w:w="113" w:type="dxa"/>
              <w:bottom w:w="113" w:type="dxa"/>
              <w:right w:w="80" w:type="dxa"/>
            </w:tcMar>
          </w:tcPr>
          <w:p w14:paraId="0EA7BF6C" w14:textId="77777777" w:rsidR="00AF2A14" w:rsidRDefault="00AF2A14">
            <w:pPr>
              <w:pStyle w:val="Tabletext"/>
              <w:jc w:val="right"/>
            </w:pPr>
            <w:r>
              <w:t>3</w:t>
            </w:r>
          </w:p>
        </w:tc>
        <w:tc>
          <w:tcPr>
            <w:tcW w:w="992" w:type="dxa"/>
            <w:tcBorders>
              <w:top w:val="single" w:sz="2" w:space="0" w:color="8A8A84"/>
              <w:left w:val="single" w:sz="6" w:space="0" w:color="000000"/>
              <w:bottom w:val="single" w:sz="2" w:space="0" w:color="8A8A84"/>
              <w:right w:val="single" w:sz="6" w:space="0" w:color="000000"/>
            </w:tcBorders>
            <w:shd w:val="solid" w:color="EBE7E2" w:fill="auto"/>
            <w:tcMar>
              <w:top w:w="113" w:type="dxa"/>
              <w:left w:w="113" w:type="dxa"/>
              <w:bottom w:w="113" w:type="dxa"/>
              <w:right w:w="80" w:type="dxa"/>
            </w:tcMar>
          </w:tcPr>
          <w:p w14:paraId="54674D5A" w14:textId="77777777" w:rsidR="00AF2A14" w:rsidRDefault="00AF2A14">
            <w:pPr>
              <w:pStyle w:val="Tabletext"/>
              <w:jc w:val="right"/>
            </w:pPr>
            <w:r>
              <w:t>3</w:t>
            </w:r>
          </w:p>
        </w:tc>
        <w:tc>
          <w:tcPr>
            <w:tcW w:w="1134" w:type="dxa"/>
            <w:tcBorders>
              <w:top w:val="single" w:sz="2" w:space="0" w:color="8A8A84"/>
              <w:left w:val="single" w:sz="6" w:space="0" w:color="000000"/>
              <w:bottom w:val="single" w:sz="2" w:space="0" w:color="8A8A84"/>
              <w:right w:val="single" w:sz="6" w:space="0" w:color="FFFFFF"/>
            </w:tcBorders>
            <w:shd w:val="solid" w:color="EBE7E2" w:fill="auto"/>
            <w:tcMar>
              <w:top w:w="113" w:type="dxa"/>
              <w:left w:w="113" w:type="dxa"/>
              <w:bottom w:w="113" w:type="dxa"/>
              <w:right w:w="80" w:type="dxa"/>
            </w:tcMar>
          </w:tcPr>
          <w:p w14:paraId="1A0F5B9A" w14:textId="77777777" w:rsidR="00AF2A14" w:rsidRDefault="00AF2A14">
            <w:pPr>
              <w:pStyle w:val="Tabletext"/>
              <w:jc w:val="right"/>
            </w:pPr>
            <w:r>
              <w:t>0</w:t>
            </w:r>
          </w:p>
        </w:tc>
        <w:tc>
          <w:tcPr>
            <w:tcW w:w="850" w:type="dxa"/>
            <w:tcBorders>
              <w:top w:val="single" w:sz="2" w:space="0" w:color="8A8A84"/>
              <w:left w:val="single" w:sz="6" w:space="0" w:color="FFFFFF"/>
              <w:bottom w:val="single" w:sz="2" w:space="0" w:color="8A8A84"/>
              <w:right w:val="single" w:sz="6" w:space="0" w:color="000000"/>
            </w:tcBorders>
            <w:shd w:val="solid" w:color="EBE7E2" w:fill="auto"/>
            <w:tcMar>
              <w:top w:w="113" w:type="dxa"/>
              <w:left w:w="113" w:type="dxa"/>
              <w:bottom w:w="113" w:type="dxa"/>
              <w:right w:w="80" w:type="dxa"/>
            </w:tcMar>
          </w:tcPr>
          <w:p w14:paraId="5A39D79E" w14:textId="77777777" w:rsidR="00AF2A14" w:rsidRDefault="00AF2A14">
            <w:pPr>
              <w:pStyle w:val="Tabletext"/>
              <w:jc w:val="right"/>
            </w:pPr>
            <w:r>
              <w:t>3</w:t>
            </w:r>
          </w:p>
        </w:tc>
      </w:tr>
      <w:tr w:rsidR="00866A98" w14:paraId="3CAE82F4" w14:textId="77777777" w:rsidTr="00866A98">
        <w:trPr>
          <w:trHeight w:val="60"/>
        </w:trPr>
        <w:tc>
          <w:tcPr>
            <w:tcW w:w="2494" w:type="dxa"/>
            <w:tcBorders>
              <w:top w:val="single" w:sz="2" w:space="0" w:color="8A8A84"/>
              <w:left w:val="single" w:sz="6" w:space="0" w:color="FFFFFF"/>
              <w:bottom w:val="single" w:sz="2" w:space="0" w:color="8A8A84"/>
              <w:right w:val="single" w:sz="6" w:space="0" w:color="000000"/>
            </w:tcBorders>
            <w:shd w:val="solid" w:color="EBE7E2" w:fill="auto"/>
            <w:tcMar>
              <w:top w:w="113" w:type="dxa"/>
              <w:left w:w="113" w:type="dxa"/>
              <w:bottom w:w="113" w:type="dxa"/>
              <w:right w:w="80" w:type="dxa"/>
            </w:tcMar>
          </w:tcPr>
          <w:p w14:paraId="5B8641EC" w14:textId="77777777" w:rsidR="00AF2A14" w:rsidRDefault="00AF2A14">
            <w:pPr>
              <w:pStyle w:val="Tabletextbold"/>
            </w:pPr>
            <w:r>
              <w:t>Public Affairs Officer</w:t>
            </w:r>
          </w:p>
        </w:tc>
        <w:tc>
          <w:tcPr>
            <w:tcW w:w="977" w:type="dxa"/>
            <w:tcBorders>
              <w:top w:val="single" w:sz="2" w:space="0" w:color="8A8A84"/>
              <w:left w:val="single" w:sz="6" w:space="0" w:color="000000"/>
              <w:bottom w:val="single" w:sz="2" w:space="0" w:color="8A8A84"/>
              <w:right w:val="single" w:sz="6" w:space="0" w:color="000000"/>
            </w:tcBorders>
            <w:shd w:val="solid" w:color="EBE7E2" w:fill="auto"/>
            <w:tcMar>
              <w:top w:w="113" w:type="dxa"/>
              <w:left w:w="113" w:type="dxa"/>
              <w:bottom w:w="113" w:type="dxa"/>
              <w:right w:w="80" w:type="dxa"/>
            </w:tcMar>
          </w:tcPr>
          <w:p w14:paraId="489BCF07" w14:textId="77777777" w:rsidR="00AF2A14" w:rsidRDefault="00AF2A14">
            <w:pPr>
              <w:pStyle w:val="Tabletext"/>
              <w:jc w:val="right"/>
            </w:pPr>
            <w:r>
              <w:t>3</w:t>
            </w:r>
          </w:p>
        </w:tc>
        <w:tc>
          <w:tcPr>
            <w:tcW w:w="1121" w:type="dxa"/>
            <w:tcBorders>
              <w:top w:val="single" w:sz="2" w:space="0" w:color="8A8A84"/>
              <w:left w:val="single" w:sz="6" w:space="0" w:color="000000"/>
              <w:bottom w:val="single" w:sz="2" w:space="0" w:color="8A8A84"/>
              <w:right w:val="single" w:sz="6" w:space="0" w:color="000000"/>
            </w:tcBorders>
            <w:shd w:val="solid" w:color="EBE7E2" w:fill="auto"/>
            <w:tcMar>
              <w:top w:w="113" w:type="dxa"/>
              <w:left w:w="113" w:type="dxa"/>
              <w:bottom w:w="113" w:type="dxa"/>
              <w:right w:w="80" w:type="dxa"/>
            </w:tcMar>
          </w:tcPr>
          <w:p w14:paraId="1C6226A6" w14:textId="77777777" w:rsidR="00AF2A14" w:rsidRDefault="00AF2A14">
            <w:pPr>
              <w:pStyle w:val="Tabletext"/>
              <w:jc w:val="right"/>
            </w:pPr>
            <w:r>
              <w:t>0</w:t>
            </w:r>
          </w:p>
        </w:tc>
        <w:tc>
          <w:tcPr>
            <w:tcW w:w="937" w:type="dxa"/>
            <w:tcBorders>
              <w:top w:val="single" w:sz="2" w:space="0" w:color="8A8A84"/>
              <w:left w:val="single" w:sz="6" w:space="0" w:color="000000"/>
              <w:bottom w:val="single" w:sz="2" w:space="0" w:color="8A8A84"/>
              <w:right w:val="single" w:sz="6" w:space="0" w:color="000000"/>
            </w:tcBorders>
            <w:shd w:val="solid" w:color="EBE7E2" w:fill="auto"/>
            <w:tcMar>
              <w:top w:w="113" w:type="dxa"/>
              <w:left w:w="113" w:type="dxa"/>
              <w:bottom w:w="113" w:type="dxa"/>
              <w:right w:w="80" w:type="dxa"/>
            </w:tcMar>
          </w:tcPr>
          <w:p w14:paraId="7C715F61" w14:textId="77777777" w:rsidR="00AF2A14" w:rsidRDefault="00AF2A14">
            <w:pPr>
              <w:pStyle w:val="Tabletext"/>
              <w:jc w:val="right"/>
            </w:pPr>
            <w:r>
              <w:t>3</w:t>
            </w:r>
          </w:p>
        </w:tc>
        <w:tc>
          <w:tcPr>
            <w:tcW w:w="992" w:type="dxa"/>
            <w:tcBorders>
              <w:top w:val="single" w:sz="2" w:space="0" w:color="8A8A84"/>
              <w:left w:val="single" w:sz="6" w:space="0" w:color="000000"/>
              <w:bottom w:val="single" w:sz="2" w:space="0" w:color="8A8A84"/>
              <w:right w:val="single" w:sz="6" w:space="0" w:color="000000"/>
            </w:tcBorders>
            <w:shd w:val="solid" w:color="EBE7E2" w:fill="auto"/>
            <w:tcMar>
              <w:top w:w="113" w:type="dxa"/>
              <w:left w:w="113" w:type="dxa"/>
              <w:bottom w:w="113" w:type="dxa"/>
              <w:right w:w="80" w:type="dxa"/>
            </w:tcMar>
          </w:tcPr>
          <w:p w14:paraId="24650B78" w14:textId="77777777" w:rsidR="00AF2A14" w:rsidRDefault="00AF2A14">
            <w:pPr>
              <w:pStyle w:val="Tabletext"/>
              <w:jc w:val="right"/>
            </w:pPr>
            <w:r>
              <w:t>1</w:t>
            </w:r>
          </w:p>
        </w:tc>
        <w:tc>
          <w:tcPr>
            <w:tcW w:w="1134" w:type="dxa"/>
            <w:tcBorders>
              <w:top w:val="single" w:sz="2" w:space="0" w:color="8A8A84"/>
              <w:left w:val="single" w:sz="6" w:space="0" w:color="000000"/>
              <w:bottom w:val="single" w:sz="2" w:space="0" w:color="8A8A84"/>
              <w:right w:val="single" w:sz="6" w:space="0" w:color="FFFFFF"/>
            </w:tcBorders>
            <w:shd w:val="solid" w:color="EBE7E2" w:fill="auto"/>
            <w:tcMar>
              <w:top w:w="113" w:type="dxa"/>
              <w:left w:w="113" w:type="dxa"/>
              <w:bottom w:w="113" w:type="dxa"/>
              <w:right w:w="80" w:type="dxa"/>
            </w:tcMar>
          </w:tcPr>
          <w:p w14:paraId="5375BE8E" w14:textId="77777777" w:rsidR="00AF2A14" w:rsidRDefault="00AF2A14">
            <w:pPr>
              <w:pStyle w:val="Tabletext"/>
              <w:jc w:val="right"/>
            </w:pPr>
            <w:r>
              <w:t>0</w:t>
            </w:r>
          </w:p>
        </w:tc>
        <w:tc>
          <w:tcPr>
            <w:tcW w:w="850" w:type="dxa"/>
            <w:tcBorders>
              <w:top w:val="single" w:sz="2" w:space="0" w:color="8A8A84"/>
              <w:left w:val="single" w:sz="6" w:space="0" w:color="FFFFFF"/>
              <w:bottom w:val="single" w:sz="2" w:space="0" w:color="8A8A84"/>
              <w:right w:val="single" w:sz="6" w:space="0" w:color="000000"/>
            </w:tcBorders>
            <w:shd w:val="solid" w:color="EBE7E2" w:fill="auto"/>
            <w:tcMar>
              <w:top w:w="113" w:type="dxa"/>
              <w:left w:w="113" w:type="dxa"/>
              <w:bottom w:w="113" w:type="dxa"/>
              <w:right w:w="80" w:type="dxa"/>
            </w:tcMar>
          </w:tcPr>
          <w:p w14:paraId="671C1DC2" w14:textId="77777777" w:rsidR="00AF2A14" w:rsidRDefault="00AF2A14">
            <w:pPr>
              <w:pStyle w:val="Tabletext"/>
              <w:jc w:val="right"/>
            </w:pPr>
            <w:r>
              <w:t>1</w:t>
            </w:r>
          </w:p>
        </w:tc>
      </w:tr>
      <w:tr w:rsidR="00866A98" w14:paraId="34F62371" w14:textId="77777777" w:rsidTr="00866A98">
        <w:trPr>
          <w:trHeight w:val="60"/>
        </w:trPr>
        <w:tc>
          <w:tcPr>
            <w:tcW w:w="2494" w:type="dxa"/>
            <w:tcBorders>
              <w:top w:val="single" w:sz="2" w:space="0" w:color="8A8A84"/>
              <w:left w:val="single" w:sz="6" w:space="0" w:color="FFFFFF"/>
              <w:bottom w:val="single" w:sz="2" w:space="0" w:color="8A8A84"/>
              <w:right w:val="single" w:sz="6" w:space="0" w:color="000000"/>
            </w:tcBorders>
            <w:shd w:val="solid" w:color="EBE7E2" w:fill="auto"/>
            <w:tcMar>
              <w:top w:w="113" w:type="dxa"/>
              <w:left w:w="113" w:type="dxa"/>
              <w:bottom w:w="113" w:type="dxa"/>
              <w:right w:w="80" w:type="dxa"/>
            </w:tcMar>
          </w:tcPr>
          <w:p w14:paraId="0DE29E90" w14:textId="77777777" w:rsidR="00AF2A14" w:rsidRDefault="00AF2A14">
            <w:pPr>
              <w:pStyle w:val="Tabletextbold"/>
            </w:pPr>
            <w:r>
              <w:t>SES Band 1</w:t>
            </w:r>
          </w:p>
        </w:tc>
        <w:tc>
          <w:tcPr>
            <w:tcW w:w="977" w:type="dxa"/>
            <w:tcBorders>
              <w:top w:val="single" w:sz="2" w:space="0" w:color="8A8A84"/>
              <w:left w:val="single" w:sz="6" w:space="0" w:color="000000"/>
              <w:bottom w:val="single" w:sz="2" w:space="0" w:color="8A8A84"/>
              <w:right w:val="single" w:sz="6" w:space="0" w:color="000000"/>
            </w:tcBorders>
            <w:shd w:val="solid" w:color="EBE7E2" w:fill="auto"/>
            <w:tcMar>
              <w:top w:w="113" w:type="dxa"/>
              <w:left w:w="113" w:type="dxa"/>
              <w:bottom w:w="113" w:type="dxa"/>
              <w:right w:w="80" w:type="dxa"/>
            </w:tcMar>
          </w:tcPr>
          <w:p w14:paraId="49E9BE92" w14:textId="77777777" w:rsidR="00AF2A14" w:rsidRDefault="00AF2A14">
            <w:pPr>
              <w:pStyle w:val="Tabletext"/>
              <w:jc w:val="right"/>
            </w:pPr>
            <w:r>
              <w:t>14</w:t>
            </w:r>
          </w:p>
        </w:tc>
        <w:tc>
          <w:tcPr>
            <w:tcW w:w="1121" w:type="dxa"/>
            <w:tcBorders>
              <w:top w:val="single" w:sz="2" w:space="0" w:color="8A8A84"/>
              <w:left w:val="single" w:sz="6" w:space="0" w:color="000000"/>
              <w:bottom w:val="single" w:sz="2" w:space="0" w:color="8A8A84"/>
              <w:right w:val="single" w:sz="6" w:space="0" w:color="000000"/>
            </w:tcBorders>
            <w:shd w:val="solid" w:color="EBE7E2" w:fill="auto"/>
            <w:tcMar>
              <w:top w:w="113" w:type="dxa"/>
              <w:left w:w="113" w:type="dxa"/>
              <w:bottom w:w="113" w:type="dxa"/>
              <w:right w:w="80" w:type="dxa"/>
            </w:tcMar>
          </w:tcPr>
          <w:p w14:paraId="2740D316" w14:textId="77777777" w:rsidR="00AF2A14" w:rsidRDefault="00AF2A14">
            <w:pPr>
              <w:pStyle w:val="Tabletext"/>
              <w:jc w:val="right"/>
            </w:pPr>
            <w:r>
              <w:t>1</w:t>
            </w:r>
          </w:p>
        </w:tc>
        <w:tc>
          <w:tcPr>
            <w:tcW w:w="937" w:type="dxa"/>
            <w:tcBorders>
              <w:top w:val="single" w:sz="2" w:space="0" w:color="8A8A84"/>
              <w:left w:val="single" w:sz="6" w:space="0" w:color="000000"/>
              <w:bottom w:val="single" w:sz="2" w:space="0" w:color="8A8A84"/>
              <w:right w:val="single" w:sz="6" w:space="0" w:color="000000"/>
            </w:tcBorders>
            <w:shd w:val="solid" w:color="EBE7E2" w:fill="auto"/>
            <w:tcMar>
              <w:top w:w="113" w:type="dxa"/>
              <w:left w:w="113" w:type="dxa"/>
              <w:bottom w:w="113" w:type="dxa"/>
              <w:right w:w="80" w:type="dxa"/>
            </w:tcMar>
          </w:tcPr>
          <w:p w14:paraId="7CEEC9FB" w14:textId="77777777" w:rsidR="00AF2A14" w:rsidRDefault="00AF2A14">
            <w:pPr>
              <w:pStyle w:val="Tabletext"/>
              <w:jc w:val="right"/>
            </w:pPr>
            <w:r>
              <w:t>15</w:t>
            </w:r>
          </w:p>
        </w:tc>
        <w:tc>
          <w:tcPr>
            <w:tcW w:w="992" w:type="dxa"/>
            <w:tcBorders>
              <w:top w:val="single" w:sz="2" w:space="0" w:color="8A8A84"/>
              <w:left w:val="single" w:sz="6" w:space="0" w:color="000000"/>
              <w:bottom w:val="single" w:sz="2" w:space="0" w:color="8A8A84"/>
              <w:right w:val="single" w:sz="6" w:space="0" w:color="000000"/>
            </w:tcBorders>
            <w:shd w:val="solid" w:color="EBE7E2" w:fill="auto"/>
            <w:tcMar>
              <w:top w:w="113" w:type="dxa"/>
              <w:left w:w="113" w:type="dxa"/>
              <w:bottom w:w="113" w:type="dxa"/>
              <w:right w:w="80" w:type="dxa"/>
            </w:tcMar>
          </w:tcPr>
          <w:p w14:paraId="6FC79DF6" w14:textId="77777777" w:rsidR="00AF2A14" w:rsidRDefault="00AF2A14">
            <w:pPr>
              <w:pStyle w:val="Tabletext"/>
              <w:jc w:val="right"/>
            </w:pPr>
            <w:r>
              <w:t>23</w:t>
            </w:r>
          </w:p>
        </w:tc>
        <w:tc>
          <w:tcPr>
            <w:tcW w:w="1134" w:type="dxa"/>
            <w:tcBorders>
              <w:top w:val="single" w:sz="2" w:space="0" w:color="8A8A84"/>
              <w:left w:val="single" w:sz="6" w:space="0" w:color="000000"/>
              <w:bottom w:val="single" w:sz="2" w:space="0" w:color="8A8A84"/>
              <w:right w:val="single" w:sz="6" w:space="0" w:color="FFFFFF"/>
            </w:tcBorders>
            <w:shd w:val="solid" w:color="EBE7E2" w:fill="auto"/>
            <w:tcMar>
              <w:top w:w="113" w:type="dxa"/>
              <w:left w:w="113" w:type="dxa"/>
              <w:bottom w:w="113" w:type="dxa"/>
              <w:right w:w="80" w:type="dxa"/>
            </w:tcMar>
          </w:tcPr>
          <w:p w14:paraId="5803E944" w14:textId="77777777" w:rsidR="00AF2A14" w:rsidRDefault="00AF2A14">
            <w:pPr>
              <w:pStyle w:val="Tabletext"/>
              <w:jc w:val="right"/>
            </w:pPr>
            <w:r>
              <w:t>6</w:t>
            </w:r>
          </w:p>
        </w:tc>
        <w:tc>
          <w:tcPr>
            <w:tcW w:w="850" w:type="dxa"/>
            <w:tcBorders>
              <w:top w:val="single" w:sz="2" w:space="0" w:color="8A8A84"/>
              <w:left w:val="single" w:sz="6" w:space="0" w:color="FFFFFF"/>
              <w:bottom w:val="single" w:sz="2" w:space="0" w:color="8A8A84"/>
              <w:right w:val="single" w:sz="6" w:space="0" w:color="000000"/>
            </w:tcBorders>
            <w:shd w:val="solid" w:color="EBE7E2" w:fill="auto"/>
            <w:tcMar>
              <w:top w:w="113" w:type="dxa"/>
              <w:left w:w="113" w:type="dxa"/>
              <w:bottom w:w="113" w:type="dxa"/>
              <w:right w:w="80" w:type="dxa"/>
            </w:tcMar>
          </w:tcPr>
          <w:p w14:paraId="2918BC22" w14:textId="77777777" w:rsidR="00AF2A14" w:rsidRDefault="00AF2A14">
            <w:pPr>
              <w:pStyle w:val="Tabletext"/>
              <w:jc w:val="right"/>
            </w:pPr>
            <w:r>
              <w:t>29</w:t>
            </w:r>
          </w:p>
        </w:tc>
      </w:tr>
      <w:tr w:rsidR="00866A98" w14:paraId="15DDC36B" w14:textId="77777777" w:rsidTr="00866A98">
        <w:trPr>
          <w:trHeight w:val="60"/>
        </w:trPr>
        <w:tc>
          <w:tcPr>
            <w:tcW w:w="2494" w:type="dxa"/>
            <w:tcBorders>
              <w:top w:val="single" w:sz="2" w:space="0" w:color="8A8A84"/>
              <w:left w:val="single" w:sz="6" w:space="0" w:color="FFFFFF"/>
              <w:bottom w:val="single" w:sz="2" w:space="0" w:color="8A8A84"/>
              <w:right w:val="single" w:sz="6" w:space="0" w:color="000000"/>
            </w:tcBorders>
            <w:shd w:val="solid" w:color="EBE7E2" w:fill="auto"/>
            <w:tcMar>
              <w:top w:w="113" w:type="dxa"/>
              <w:left w:w="113" w:type="dxa"/>
              <w:bottom w:w="113" w:type="dxa"/>
              <w:right w:w="80" w:type="dxa"/>
            </w:tcMar>
          </w:tcPr>
          <w:p w14:paraId="61BA7DA4" w14:textId="77777777" w:rsidR="00AF2A14" w:rsidRDefault="00AF2A14">
            <w:pPr>
              <w:pStyle w:val="Tabletextbold"/>
            </w:pPr>
            <w:r>
              <w:t>SES Band 2</w:t>
            </w:r>
          </w:p>
        </w:tc>
        <w:tc>
          <w:tcPr>
            <w:tcW w:w="977" w:type="dxa"/>
            <w:tcBorders>
              <w:top w:val="single" w:sz="2" w:space="0" w:color="8A8A84"/>
              <w:left w:val="single" w:sz="6" w:space="0" w:color="000000"/>
              <w:bottom w:val="single" w:sz="2" w:space="0" w:color="8A8A84"/>
              <w:right w:val="single" w:sz="6" w:space="0" w:color="000000"/>
            </w:tcBorders>
            <w:shd w:val="solid" w:color="EBE7E2" w:fill="auto"/>
            <w:tcMar>
              <w:top w:w="113" w:type="dxa"/>
              <w:left w:w="113" w:type="dxa"/>
              <w:bottom w:w="113" w:type="dxa"/>
              <w:right w:w="80" w:type="dxa"/>
            </w:tcMar>
          </w:tcPr>
          <w:p w14:paraId="4A72E361" w14:textId="77777777" w:rsidR="00AF2A14" w:rsidRDefault="00AF2A14">
            <w:pPr>
              <w:pStyle w:val="Tabletext"/>
              <w:jc w:val="right"/>
            </w:pPr>
            <w:r>
              <w:t>5</w:t>
            </w:r>
          </w:p>
        </w:tc>
        <w:tc>
          <w:tcPr>
            <w:tcW w:w="1121" w:type="dxa"/>
            <w:tcBorders>
              <w:top w:val="single" w:sz="2" w:space="0" w:color="8A8A84"/>
              <w:left w:val="single" w:sz="6" w:space="0" w:color="000000"/>
              <w:bottom w:val="single" w:sz="2" w:space="0" w:color="8A8A84"/>
              <w:right w:val="single" w:sz="6" w:space="0" w:color="000000"/>
            </w:tcBorders>
            <w:shd w:val="solid" w:color="EBE7E2" w:fill="auto"/>
            <w:tcMar>
              <w:top w:w="113" w:type="dxa"/>
              <w:left w:w="113" w:type="dxa"/>
              <w:bottom w:w="113" w:type="dxa"/>
              <w:right w:w="80" w:type="dxa"/>
            </w:tcMar>
          </w:tcPr>
          <w:p w14:paraId="3489E22C" w14:textId="77777777" w:rsidR="00AF2A14" w:rsidRDefault="00AF2A14">
            <w:pPr>
              <w:pStyle w:val="Tabletext"/>
              <w:jc w:val="right"/>
            </w:pPr>
            <w:r>
              <w:t>1</w:t>
            </w:r>
          </w:p>
        </w:tc>
        <w:tc>
          <w:tcPr>
            <w:tcW w:w="937" w:type="dxa"/>
            <w:tcBorders>
              <w:top w:val="single" w:sz="2" w:space="0" w:color="8A8A84"/>
              <w:left w:val="single" w:sz="6" w:space="0" w:color="000000"/>
              <w:bottom w:val="single" w:sz="2" w:space="0" w:color="8A8A84"/>
              <w:right w:val="single" w:sz="6" w:space="0" w:color="000000"/>
            </w:tcBorders>
            <w:shd w:val="solid" w:color="EBE7E2" w:fill="auto"/>
            <w:tcMar>
              <w:top w:w="113" w:type="dxa"/>
              <w:left w:w="113" w:type="dxa"/>
              <w:bottom w:w="113" w:type="dxa"/>
              <w:right w:w="80" w:type="dxa"/>
            </w:tcMar>
          </w:tcPr>
          <w:p w14:paraId="28B674F9" w14:textId="77777777" w:rsidR="00AF2A14" w:rsidRDefault="00AF2A14">
            <w:pPr>
              <w:pStyle w:val="Tabletext"/>
              <w:jc w:val="right"/>
            </w:pPr>
            <w:r>
              <w:t>6</w:t>
            </w:r>
          </w:p>
        </w:tc>
        <w:tc>
          <w:tcPr>
            <w:tcW w:w="992" w:type="dxa"/>
            <w:tcBorders>
              <w:top w:val="single" w:sz="2" w:space="0" w:color="8A8A84"/>
              <w:left w:val="single" w:sz="6" w:space="0" w:color="000000"/>
              <w:bottom w:val="single" w:sz="2" w:space="0" w:color="8A8A84"/>
              <w:right w:val="single" w:sz="6" w:space="0" w:color="000000"/>
            </w:tcBorders>
            <w:shd w:val="solid" w:color="EBE7E2" w:fill="auto"/>
            <w:tcMar>
              <w:top w:w="113" w:type="dxa"/>
              <w:left w:w="113" w:type="dxa"/>
              <w:bottom w:w="113" w:type="dxa"/>
              <w:right w:w="80" w:type="dxa"/>
            </w:tcMar>
          </w:tcPr>
          <w:p w14:paraId="7AB236C4" w14:textId="77777777" w:rsidR="00AF2A14" w:rsidRDefault="00AF2A14">
            <w:pPr>
              <w:pStyle w:val="Tabletext"/>
              <w:jc w:val="right"/>
            </w:pPr>
            <w:r>
              <w:t>11</w:t>
            </w:r>
          </w:p>
        </w:tc>
        <w:tc>
          <w:tcPr>
            <w:tcW w:w="1134" w:type="dxa"/>
            <w:tcBorders>
              <w:top w:val="single" w:sz="2" w:space="0" w:color="8A8A84"/>
              <w:left w:val="single" w:sz="6" w:space="0" w:color="000000"/>
              <w:bottom w:val="single" w:sz="2" w:space="0" w:color="8A8A84"/>
              <w:right w:val="single" w:sz="6" w:space="0" w:color="FFFFFF"/>
            </w:tcBorders>
            <w:shd w:val="solid" w:color="EBE7E2" w:fill="auto"/>
            <w:tcMar>
              <w:top w:w="113" w:type="dxa"/>
              <w:left w:w="113" w:type="dxa"/>
              <w:bottom w:w="113" w:type="dxa"/>
              <w:right w:w="80" w:type="dxa"/>
            </w:tcMar>
          </w:tcPr>
          <w:p w14:paraId="21EBF3E4" w14:textId="77777777" w:rsidR="00AF2A14" w:rsidRDefault="00AF2A14">
            <w:pPr>
              <w:pStyle w:val="Tabletext"/>
              <w:jc w:val="right"/>
            </w:pPr>
            <w:r>
              <w:t>0</w:t>
            </w:r>
          </w:p>
        </w:tc>
        <w:tc>
          <w:tcPr>
            <w:tcW w:w="850" w:type="dxa"/>
            <w:tcBorders>
              <w:top w:val="single" w:sz="2" w:space="0" w:color="8A8A84"/>
              <w:left w:val="single" w:sz="6" w:space="0" w:color="FFFFFF"/>
              <w:bottom w:val="single" w:sz="2" w:space="0" w:color="8A8A84"/>
              <w:right w:val="single" w:sz="6" w:space="0" w:color="000000"/>
            </w:tcBorders>
            <w:shd w:val="solid" w:color="EBE7E2" w:fill="auto"/>
            <w:tcMar>
              <w:top w:w="113" w:type="dxa"/>
              <w:left w:w="113" w:type="dxa"/>
              <w:bottom w:w="113" w:type="dxa"/>
              <w:right w:w="80" w:type="dxa"/>
            </w:tcMar>
          </w:tcPr>
          <w:p w14:paraId="73F840E0" w14:textId="77777777" w:rsidR="00AF2A14" w:rsidRDefault="00AF2A14">
            <w:pPr>
              <w:pStyle w:val="Tabletext"/>
              <w:jc w:val="right"/>
            </w:pPr>
            <w:r>
              <w:t>11</w:t>
            </w:r>
          </w:p>
        </w:tc>
      </w:tr>
      <w:tr w:rsidR="00866A98" w14:paraId="4A2AAA5F" w14:textId="77777777" w:rsidTr="00866A98">
        <w:trPr>
          <w:trHeight w:val="60"/>
        </w:trPr>
        <w:tc>
          <w:tcPr>
            <w:tcW w:w="2494" w:type="dxa"/>
            <w:tcBorders>
              <w:top w:val="single" w:sz="2" w:space="0" w:color="8A8A84"/>
              <w:left w:val="single" w:sz="6" w:space="0" w:color="FFFFFF"/>
              <w:bottom w:val="single" w:sz="4" w:space="0" w:color="282829"/>
              <w:right w:val="single" w:sz="6" w:space="0" w:color="000000"/>
            </w:tcBorders>
            <w:shd w:val="solid" w:color="EBE7E2" w:fill="auto"/>
            <w:tcMar>
              <w:top w:w="113" w:type="dxa"/>
              <w:left w:w="113" w:type="dxa"/>
              <w:bottom w:w="113" w:type="dxa"/>
              <w:right w:w="80" w:type="dxa"/>
            </w:tcMar>
          </w:tcPr>
          <w:p w14:paraId="779EA507" w14:textId="77777777" w:rsidR="00AF2A14" w:rsidRDefault="00AF2A14">
            <w:pPr>
              <w:pStyle w:val="Tabletextbold"/>
            </w:pPr>
            <w:r>
              <w:t>SES Band 3</w:t>
            </w:r>
          </w:p>
        </w:tc>
        <w:tc>
          <w:tcPr>
            <w:tcW w:w="977" w:type="dxa"/>
            <w:tcBorders>
              <w:top w:val="single" w:sz="2" w:space="0" w:color="8A8A84"/>
              <w:left w:val="single" w:sz="6" w:space="0" w:color="000000"/>
              <w:bottom w:val="single" w:sz="4" w:space="0" w:color="282829"/>
              <w:right w:val="single" w:sz="6" w:space="0" w:color="000000"/>
            </w:tcBorders>
            <w:shd w:val="solid" w:color="EBE7E2" w:fill="auto"/>
            <w:tcMar>
              <w:top w:w="113" w:type="dxa"/>
              <w:left w:w="113" w:type="dxa"/>
              <w:bottom w:w="113" w:type="dxa"/>
              <w:right w:w="80" w:type="dxa"/>
            </w:tcMar>
          </w:tcPr>
          <w:p w14:paraId="1C2DF07C" w14:textId="77777777" w:rsidR="00AF2A14" w:rsidRDefault="00AF2A14">
            <w:pPr>
              <w:pStyle w:val="Tabletext"/>
              <w:jc w:val="right"/>
            </w:pPr>
            <w:r>
              <w:t>0</w:t>
            </w:r>
          </w:p>
        </w:tc>
        <w:tc>
          <w:tcPr>
            <w:tcW w:w="1121" w:type="dxa"/>
            <w:tcBorders>
              <w:top w:val="single" w:sz="2" w:space="0" w:color="8A8A84"/>
              <w:left w:val="single" w:sz="6" w:space="0" w:color="000000"/>
              <w:bottom w:val="single" w:sz="4" w:space="0" w:color="282829"/>
              <w:right w:val="single" w:sz="6" w:space="0" w:color="000000"/>
            </w:tcBorders>
            <w:shd w:val="solid" w:color="EBE7E2" w:fill="auto"/>
            <w:tcMar>
              <w:top w:w="113" w:type="dxa"/>
              <w:left w:w="113" w:type="dxa"/>
              <w:bottom w:w="113" w:type="dxa"/>
              <w:right w:w="80" w:type="dxa"/>
            </w:tcMar>
          </w:tcPr>
          <w:p w14:paraId="296F911A" w14:textId="77777777" w:rsidR="00AF2A14" w:rsidRDefault="00AF2A14">
            <w:pPr>
              <w:pStyle w:val="Tabletext"/>
              <w:jc w:val="right"/>
            </w:pPr>
            <w:r>
              <w:t>1</w:t>
            </w:r>
          </w:p>
        </w:tc>
        <w:tc>
          <w:tcPr>
            <w:tcW w:w="937" w:type="dxa"/>
            <w:tcBorders>
              <w:top w:val="single" w:sz="2" w:space="0" w:color="8A8A84"/>
              <w:left w:val="single" w:sz="6" w:space="0" w:color="000000"/>
              <w:bottom w:val="single" w:sz="4" w:space="0" w:color="282829"/>
              <w:right w:val="single" w:sz="6" w:space="0" w:color="000000"/>
            </w:tcBorders>
            <w:shd w:val="solid" w:color="EBE7E2" w:fill="auto"/>
            <w:tcMar>
              <w:top w:w="113" w:type="dxa"/>
              <w:left w:w="113" w:type="dxa"/>
              <w:bottom w:w="113" w:type="dxa"/>
              <w:right w:w="80" w:type="dxa"/>
            </w:tcMar>
          </w:tcPr>
          <w:p w14:paraId="381E53EF" w14:textId="77777777" w:rsidR="00AF2A14" w:rsidRDefault="00AF2A14">
            <w:pPr>
              <w:pStyle w:val="Tabletext"/>
              <w:jc w:val="right"/>
            </w:pPr>
            <w:r>
              <w:t>1</w:t>
            </w:r>
          </w:p>
        </w:tc>
        <w:tc>
          <w:tcPr>
            <w:tcW w:w="992" w:type="dxa"/>
            <w:tcBorders>
              <w:top w:val="single" w:sz="2" w:space="0" w:color="8A8A84"/>
              <w:left w:val="single" w:sz="6" w:space="0" w:color="000000"/>
              <w:bottom w:val="single" w:sz="4" w:space="0" w:color="282829"/>
              <w:right w:val="single" w:sz="6" w:space="0" w:color="000000"/>
            </w:tcBorders>
            <w:shd w:val="solid" w:color="EBE7E2" w:fill="auto"/>
            <w:tcMar>
              <w:top w:w="113" w:type="dxa"/>
              <w:left w:w="113" w:type="dxa"/>
              <w:bottom w:w="113" w:type="dxa"/>
              <w:right w:w="80" w:type="dxa"/>
            </w:tcMar>
          </w:tcPr>
          <w:p w14:paraId="7E86C838" w14:textId="77777777" w:rsidR="00AF2A14" w:rsidRDefault="00AF2A14">
            <w:pPr>
              <w:pStyle w:val="Tabletext"/>
              <w:jc w:val="right"/>
            </w:pPr>
            <w:r>
              <w:t>3</w:t>
            </w:r>
          </w:p>
        </w:tc>
        <w:tc>
          <w:tcPr>
            <w:tcW w:w="1134" w:type="dxa"/>
            <w:tcBorders>
              <w:top w:val="single" w:sz="2" w:space="0" w:color="8A8A84"/>
              <w:left w:val="single" w:sz="6" w:space="0" w:color="000000"/>
              <w:bottom w:val="single" w:sz="4" w:space="0" w:color="282829"/>
              <w:right w:val="single" w:sz="6" w:space="0" w:color="FFFFFF"/>
            </w:tcBorders>
            <w:shd w:val="solid" w:color="EBE7E2" w:fill="auto"/>
            <w:tcMar>
              <w:top w:w="113" w:type="dxa"/>
              <w:left w:w="113" w:type="dxa"/>
              <w:bottom w:w="113" w:type="dxa"/>
              <w:right w:w="80" w:type="dxa"/>
            </w:tcMar>
          </w:tcPr>
          <w:p w14:paraId="13BC08BA" w14:textId="77777777" w:rsidR="00AF2A14" w:rsidRDefault="00AF2A14">
            <w:pPr>
              <w:pStyle w:val="Tabletext"/>
              <w:jc w:val="right"/>
            </w:pPr>
            <w:r>
              <w:t>1</w:t>
            </w:r>
          </w:p>
        </w:tc>
        <w:tc>
          <w:tcPr>
            <w:tcW w:w="850" w:type="dxa"/>
            <w:tcBorders>
              <w:top w:val="single" w:sz="2" w:space="0" w:color="8A8A84"/>
              <w:left w:val="single" w:sz="6" w:space="0" w:color="FFFFFF"/>
              <w:bottom w:val="single" w:sz="4" w:space="0" w:color="282829"/>
              <w:right w:val="single" w:sz="6" w:space="0" w:color="000000"/>
            </w:tcBorders>
            <w:shd w:val="solid" w:color="EBE7E2" w:fill="auto"/>
            <w:tcMar>
              <w:top w:w="113" w:type="dxa"/>
              <w:left w:w="113" w:type="dxa"/>
              <w:bottom w:w="113" w:type="dxa"/>
              <w:right w:w="80" w:type="dxa"/>
            </w:tcMar>
          </w:tcPr>
          <w:p w14:paraId="2FA78F21" w14:textId="77777777" w:rsidR="00AF2A14" w:rsidRDefault="00AF2A14">
            <w:pPr>
              <w:pStyle w:val="Tabletext"/>
              <w:jc w:val="right"/>
            </w:pPr>
            <w:r>
              <w:t>4</w:t>
            </w:r>
          </w:p>
        </w:tc>
      </w:tr>
      <w:tr w:rsidR="00866A98" w14:paraId="1AD902D7" w14:textId="77777777" w:rsidTr="00866A98">
        <w:trPr>
          <w:trHeight w:val="60"/>
        </w:trPr>
        <w:tc>
          <w:tcPr>
            <w:tcW w:w="2494" w:type="dxa"/>
            <w:tcBorders>
              <w:top w:val="single" w:sz="4" w:space="0" w:color="282829"/>
              <w:left w:val="single" w:sz="6" w:space="0" w:color="FFFFFF"/>
              <w:bottom w:val="single" w:sz="4" w:space="0" w:color="282829"/>
              <w:right w:val="single" w:sz="6" w:space="0" w:color="000000"/>
            </w:tcBorders>
            <w:shd w:val="solid" w:color="EBE7E2" w:fill="auto"/>
            <w:tcMar>
              <w:top w:w="113" w:type="dxa"/>
              <w:left w:w="113" w:type="dxa"/>
              <w:bottom w:w="113" w:type="dxa"/>
              <w:right w:w="80" w:type="dxa"/>
            </w:tcMar>
          </w:tcPr>
          <w:p w14:paraId="61D6DFFE" w14:textId="77777777" w:rsidR="00AF2A14" w:rsidRDefault="00AF2A14">
            <w:pPr>
              <w:pStyle w:val="Tabletextbold"/>
            </w:pPr>
            <w:r>
              <w:t>Total</w:t>
            </w:r>
          </w:p>
        </w:tc>
        <w:tc>
          <w:tcPr>
            <w:tcW w:w="977" w:type="dxa"/>
            <w:tcBorders>
              <w:top w:val="single" w:sz="4" w:space="0" w:color="282829"/>
              <w:left w:val="single" w:sz="6" w:space="0" w:color="000000"/>
              <w:bottom w:val="single" w:sz="4" w:space="0" w:color="282829"/>
              <w:right w:val="single" w:sz="6" w:space="0" w:color="000000"/>
            </w:tcBorders>
            <w:shd w:val="solid" w:color="EBE7E2" w:fill="auto"/>
            <w:tcMar>
              <w:top w:w="113" w:type="dxa"/>
              <w:left w:w="113" w:type="dxa"/>
              <w:bottom w:w="113" w:type="dxa"/>
              <w:right w:w="80" w:type="dxa"/>
            </w:tcMar>
          </w:tcPr>
          <w:p w14:paraId="0B5BF92E" w14:textId="77777777" w:rsidR="00AF2A14" w:rsidRDefault="00AF2A14">
            <w:pPr>
              <w:pStyle w:val="Tabletextbold"/>
              <w:jc w:val="right"/>
            </w:pPr>
            <w:r>
              <w:t>748</w:t>
            </w:r>
          </w:p>
        </w:tc>
        <w:tc>
          <w:tcPr>
            <w:tcW w:w="1121" w:type="dxa"/>
            <w:tcBorders>
              <w:top w:val="single" w:sz="4" w:space="0" w:color="282829"/>
              <w:left w:val="single" w:sz="6" w:space="0" w:color="000000"/>
              <w:bottom w:val="single" w:sz="4" w:space="0" w:color="282829"/>
              <w:right w:val="single" w:sz="6" w:space="0" w:color="000000"/>
            </w:tcBorders>
            <w:shd w:val="solid" w:color="EBE7E2" w:fill="auto"/>
            <w:tcMar>
              <w:top w:w="113" w:type="dxa"/>
              <w:left w:w="113" w:type="dxa"/>
              <w:bottom w:w="113" w:type="dxa"/>
              <w:right w:w="80" w:type="dxa"/>
            </w:tcMar>
          </w:tcPr>
          <w:p w14:paraId="62730E62" w14:textId="77777777" w:rsidR="00AF2A14" w:rsidRDefault="00AF2A14">
            <w:pPr>
              <w:pStyle w:val="Tabletextbold"/>
              <w:jc w:val="right"/>
            </w:pPr>
            <w:r>
              <w:t>104</w:t>
            </w:r>
          </w:p>
        </w:tc>
        <w:tc>
          <w:tcPr>
            <w:tcW w:w="937" w:type="dxa"/>
            <w:tcBorders>
              <w:top w:val="single" w:sz="4" w:space="0" w:color="282829"/>
              <w:left w:val="single" w:sz="6" w:space="0" w:color="000000"/>
              <w:bottom w:val="single" w:sz="4" w:space="0" w:color="282829"/>
              <w:right w:val="single" w:sz="6" w:space="0" w:color="000000"/>
            </w:tcBorders>
            <w:shd w:val="solid" w:color="EBE7E2" w:fill="auto"/>
            <w:tcMar>
              <w:top w:w="113" w:type="dxa"/>
              <w:left w:w="113" w:type="dxa"/>
              <w:bottom w:w="113" w:type="dxa"/>
              <w:right w:w="80" w:type="dxa"/>
            </w:tcMar>
          </w:tcPr>
          <w:p w14:paraId="72FBBA0A" w14:textId="77777777" w:rsidR="00AF2A14" w:rsidRDefault="00AF2A14">
            <w:pPr>
              <w:pStyle w:val="Tabletextbold"/>
              <w:jc w:val="right"/>
            </w:pPr>
            <w:r>
              <w:t>852</w:t>
            </w:r>
          </w:p>
        </w:tc>
        <w:tc>
          <w:tcPr>
            <w:tcW w:w="992" w:type="dxa"/>
            <w:tcBorders>
              <w:top w:val="single" w:sz="4" w:space="0" w:color="282829"/>
              <w:left w:val="single" w:sz="6" w:space="0" w:color="000000"/>
              <w:bottom w:val="single" w:sz="4" w:space="0" w:color="282829"/>
              <w:right w:val="single" w:sz="6" w:space="0" w:color="000000"/>
            </w:tcBorders>
            <w:shd w:val="solid" w:color="EBE7E2" w:fill="auto"/>
            <w:tcMar>
              <w:top w:w="113" w:type="dxa"/>
              <w:left w:w="113" w:type="dxa"/>
              <w:bottom w:w="113" w:type="dxa"/>
              <w:right w:w="80" w:type="dxa"/>
            </w:tcMar>
          </w:tcPr>
          <w:p w14:paraId="3E1CF5D0" w14:textId="77777777" w:rsidR="00AF2A14" w:rsidRDefault="00AF2A14">
            <w:pPr>
              <w:pStyle w:val="Tabletextbold"/>
              <w:jc w:val="right"/>
            </w:pPr>
            <w:r>
              <w:t>1118</w:t>
            </w:r>
          </w:p>
        </w:tc>
        <w:tc>
          <w:tcPr>
            <w:tcW w:w="1134" w:type="dxa"/>
            <w:tcBorders>
              <w:top w:val="single" w:sz="4" w:space="0" w:color="282829"/>
              <w:left w:val="single" w:sz="6" w:space="0" w:color="000000"/>
              <w:bottom w:val="single" w:sz="4" w:space="0" w:color="282829"/>
              <w:right w:val="single" w:sz="6" w:space="0" w:color="FFFFFF"/>
            </w:tcBorders>
            <w:shd w:val="solid" w:color="EBE7E2" w:fill="auto"/>
            <w:tcMar>
              <w:top w:w="113" w:type="dxa"/>
              <w:left w:w="113" w:type="dxa"/>
              <w:bottom w:w="113" w:type="dxa"/>
              <w:right w:w="80" w:type="dxa"/>
            </w:tcMar>
          </w:tcPr>
          <w:p w14:paraId="780F00DB" w14:textId="77777777" w:rsidR="00AF2A14" w:rsidRDefault="00AF2A14">
            <w:pPr>
              <w:pStyle w:val="Tabletextbold"/>
              <w:jc w:val="right"/>
            </w:pPr>
            <w:r>
              <w:t>378</w:t>
            </w:r>
          </w:p>
        </w:tc>
        <w:tc>
          <w:tcPr>
            <w:tcW w:w="850" w:type="dxa"/>
            <w:tcBorders>
              <w:top w:val="single" w:sz="4" w:space="0" w:color="282829"/>
              <w:left w:val="single" w:sz="6" w:space="0" w:color="FFFFFF"/>
              <w:bottom w:val="single" w:sz="4" w:space="0" w:color="282829"/>
              <w:right w:val="single" w:sz="6" w:space="0" w:color="000000"/>
            </w:tcBorders>
            <w:shd w:val="solid" w:color="EBE7E2" w:fill="auto"/>
            <w:tcMar>
              <w:top w:w="113" w:type="dxa"/>
              <w:left w:w="113" w:type="dxa"/>
              <w:bottom w:w="113" w:type="dxa"/>
              <w:right w:w="80" w:type="dxa"/>
            </w:tcMar>
          </w:tcPr>
          <w:p w14:paraId="72A0B8A8" w14:textId="77777777" w:rsidR="00AF2A14" w:rsidRDefault="00AF2A14">
            <w:pPr>
              <w:pStyle w:val="Tabletextbold"/>
              <w:jc w:val="right"/>
            </w:pPr>
            <w:r>
              <w:t>1496</w:t>
            </w:r>
          </w:p>
        </w:tc>
      </w:tr>
    </w:tbl>
    <w:p w14:paraId="124EA4AF" w14:textId="77777777" w:rsidR="00AF2A14" w:rsidRDefault="00AF2A14" w:rsidP="00AF2A14">
      <w:pPr>
        <w:pStyle w:val="BodyCopy"/>
        <w:rPr>
          <w:sz w:val="14"/>
          <w:szCs w:val="14"/>
        </w:rPr>
      </w:pPr>
      <w:r>
        <w:rPr>
          <w:sz w:val="14"/>
          <w:szCs w:val="14"/>
        </w:rPr>
        <w:t>Note: casuals are excluded</w:t>
      </w:r>
    </w:p>
    <w:p w14:paraId="6E10985A" w14:textId="331D8640" w:rsidR="00AF2A14" w:rsidRDefault="00AF2A14" w:rsidP="00AE4EAF">
      <w:pPr>
        <w:pStyle w:val="Heading3Tables"/>
      </w:pPr>
      <w:bookmarkStart w:id="50" w:name="_Toc464481227"/>
      <w:r>
        <w:t xml:space="preserve">Table </w:t>
      </w:r>
      <w:r w:rsidR="002D348F">
        <w:t>5</w:t>
      </w:r>
      <w:r>
        <w:t>: NDIA staff attributes, 2014-15 and 2015-16</w:t>
      </w:r>
      <w:bookmarkEnd w:id="50"/>
      <w:r>
        <w:t xml:space="preserve"> </w:t>
      </w:r>
    </w:p>
    <w:tbl>
      <w:tblPr>
        <w:tblW w:w="0" w:type="auto"/>
        <w:tblInd w:w="-8" w:type="dxa"/>
        <w:tblLayout w:type="fixed"/>
        <w:tblCellMar>
          <w:left w:w="0" w:type="dxa"/>
          <w:right w:w="0" w:type="dxa"/>
        </w:tblCellMar>
        <w:tblLook w:val="0000" w:firstRow="0" w:lastRow="0" w:firstColumn="0" w:lastColumn="0" w:noHBand="0" w:noVBand="0"/>
      </w:tblPr>
      <w:tblGrid>
        <w:gridCol w:w="5641"/>
        <w:gridCol w:w="1301"/>
        <w:gridCol w:w="1327"/>
      </w:tblGrid>
      <w:tr w:rsidR="00AF2A14" w14:paraId="7B85F2F5" w14:textId="77777777">
        <w:trPr>
          <w:trHeight w:val="60"/>
          <w:tblHeader/>
        </w:trPr>
        <w:tc>
          <w:tcPr>
            <w:tcW w:w="5641" w:type="dxa"/>
            <w:tcBorders>
              <w:top w:val="single" w:sz="6" w:space="0" w:color="FFFFFF"/>
              <w:left w:val="single" w:sz="6" w:space="0" w:color="FFFFFF"/>
              <w:bottom w:val="single" w:sz="6" w:space="0" w:color="8A8A84"/>
              <w:right w:val="single" w:sz="6" w:space="0" w:color="FFFFFF"/>
            </w:tcBorders>
            <w:shd w:val="solid" w:color="000000" w:fill="auto"/>
            <w:tcMar>
              <w:top w:w="113" w:type="dxa"/>
              <w:left w:w="113" w:type="dxa"/>
              <w:bottom w:w="113" w:type="dxa"/>
              <w:right w:w="80" w:type="dxa"/>
            </w:tcMar>
          </w:tcPr>
          <w:p w14:paraId="0DB1992D" w14:textId="77777777" w:rsidR="00AF2A14" w:rsidRDefault="00AF2A14">
            <w:pPr>
              <w:pStyle w:val="Tableheader"/>
            </w:pPr>
            <w:bookmarkStart w:id="51" w:name="Title_Table5" w:colFirst="0" w:colLast="0"/>
            <w:r>
              <w:t>Staff</w:t>
            </w:r>
          </w:p>
        </w:tc>
        <w:tc>
          <w:tcPr>
            <w:tcW w:w="1301" w:type="dxa"/>
            <w:tcBorders>
              <w:top w:val="single" w:sz="6" w:space="0" w:color="FFFFFF"/>
              <w:left w:val="single" w:sz="6" w:space="0" w:color="FFFFFF"/>
              <w:bottom w:val="single" w:sz="6" w:space="0" w:color="8A8A84"/>
              <w:right w:val="single" w:sz="6" w:space="0" w:color="FFFFFF"/>
            </w:tcBorders>
            <w:shd w:val="solid" w:color="000000" w:fill="auto"/>
            <w:tcMar>
              <w:top w:w="113" w:type="dxa"/>
              <w:left w:w="113" w:type="dxa"/>
              <w:bottom w:w="113" w:type="dxa"/>
              <w:right w:w="80" w:type="dxa"/>
            </w:tcMar>
          </w:tcPr>
          <w:p w14:paraId="714E1D26" w14:textId="77777777" w:rsidR="00AF2A14" w:rsidRDefault="00AF2A14">
            <w:pPr>
              <w:pStyle w:val="Tableheader"/>
              <w:jc w:val="right"/>
            </w:pPr>
            <w:r>
              <w:t>2014-15</w:t>
            </w:r>
          </w:p>
        </w:tc>
        <w:tc>
          <w:tcPr>
            <w:tcW w:w="1327" w:type="dxa"/>
            <w:tcBorders>
              <w:top w:val="single" w:sz="6" w:space="0" w:color="FFFFFF"/>
              <w:left w:val="single" w:sz="6" w:space="0" w:color="FFFFFF"/>
              <w:bottom w:val="single" w:sz="6" w:space="0" w:color="8A8A84"/>
              <w:right w:val="single" w:sz="6" w:space="0" w:color="FFFFFF"/>
            </w:tcBorders>
            <w:shd w:val="solid" w:color="000000" w:fill="auto"/>
            <w:tcMar>
              <w:top w:w="113" w:type="dxa"/>
              <w:left w:w="113" w:type="dxa"/>
              <w:bottom w:w="113" w:type="dxa"/>
              <w:right w:w="80" w:type="dxa"/>
            </w:tcMar>
          </w:tcPr>
          <w:p w14:paraId="5CC137C9" w14:textId="77777777" w:rsidR="00AF2A14" w:rsidRDefault="00AF2A14">
            <w:pPr>
              <w:pStyle w:val="Tableheader"/>
              <w:jc w:val="right"/>
            </w:pPr>
            <w:r>
              <w:t>2015-16</w:t>
            </w:r>
          </w:p>
        </w:tc>
      </w:tr>
      <w:bookmarkEnd w:id="51"/>
      <w:tr w:rsidR="00AF2A14" w14:paraId="7450A4A8" w14:textId="77777777">
        <w:trPr>
          <w:trHeight w:val="60"/>
        </w:trPr>
        <w:tc>
          <w:tcPr>
            <w:tcW w:w="5641" w:type="dxa"/>
            <w:tcBorders>
              <w:top w:val="single" w:sz="2" w:space="0" w:color="8A8A84"/>
              <w:left w:val="single" w:sz="6" w:space="0" w:color="FFFFFF"/>
              <w:bottom w:val="single" w:sz="2" w:space="0" w:color="8A8A84"/>
              <w:right w:val="single" w:sz="6" w:space="0" w:color="000000"/>
            </w:tcBorders>
            <w:shd w:val="solid" w:color="EBE7E2" w:fill="auto"/>
            <w:tcMar>
              <w:top w:w="113" w:type="dxa"/>
              <w:left w:w="113" w:type="dxa"/>
              <w:bottom w:w="113" w:type="dxa"/>
              <w:right w:w="80" w:type="dxa"/>
            </w:tcMar>
          </w:tcPr>
          <w:p w14:paraId="5CC69225" w14:textId="77777777" w:rsidR="00AF2A14" w:rsidRDefault="00AF2A14">
            <w:pPr>
              <w:pStyle w:val="Tabletextbold"/>
            </w:pPr>
            <w:r>
              <w:t>Average age</w:t>
            </w:r>
          </w:p>
        </w:tc>
        <w:tc>
          <w:tcPr>
            <w:tcW w:w="1301" w:type="dxa"/>
            <w:tcBorders>
              <w:top w:val="single" w:sz="2" w:space="0" w:color="8A8A84"/>
              <w:left w:val="single" w:sz="6" w:space="0" w:color="000000"/>
              <w:bottom w:val="single" w:sz="2" w:space="0" w:color="8A8A84"/>
              <w:right w:val="single" w:sz="6" w:space="0" w:color="FFFFFF"/>
            </w:tcBorders>
            <w:shd w:val="solid" w:color="EBE7E2" w:fill="auto"/>
            <w:tcMar>
              <w:top w:w="113" w:type="dxa"/>
              <w:left w:w="113" w:type="dxa"/>
              <w:bottom w:w="113" w:type="dxa"/>
              <w:right w:w="80" w:type="dxa"/>
            </w:tcMar>
          </w:tcPr>
          <w:p w14:paraId="48E17A12" w14:textId="77777777" w:rsidR="00AF2A14" w:rsidRDefault="00AF2A14">
            <w:pPr>
              <w:pStyle w:val="Tabletext"/>
              <w:jc w:val="right"/>
            </w:pPr>
            <w:r>
              <w:t>42</w:t>
            </w:r>
          </w:p>
        </w:tc>
        <w:tc>
          <w:tcPr>
            <w:tcW w:w="1327" w:type="dxa"/>
            <w:tcBorders>
              <w:top w:val="single" w:sz="2" w:space="0" w:color="8A8A84"/>
              <w:left w:val="single" w:sz="6" w:space="0" w:color="FFFFFF"/>
              <w:bottom w:val="single" w:sz="2" w:space="0" w:color="8A8A84"/>
              <w:right w:val="single" w:sz="6" w:space="0" w:color="000000"/>
            </w:tcBorders>
            <w:shd w:val="solid" w:color="EBE7E2" w:fill="auto"/>
            <w:tcMar>
              <w:top w:w="113" w:type="dxa"/>
              <w:left w:w="113" w:type="dxa"/>
              <w:bottom w:w="113" w:type="dxa"/>
              <w:right w:w="80" w:type="dxa"/>
            </w:tcMar>
          </w:tcPr>
          <w:p w14:paraId="0D14DC35" w14:textId="77777777" w:rsidR="00AF2A14" w:rsidRDefault="00AF2A14">
            <w:pPr>
              <w:pStyle w:val="Tabletext"/>
              <w:jc w:val="right"/>
            </w:pPr>
            <w:r>
              <w:t>42</w:t>
            </w:r>
          </w:p>
        </w:tc>
      </w:tr>
      <w:tr w:rsidR="00AF2A14" w14:paraId="60557C84" w14:textId="77777777">
        <w:trPr>
          <w:trHeight w:val="60"/>
        </w:trPr>
        <w:tc>
          <w:tcPr>
            <w:tcW w:w="5641" w:type="dxa"/>
            <w:tcBorders>
              <w:top w:val="single" w:sz="2" w:space="0" w:color="8A8A84"/>
              <w:left w:val="single" w:sz="6" w:space="0" w:color="FFFFFF"/>
              <w:bottom w:val="single" w:sz="2" w:space="0" w:color="8A8A84"/>
              <w:right w:val="single" w:sz="6" w:space="0" w:color="000000"/>
            </w:tcBorders>
            <w:shd w:val="solid" w:color="EBE7E2" w:fill="auto"/>
            <w:tcMar>
              <w:top w:w="113" w:type="dxa"/>
              <w:left w:w="113" w:type="dxa"/>
              <w:bottom w:w="113" w:type="dxa"/>
              <w:right w:w="80" w:type="dxa"/>
            </w:tcMar>
          </w:tcPr>
          <w:p w14:paraId="54C9C534" w14:textId="77777777" w:rsidR="00AF2A14" w:rsidRDefault="00AF2A14">
            <w:pPr>
              <w:pStyle w:val="Tabletextbold"/>
            </w:pPr>
            <w:r>
              <w:t>Average length of service in Agency (months)</w:t>
            </w:r>
          </w:p>
        </w:tc>
        <w:tc>
          <w:tcPr>
            <w:tcW w:w="1301" w:type="dxa"/>
            <w:tcBorders>
              <w:top w:val="single" w:sz="2" w:space="0" w:color="8A8A84"/>
              <w:left w:val="single" w:sz="6" w:space="0" w:color="000000"/>
              <w:bottom w:val="single" w:sz="2" w:space="0" w:color="8A8A84"/>
              <w:right w:val="single" w:sz="6" w:space="0" w:color="FFFFFF"/>
            </w:tcBorders>
            <w:shd w:val="solid" w:color="EBE7E2" w:fill="auto"/>
            <w:tcMar>
              <w:top w:w="113" w:type="dxa"/>
              <w:left w:w="113" w:type="dxa"/>
              <w:bottom w:w="113" w:type="dxa"/>
              <w:right w:w="80" w:type="dxa"/>
            </w:tcMar>
          </w:tcPr>
          <w:p w14:paraId="5B9F459D" w14:textId="77777777" w:rsidR="00AF2A14" w:rsidRDefault="00AF2A14">
            <w:pPr>
              <w:pStyle w:val="Tabletext"/>
              <w:jc w:val="right"/>
            </w:pPr>
            <w:r>
              <w:t>13.81</w:t>
            </w:r>
          </w:p>
        </w:tc>
        <w:tc>
          <w:tcPr>
            <w:tcW w:w="1327" w:type="dxa"/>
            <w:tcBorders>
              <w:top w:val="single" w:sz="2" w:space="0" w:color="8A8A84"/>
              <w:left w:val="single" w:sz="6" w:space="0" w:color="FFFFFF"/>
              <w:bottom w:val="single" w:sz="2" w:space="0" w:color="8A8A84"/>
              <w:right w:val="single" w:sz="6" w:space="0" w:color="000000"/>
            </w:tcBorders>
            <w:shd w:val="solid" w:color="EBE7E2" w:fill="auto"/>
            <w:tcMar>
              <w:top w:w="113" w:type="dxa"/>
              <w:left w:w="113" w:type="dxa"/>
              <w:bottom w:w="113" w:type="dxa"/>
              <w:right w:w="80" w:type="dxa"/>
            </w:tcMar>
          </w:tcPr>
          <w:p w14:paraId="083E7D31" w14:textId="77777777" w:rsidR="00AF2A14" w:rsidRDefault="00AF2A14">
            <w:pPr>
              <w:pStyle w:val="Tabletext"/>
              <w:jc w:val="right"/>
            </w:pPr>
            <w:r>
              <w:t>15</w:t>
            </w:r>
          </w:p>
        </w:tc>
      </w:tr>
      <w:tr w:rsidR="00AF2A14" w14:paraId="555D5840" w14:textId="77777777">
        <w:trPr>
          <w:trHeight w:val="60"/>
        </w:trPr>
        <w:tc>
          <w:tcPr>
            <w:tcW w:w="5641" w:type="dxa"/>
            <w:tcBorders>
              <w:top w:val="single" w:sz="2" w:space="0" w:color="8A8A84"/>
              <w:left w:val="single" w:sz="6" w:space="0" w:color="FFFFFF"/>
              <w:bottom w:val="single" w:sz="2" w:space="0" w:color="8A8A84"/>
              <w:right w:val="single" w:sz="6" w:space="0" w:color="000000"/>
            </w:tcBorders>
            <w:shd w:val="solid" w:color="EBE7E2" w:fill="auto"/>
            <w:tcMar>
              <w:top w:w="113" w:type="dxa"/>
              <w:left w:w="113" w:type="dxa"/>
              <w:bottom w:w="113" w:type="dxa"/>
              <w:right w:w="80" w:type="dxa"/>
            </w:tcMar>
          </w:tcPr>
          <w:p w14:paraId="4A96CB3D" w14:textId="77777777" w:rsidR="00AF2A14" w:rsidRDefault="00AF2A14">
            <w:pPr>
              <w:pStyle w:val="Tabletextbold"/>
            </w:pPr>
            <w:r>
              <w:t>How long the Agency has been established as at 30 June (months)</w:t>
            </w:r>
          </w:p>
        </w:tc>
        <w:tc>
          <w:tcPr>
            <w:tcW w:w="1301" w:type="dxa"/>
            <w:tcBorders>
              <w:top w:val="single" w:sz="2" w:space="0" w:color="8A8A84"/>
              <w:left w:val="single" w:sz="6" w:space="0" w:color="000000"/>
              <w:bottom w:val="single" w:sz="2" w:space="0" w:color="8A8A84"/>
              <w:right w:val="single" w:sz="6" w:space="0" w:color="FFFFFF"/>
            </w:tcBorders>
            <w:shd w:val="solid" w:color="EBE7E2" w:fill="auto"/>
            <w:tcMar>
              <w:top w:w="113" w:type="dxa"/>
              <w:left w:w="113" w:type="dxa"/>
              <w:bottom w:w="113" w:type="dxa"/>
              <w:right w:w="80" w:type="dxa"/>
            </w:tcMar>
          </w:tcPr>
          <w:p w14:paraId="15FFC399" w14:textId="77777777" w:rsidR="00AF2A14" w:rsidRDefault="00AF2A14">
            <w:pPr>
              <w:pStyle w:val="Tabletext"/>
              <w:jc w:val="right"/>
            </w:pPr>
            <w:r>
              <w:t>24</w:t>
            </w:r>
          </w:p>
        </w:tc>
        <w:tc>
          <w:tcPr>
            <w:tcW w:w="1327" w:type="dxa"/>
            <w:tcBorders>
              <w:top w:val="single" w:sz="2" w:space="0" w:color="8A8A84"/>
              <w:left w:val="single" w:sz="6" w:space="0" w:color="FFFFFF"/>
              <w:bottom w:val="single" w:sz="2" w:space="0" w:color="8A8A84"/>
              <w:right w:val="single" w:sz="6" w:space="0" w:color="000000"/>
            </w:tcBorders>
            <w:shd w:val="solid" w:color="EBE7E2" w:fill="auto"/>
            <w:tcMar>
              <w:top w:w="113" w:type="dxa"/>
              <w:left w:w="113" w:type="dxa"/>
              <w:bottom w:w="113" w:type="dxa"/>
              <w:right w:w="80" w:type="dxa"/>
            </w:tcMar>
          </w:tcPr>
          <w:p w14:paraId="0FFF6F4B" w14:textId="77777777" w:rsidR="00AF2A14" w:rsidRDefault="00AF2A14">
            <w:pPr>
              <w:pStyle w:val="Tabletext"/>
              <w:jc w:val="right"/>
            </w:pPr>
            <w:r>
              <w:t>36</w:t>
            </w:r>
          </w:p>
        </w:tc>
      </w:tr>
      <w:tr w:rsidR="00AF2A14" w14:paraId="1B816AB6" w14:textId="77777777">
        <w:trPr>
          <w:trHeight w:val="60"/>
        </w:trPr>
        <w:tc>
          <w:tcPr>
            <w:tcW w:w="5641" w:type="dxa"/>
            <w:tcBorders>
              <w:top w:val="single" w:sz="2" w:space="0" w:color="8A8A84"/>
              <w:left w:val="single" w:sz="6" w:space="0" w:color="FFFFFF"/>
              <w:bottom w:val="single" w:sz="2" w:space="0" w:color="8A8A84"/>
              <w:right w:val="single" w:sz="6" w:space="0" w:color="000000"/>
            </w:tcBorders>
            <w:shd w:val="solid" w:color="EBE7E2" w:fill="auto"/>
            <w:tcMar>
              <w:top w:w="113" w:type="dxa"/>
              <w:left w:w="113" w:type="dxa"/>
              <w:bottom w:w="113" w:type="dxa"/>
              <w:right w:w="80" w:type="dxa"/>
            </w:tcMar>
          </w:tcPr>
          <w:p w14:paraId="790F7E71" w14:textId="77777777" w:rsidR="00AF2A14" w:rsidRDefault="00AF2A14">
            <w:pPr>
              <w:pStyle w:val="Tabletextbold"/>
            </w:pPr>
            <w:r>
              <w:t>Female (per cent)</w:t>
            </w:r>
          </w:p>
        </w:tc>
        <w:tc>
          <w:tcPr>
            <w:tcW w:w="1301" w:type="dxa"/>
            <w:tcBorders>
              <w:top w:val="single" w:sz="2" w:space="0" w:color="8A8A84"/>
              <w:left w:val="single" w:sz="6" w:space="0" w:color="000000"/>
              <w:bottom w:val="single" w:sz="2" w:space="0" w:color="8A8A84"/>
              <w:right w:val="single" w:sz="6" w:space="0" w:color="FFFFFF"/>
            </w:tcBorders>
            <w:shd w:val="solid" w:color="EBE7E2" w:fill="auto"/>
            <w:tcMar>
              <w:top w:w="113" w:type="dxa"/>
              <w:left w:w="113" w:type="dxa"/>
              <w:bottom w:w="113" w:type="dxa"/>
              <w:right w:w="80" w:type="dxa"/>
            </w:tcMar>
          </w:tcPr>
          <w:p w14:paraId="6272A42B" w14:textId="77777777" w:rsidR="00AF2A14" w:rsidRDefault="00AF2A14">
            <w:pPr>
              <w:pStyle w:val="Tabletext"/>
              <w:jc w:val="right"/>
            </w:pPr>
            <w:r>
              <w:t>75</w:t>
            </w:r>
          </w:p>
        </w:tc>
        <w:tc>
          <w:tcPr>
            <w:tcW w:w="1327" w:type="dxa"/>
            <w:tcBorders>
              <w:top w:val="single" w:sz="2" w:space="0" w:color="8A8A84"/>
              <w:left w:val="single" w:sz="6" w:space="0" w:color="FFFFFF"/>
              <w:bottom w:val="single" w:sz="2" w:space="0" w:color="8A8A84"/>
              <w:right w:val="single" w:sz="6" w:space="0" w:color="000000"/>
            </w:tcBorders>
            <w:shd w:val="solid" w:color="EBE7E2" w:fill="auto"/>
            <w:tcMar>
              <w:top w:w="113" w:type="dxa"/>
              <w:left w:w="113" w:type="dxa"/>
              <w:bottom w:w="113" w:type="dxa"/>
              <w:right w:w="80" w:type="dxa"/>
            </w:tcMar>
          </w:tcPr>
          <w:p w14:paraId="6310EDD8" w14:textId="77777777" w:rsidR="00AF2A14" w:rsidRDefault="00AF2A14">
            <w:pPr>
              <w:pStyle w:val="Tabletext"/>
              <w:jc w:val="right"/>
            </w:pPr>
            <w:r>
              <w:t>74</w:t>
            </w:r>
          </w:p>
        </w:tc>
      </w:tr>
      <w:tr w:rsidR="00AF2A14" w14:paraId="1CFBAB49" w14:textId="77777777">
        <w:trPr>
          <w:trHeight w:val="60"/>
        </w:trPr>
        <w:tc>
          <w:tcPr>
            <w:tcW w:w="5641" w:type="dxa"/>
            <w:tcBorders>
              <w:top w:val="single" w:sz="2" w:space="0" w:color="8A8A84"/>
              <w:left w:val="single" w:sz="6" w:space="0" w:color="FFFFFF"/>
              <w:bottom w:val="single" w:sz="2" w:space="0" w:color="8A8A84"/>
              <w:right w:val="single" w:sz="6" w:space="0" w:color="000000"/>
            </w:tcBorders>
            <w:shd w:val="solid" w:color="EBE7E2" w:fill="auto"/>
            <w:tcMar>
              <w:top w:w="113" w:type="dxa"/>
              <w:left w:w="113" w:type="dxa"/>
              <w:bottom w:w="113" w:type="dxa"/>
              <w:right w:w="80" w:type="dxa"/>
            </w:tcMar>
          </w:tcPr>
          <w:p w14:paraId="4EE78987" w14:textId="77777777" w:rsidR="00AF2A14" w:rsidRDefault="00AF2A14">
            <w:pPr>
              <w:pStyle w:val="Tabletextbold"/>
            </w:pPr>
            <w:r>
              <w:t>Male (per cent)</w:t>
            </w:r>
          </w:p>
        </w:tc>
        <w:tc>
          <w:tcPr>
            <w:tcW w:w="1301" w:type="dxa"/>
            <w:tcBorders>
              <w:top w:val="single" w:sz="2" w:space="0" w:color="8A8A84"/>
              <w:left w:val="single" w:sz="6" w:space="0" w:color="000000"/>
              <w:bottom w:val="single" w:sz="2" w:space="0" w:color="8A8A84"/>
              <w:right w:val="single" w:sz="6" w:space="0" w:color="FFFFFF"/>
            </w:tcBorders>
            <w:shd w:val="solid" w:color="EBE7E2" w:fill="auto"/>
            <w:tcMar>
              <w:top w:w="113" w:type="dxa"/>
              <w:left w:w="113" w:type="dxa"/>
              <w:bottom w:w="113" w:type="dxa"/>
              <w:right w:w="80" w:type="dxa"/>
            </w:tcMar>
          </w:tcPr>
          <w:p w14:paraId="2393EFD7" w14:textId="77777777" w:rsidR="00AF2A14" w:rsidRDefault="00AF2A14">
            <w:pPr>
              <w:pStyle w:val="Tabletext"/>
              <w:jc w:val="right"/>
            </w:pPr>
            <w:r>
              <w:t>25</w:t>
            </w:r>
          </w:p>
        </w:tc>
        <w:tc>
          <w:tcPr>
            <w:tcW w:w="1327" w:type="dxa"/>
            <w:tcBorders>
              <w:top w:val="single" w:sz="2" w:space="0" w:color="8A8A84"/>
              <w:left w:val="single" w:sz="6" w:space="0" w:color="FFFFFF"/>
              <w:bottom w:val="single" w:sz="2" w:space="0" w:color="8A8A84"/>
              <w:right w:val="single" w:sz="6" w:space="0" w:color="000000"/>
            </w:tcBorders>
            <w:shd w:val="solid" w:color="EBE7E2" w:fill="auto"/>
            <w:tcMar>
              <w:top w:w="113" w:type="dxa"/>
              <w:left w:w="113" w:type="dxa"/>
              <w:bottom w:w="113" w:type="dxa"/>
              <w:right w:w="80" w:type="dxa"/>
            </w:tcMar>
          </w:tcPr>
          <w:p w14:paraId="7D64BEE1" w14:textId="77777777" w:rsidR="00AF2A14" w:rsidRDefault="00AF2A14">
            <w:pPr>
              <w:pStyle w:val="Tabletext"/>
              <w:jc w:val="right"/>
            </w:pPr>
            <w:r>
              <w:t>26</w:t>
            </w:r>
          </w:p>
        </w:tc>
      </w:tr>
      <w:tr w:rsidR="00AF2A14" w14:paraId="76133CB7" w14:textId="77777777">
        <w:trPr>
          <w:trHeight w:val="60"/>
        </w:trPr>
        <w:tc>
          <w:tcPr>
            <w:tcW w:w="5641" w:type="dxa"/>
            <w:tcBorders>
              <w:top w:val="single" w:sz="2" w:space="0" w:color="8A8A84"/>
              <w:left w:val="single" w:sz="6" w:space="0" w:color="FFFFFF"/>
              <w:bottom w:val="single" w:sz="2" w:space="0" w:color="8A8A84"/>
              <w:right w:val="single" w:sz="6" w:space="0" w:color="000000"/>
            </w:tcBorders>
            <w:shd w:val="solid" w:color="EBE7E2" w:fill="auto"/>
            <w:tcMar>
              <w:top w:w="113" w:type="dxa"/>
              <w:left w:w="113" w:type="dxa"/>
              <w:bottom w:w="113" w:type="dxa"/>
              <w:right w:w="80" w:type="dxa"/>
            </w:tcMar>
          </w:tcPr>
          <w:p w14:paraId="7DE6D892" w14:textId="77777777" w:rsidR="00AF2A14" w:rsidRDefault="00AF2A14">
            <w:pPr>
              <w:pStyle w:val="Tabletextbold"/>
            </w:pPr>
            <w:r>
              <w:t>Part-time (per cent)</w:t>
            </w:r>
          </w:p>
        </w:tc>
        <w:tc>
          <w:tcPr>
            <w:tcW w:w="1301" w:type="dxa"/>
            <w:tcBorders>
              <w:top w:val="single" w:sz="2" w:space="0" w:color="8A8A84"/>
              <w:left w:val="single" w:sz="6" w:space="0" w:color="000000"/>
              <w:bottom w:val="single" w:sz="2" w:space="0" w:color="8A8A84"/>
              <w:right w:val="single" w:sz="6" w:space="0" w:color="FFFFFF"/>
            </w:tcBorders>
            <w:shd w:val="solid" w:color="EBE7E2" w:fill="auto"/>
            <w:tcMar>
              <w:top w:w="113" w:type="dxa"/>
              <w:left w:w="113" w:type="dxa"/>
              <w:bottom w:w="113" w:type="dxa"/>
              <w:right w:w="80" w:type="dxa"/>
            </w:tcMar>
          </w:tcPr>
          <w:p w14:paraId="1C0F5D11" w14:textId="77777777" w:rsidR="00AF2A14" w:rsidRDefault="00AF2A14">
            <w:pPr>
              <w:pStyle w:val="Tabletext"/>
              <w:jc w:val="right"/>
            </w:pPr>
            <w:r>
              <w:t>17</w:t>
            </w:r>
          </w:p>
        </w:tc>
        <w:tc>
          <w:tcPr>
            <w:tcW w:w="1327" w:type="dxa"/>
            <w:tcBorders>
              <w:top w:val="single" w:sz="2" w:space="0" w:color="8A8A84"/>
              <w:left w:val="single" w:sz="6" w:space="0" w:color="FFFFFF"/>
              <w:bottom w:val="single" w:sz="2" w:space="0" w:color="8A8A84"/>
              <w:right w:val="single" w:sz="6" w:space="0" w:color="000000"/>
            </w:tcBorders>
            <w:shd w:val="solid" w:color="EBE7E2" w:fill="auto"/>
            <w:tcMar>
              <w:top w:w="113" w:type="dxa"/>
              <w:left w:w="113" w:type="dxa"/>
              <w:bottom w:w="113" w:type="dxa"/>
              <w:right w:w="80" w:type="dxa"/>
            </w:tcMar>
          </w:tcPr>
          <w:p w14:paraId="14720AC1" w14:textId="77777777" w:rsidR="00AF2A14" w:rsidRDefault="00AF2A14">
            <w:pPr>
              <w:pStyle w:val="Tabletext"/>
              <w:jc w:val="right"/>
            </w:pPr>
            <w:r>
              <w:t>15</w:t>
            </w:r>
          </w:p>
        </w:tc>
      </w:tr>
    </w:tbl>
    <w:p w14:paraId="5B0D37EF" w14:textId="77777777" w:rsidR="00AF2A14" w:rsidRDefault="00AF2A14" w:rsidP="00AF2A14">
      <w:pPr>
        <w:pStyle w:val="BodyCopy"/>
      </w:pPr>
    </w:p>
    <w:p w14:paraId="2527A49E" w14:textId="3D28C349" w:rsidR="00AF2A14" w:rsidRDefault="00AF2A14" w:rsidP="00AE4EAF">
      <w:pPr>
        <w:pStyle w:val="Heading3Tables"/>
      </w:pPr>
      <w:bookmarkStart w:id="52" w:name="_Toc464481228"/>
      <w:r>
        <w:t xml:space="preserve">Table </w:t>
      </w:r>
      <w:r w:rsidR="002D348F">
        <w:t>6</w:t>
      </w:r>
      <w:r>
        <w:t>: NDIA employees who identify as Aboriginal and Torres Strait Islander (headcount), 2014-15 and 2015-16</w:t>
      </w:r>
      <w:bookmarkEnd w:id="52"/>
    </w:p>
    <w:tbl>
      <w:tblPr>
        <w:tblW w:w="0" w:type="auto"/>
        <w:tblInd w:w="-8" w:type="dxa"/>
        <w:tblLayout w:type="fixed"/>
        <w:tblCellMar>
          <w:left w:w="0" w:type="dxa"/>
          <w:right w:w="0" w:type="dxa"/>
        </w:tblCellMar>
        <w:tblLook w:val="0000" w:firstRow="0" w:lastRow="0" w:firstColumn="0" w:lastColumn="0" w:noHBand="0" w:noVBand="0"/>
      </w:tblPr>
      <w:tblGrid>
        <w:gridCol w:w="5641"/>
        <w:gridCol w:w="1301"/>
        <w:gridCol w:w="1327"/>
      </w:tblGrid>
      <w:tr w:rsidR="00AF2A14" w14:paraId="06D10D32" w14:textId="77777777">
        <w:trPr>
          <w:trHeight w:val="60"/>
          <w:tblHeader/>
        </w:trPr>
        <w:tc>
          <w:tcPr>
            <w:tcW w:w="5641" w:type="dxa"/>
            <w:tcBorders>
              <w:top w:val="single" w:sz="6" w:space="0" w:color="FFFFFF"/>
              <w:left w:val="single" w:sz="6" w:space="0" w:color="FFFFFF"/>
              <w:bottom w:val="single" w:sz="6" w:space="0" w:color="8A8A84"/>
              <w:right w:val="single" w:sz="6" w:space="0" w:color="FFFFFF"/>
            </w:tcBorders>
            <w:shd w:val="solid" w:color="000000" w:fill="auto"/>
            <w:tcMar>
              <w:top w:w="113" w:type="dxa"/>
              <w:left w:w="113" w:type="dxa"/>
              <w:bottom w:w="113" w:type="dxa"/>
              <w:right w:w="80" w:type="dxa"/>
            </w:tcMar>
          </w:tcPr>
          <w:p w14:paraId="7CE2FE3D" w14:textId="77777777" w:rsidR="00AF2A14" w:rsidRDefault="00AF2A14">
            <w:pPr>
              <w:pStyle w:val="Tableheader"/>
            </w:pPr>
            <w:bookmarkStart w:id="53" w:name="Title_Table6" w:colFirst="0" w:colLast="0"/>
            <w:r>
              <w:t>Staff identifying as Aboriginal and Torres Strait Islander</w:t>
            </w:r>
          </w:p>
        </w:tc>
        <w:tc>
          <w:tcPr>
            <w:tcW w:w="1301" w:type="dxa"/>
            <w:tcBorders>
              <w:top w:val="single" w:sz="6" w:space="0" w:color="FFFFFF"/>
              <w:left w:val="single" w:sz="6" w:space="0" w:color="FFFFFF"/>
              <w:bottom w:val="single" w:sz="6" w:space="0" w:color="8A8A84"/>
              <w:right w:val="single" w:sz="6" w:space="0" w:color="FFFFFF"/>
            </w:tcBorders>
            <w:shd w:val="solid" w:color="000000" w:fill="auto"/>
            <w:tcMar>
              <w:top w:w="113" w:type="dxa"/>
              <w:left w:w="113" w:type="dxa"/>
              <w:bottom w:w="113" w:type="dxa"/>
              <w:right w:w="80" w:type="dxa"/>
            </w:tcMar>
          </w:tcPr>
          <w:p w14:paraId="2B4056E2" w14:textId="77777777" w:rsidR="00AF2A14" w:rsidRDefault="00AF2A14">
            <w:pPr>
              <w:pStyle w:val="Tableheader"/>
              <w:jc w:val="right"/>
            </w:pPr>
            <w:r>
              <w:t>2014-15 (headcount)</w:t>
            </w:r>
          </w:p>
        </w:tc>
        <w:tc>
          <w:tcPr>
            <w:tcW w:w="1327" w:type="dxa"/>
            <w:tcBorders>
              <w:top w:val="single" w:sz="6" w:space="0" w:color="FFFFFF"/>
              <w:left w:val="single" w:sz="6" w:space="0" w:color="FFFFFF"/>
              <w:bottom w:val="single" w:sz="6" w:space="0" w:color="8A8A84"/>
              <w:right w:val="single" w:sz="6" w:space="0" w:color="FFFFFF"/>
            </w:tcBorders>
            <w:shd w:val="solid" w:color="000000" w:fill="auto"/>
            <w:tcMar>
              <w:top w:w="113" w:type="dxa"/>
              <w:left w:w="113" w:type="dxa"/>
              <w:bottom w:w="113" w:type="dxa"/>
              <w:right w:w="80" w:type="dxa"/>
            </w:tcMar>
          </w:tcPr>
          <w:p w14:paraId="5E51E528" w14:textId="77777777" w:rsidR="00AF2A14" w:rsidRDefault="00AF2A14">
            <w:pPr>
              <w:pStyle w:val="Tableheader"/>
              <w:jc w:val="right"/>
            </w:pPr>
            <w:r>
              <w:t>2015-16 (headcount)</w:t>
            </w:r>
          </w:p>
        </w:tc>
      </w:tr>
      <w:bookmarkEnd w:id="53"/>
      <w:tr w:rsidR="00AF2A14" w14:paraId="612D1613" w14:textId="77777777">
        <w:trPr>
          <w:trHeight w:val="60"/>
        </w:trPr>
        <w:tc>
          <w:tcPr>
            <w:tcW w:w="5641" w:type="dxa"/>
            <w:tcBorders>
              <w:top w:val="single" w:sz="2" w:space="0" w:color="8A8A84"/>
              <w:left w:val="single" w:sz="6" w:space="0" w:color="FFFFFF"/>
              <w:bottom w:val="single" w:sz="2" w:space="0" w:color="8A8A84"/>
              <w:right w:val="single" w:sz="6" w:space="0" w:color="000000"/>
            </w:tcBorders>
            <w:shd w:val="solid" w:color="EBE7E2" w:fill="auto"/>
            <w:tcMar>
              <w:top w:w="113" w:type="dxa"/>
              <w:left w:w="113" w:type="dxa"/>
              <w:bottom w:w="113" w:type="dxa"/>
              <w:right w:w="80" w:type="dxa"/>
            </w:tcMar>
          </w:tcPr>
          <w:p w14:paraId="1CF3EC97" w14:textId="77777777" w:rsidR="00AF2A14" w:rsidRDefault="00AF2A14">
            <w:pPr>
              <w:pStyle w:val="Tabletextbold"/>
            </w:pPr>
            <w:r>
              <w:t>Non-ongoing part-time</w:t>
            </w:r>
          </w:p>
        </w:tc>
        <w:tc>
          <w:tcPr>
            <w:tcW w:w="1301" w:type="dxa"/>
            <w:tcBorders>
              <w:top w:val="single" w:sz="2" w:space="0" w:color="8A8A84"/>
              <w:left w:val="single" w:sz="6" w:space="0" w:color="000000"/>
              <w:bottom w:val="single" w:sz="2" w:space="0" w:color="8A8A84"/>
              <w:right w:val="single" w:sz="6" w:space="0" w:color="FFFFFF"/>
            </w:tcBorders>
            <w:shd w:val="solid" w:color="EBE7E2" w:fill="auto"/>
            <w:tcMar>
              <w:top w:w="113" w:type="dxa"/>
              <w:left w:w="113" w:type="dxa"/>
              <w:bottom w:w="113" w:type="dxa"/>
              <w:right w:w="80" w:type="dxa"/>
            </w:tcMar>
          </w:tcPr>
          <w:p w14:paraId="54C823E3" w14:textId="77777777" w:rsidR="00AF2A14" w:rsidRDefault="00AF2A14">
            <w:pPr>
              <w:pStyle w:val="Tabletext"/>
              <w:jc w:val="right"/>
            </w:pPr>
            <w:r>
              <w:t>0</w:t>
            </w:r>
          </w:p>
        </w:tc>
        <w:tc>
          <w:tcPr>
            <w:tcW w:w="1327" w:type="dxa"/>
            <w:tcBorders>
              <w:top w:val="single" w:sz="2" w:space="0" w:color="8A8A84"/>
              <w:left w:val="single" w:sz="6" w:space="0" w:color="FFFFFF"/>
              <w:bottom w:val="single" w:sz="2" w:space="0" w:color="8A8A84"/>
              <w:right w:val="single" w:sz="6" w:space="0" w:color="000000"/>
            </w:tcBorders>
            <w:shd w:val="solid" w:color="EBE7E2" w:fill="auto"/>
            <w:tcMar>
              <w:top w:w="113" w:type="dxa"/>
              <w:left w:w="113" w:type="dxa"/>
              <w:bottom w:w="113" w:type="dxa"/>
              <w:right w:w="80" w:type="dxa"/>
            </w:tcMar>
          </w:tcPr>
          <w:p w14:paraId="1D159CCD" w14:textId="77777777" w:rsidR="00AF2A14" w:rsidRDefault="00AF2A14">
            <w:pPr>
              <w:pStyle w:val="Tabletext"/>
              <w:jc w:val="right"/>
            </w:pPr>
            <w:r>
              <w:t>0</w:t>
            </w:r>
          </w:p>
        </w:tc>
      </w:tr>
      <w:tr w:rsidR="00AF2A14" w14:paraId="34F298DC" w14:textId="77777777">
        <w:trPr>
          <w:trHeight w:val="60"/>
        </w:trPr>
        <w:tc>
          <w:tcPr>
            <w:tcW w:w="5641" w:type="dxa"/>
            <w:tcBorders>
              <w:top w:val="single" w:sz="2" w:space="0" w:color="8A8A84"/>
              <w:left w:val="single" w:sz="6" w:space="0" w:color="FFFFFF"/>
              <w:bottom w:val="single" w:sz="2" w:space="0" w:color="8A8A84"/>
              <w:right w:val="single" w:sz="6" w:space="0" w:color="000000"/>
            </w:tcBorders>
            <w:shd w:val="solid" w:color="EBE7E2" w:fill="auto"/>
            <w:tcMar>
              <w:top w:w="113" w:type="dxa"/>
              <w:left w:w="113" w:type="dxa"/>
              <w:bottom w:w="113" w:type="dxa"/>
              <w:right w:w="80" w:type="dxa"/>
            </w:tcMar>
          </w:tcPr>
          <w:p w14:paraId="19B4BA2F" w14:textId="77777777" w:rsidR="00AF2A14" w:rsidRDefault="00AF2A14">
            <w:pPr>
              <w:pStyle w:val="Tabletextbold"/>
            </w:pPr>
            <w:r>
              <w:t>Non-ongoing full-time</w:t>
            </w:r>
          </w:p>
        </w:tc>
        <w:tc>
          <w:tcPr>
            <w:tcW w:w="1301" w:type="dxa"/>
            <w:tcBorders>
              <w:top w:val="single" w:sz="2" w:space="0" w:color="8A8A84"/>
              <w:left w:val="single" w:sz="6" w:space="0" w:color="000000"/>
              <w:bottom w:val="single" w:sz="2" w:space="0" w:color="8A8A84"/>
              <w:right w:val="single" w:sz="6" w:space="0" w:color="FFFFFF"/>
            </w:tcBorders>
            <w:shd w:val="solid" w:color="EBE7E2" w:fill="auto"/>
            <w:tcMar>
              <w:top w:w="113" w:type="dxa"/>
              <w:left w:w="113" w:type="dxa"/>
              <w:bottom w:w="113" w:type="dxa"/>
              <w:right w:w="80" w:type="dxa"/>
            </w:tcMar>
          </w:tcPr>
          <w:p w14:paraId="45576A66" w14:textId="77777777" w:rsidR="00AF2A14" w:rsidRDefault="00AF2A14">
            <w:pPr>
              <w:pStyle w:val="Tabletext"/>
              <w:jc w:val="right"/>
            </w:pPr>
            <w:r>
              <w:t>5</w:t>
            </w:r>
          </w:p>
        </w:tc>
        <w:tc>
          <w:tcPr>
            <w:tcW w:w="1327" w:type="dxa"/>
            <w:tcBorders>
              <w:top w:val="single" w:sz="2" w:space="0" w:color="8A8A84"/>
              <w:left w:val="single" w:sz="6" w:space="0" w:color="FFFFFF"/>
              <w:bottom w:val="single" w:sz="2" w:space="0" w:color="8A8A84"/>
              <w:right w:val="single" w:sz="6" w:space="0" w:color="000000"/>
            </w:tcBorders>
            <w:shd w:val="solid" w:color="EBE7E2" w:fill="auto"/>
            <w:tcMar>
              <w:top w:w="113" w:type="dxa"/>
              <w:left w:w="113" w:type="dxa"/>
              <w:bottom w:w="113" w:type="dxa"/>
              <w:right w:w="80" w:type="dxa"/>
            </w:tcMar>
          </w:tcPr>
          <w:p w14:paraId="4599B647" w14:textId="77777777" w:rsidR="00AF2A14" w:rsidRDefault="00AF2A14">
            <w:pPr>
              <w:pStyle w:val="Tabletext"/>
              <w:jc w:val="right"/>
            </w:pPr>
            <w:r>
              <w:t>12</w:t>
            </w:r>
          </w:p>
        </w:tc>
      </w:tr>
      <w:tr w:rsidR="00AF2A14" w14:paraId="77046B4D" w14:textId="77777777">
        <w:trPr>
          <w:trHeight w:val="60"/>
        </w:trPr>
        <w:tc>
          <w:tcPr>
            <w:tcW w:w="5641" w:type="dxa"/>
            <w:tcBorders>
              <w:top w:val="single" w:sz="2" w:space="0" w:color="8A8A84"/>
              <w:left w:val="single" w:sz="6" w:space="0" w:color="FFFFFF"/>
              <w:bottom w:val="single" w:sz="2" w:space="0" w:color="8A8A84"/>
              <w:right w:val="single" w:sz="6" w:space="0" w:color="000000"/>
            </w:tcBorders>
            <w:shd w:val="solid" w:color="EBE7E2" w:fill="auto"/>
            <w:tcMar>
              <w:top w:w="113" w:type="dxa"/>
              <w:left w:w="113" w:type="dxa"/>
              <w:bottom w:w="113" w:type="dxa"/>
              <w:right w:w="80" w:type="dxa"/>
            </w:tcMar>
          </w:tcPr>
          <w:p w14:paraId="59DF0C4F" w14:textId="77777777" w:rsidR="00AF2A14" w:rsidRDefault="00AF2A14">
            <w:pPr>
              <w:pStyle w:val="Tabletextbold"/>
            </w:pPr>
            <w:r>
              <w:lastRenderedPageBreak/>
              <w:t>Ongoing part-time</w:t>
            </w:r>
          </w:p>
        </w:tc>
        <w:tc>
          <w:tcPr>
            <w:tcW w:w="1301" w:type="dxa"/>
            <w:tcBorders>
              <w:top w:val="single" w:sz="2" w:space="0" w:color="8A8A84"/>
              <w:left w:val="single" w:sz="6" w:space="0" w:color="000000"/>
              <w:bottom w:val="single" w:sz="2" w:space="0" w:color="8A8A84"/>
              <w:right w:val="single" w:sz="6" w:space="0" w:color="FFFFFF"/>
            </w:tcBorders>
            <w:shd w:val="solid" w:color="EBE7E2" w:fill="auto"/>
            <w:tcMar>
              <w:top w:w="113" w:type="dxa"/>
              <w:left w:w="113" w:type="dxa"/>
              <w:bottom w:w="113" w:type="dxa"/>
              <w:right w:w="80" w:type="dxa"/>
            </w:tcMar>
          </w:tcPr>
          <w:p w14:paraId="5CE80B1D" w14:textId="77777777" w:rsidR="00AF2A14" w:rsidRDefault="00AF2A14">
            <w:pPr>
              <w:pStyle w:val="Tabletext"/>
              <w:jc w:val="right"/>
            </w:pPr>
            <w:r>
              <w:t>2</w:t>
            </w:r>
          </w:p>
        </w:tc>
        <w:tc>
          <w:tcPr>
            <w:tcW w:w="1327" w:type="dxa"/>
            <w:tcBorders>
              <w:top w:val="single" w:sz="2" w:space="0" w:color="8A8A84"/>
              <w:left w:val="single" w:sz="6" w:space="0" w:color="FFFFFF"/>
              <w:bottom w:val="single" w:sz="2" w:space="0" w:color="8A8A84"/>
              <w:right w:val="single" w:sz="6" w:space="0" w:color="000000"/>
            </w:tcBorders>
            <w:shd w:val="solid" w:color="EBE7E2" w:fill="auto"/>
            <w:tcMar>
              <w:top w:w="113" w:type="dxa"/>
              <w:left w:w="113" w:type="dxa"/>
              <w:bottom w:w="113" w:type="dxa"/>
              <w:right w:w="80" w:type="dxa"/>
            </w:tcMar>
          </w:tcPr>
          <w:p w14:paraId="4CFF3E43" w14:textId="77777777" w:rsidR="00AF2A14" w:rsidRDefault="00AF2A14">
            <w:pPr>
              <w:pStyle w:val="Tabletext"/>
              <w:jc w:val="right"/>
            </w:pPr>
            <w:r>
              <w:t>1</w:t>
            </w:r>
          </w:p>
        </w:tc>
      </w:tr>
      <w:tr w:rsidR="00AF2A14" w14:paraId="101D688D" w14:textId="77777777">
        <w:trPr>
          <w:trHeight w:val="60"/>
        </w:trPr>
        <w:tc>
          <w:tcPr>
            <w:tcW w:w="5641" w:type="dxa"/>
            <w:tcBorders>
              <w:top w:val="single" w:sz="2" w:space="0" w:color="8A8A84"/>
              <w:left w:val="single" w:sz="6" w:space="0" w:color="FFFFFF"/>
              <w:bottom w:val="single" w:sz="4" w:space="0" w:color="282829"/>
              <w:right w:val="single" w:sz="6" w:space="0" w:color="000000"/>
            </w:tcBorders>
            <w:shd w:val="solid" w:color="EBE7E2" w:fill="auto"/>
            <w:tcMar>
              <w:top w:w="113" w:type="dxa"/>
              <w:left w:w="113" w:type="dxa"/>
              <w:bottom w:w="113" w:type="dxa"/>
              <w:right w:w="80" w:type="dxa"/>
            </w:tcMar>
          </w:tcPr>
          <w:p w14:paraId="7F955670" w14:textId="77777777" w:rsidR="00AF2A14" w:rsidRDefault="00AF2A14">
            <w:pPr>
              <w:pStyle w:val="Tabletextbold"/>
            </w:pPr>
            <w:r>
              <w:t>Ongoing full-time</w:t>
            </w:r>
          </w:p>
        </w:tc>
        <w:tc>
          <w:tcPr>
            <w:tcW w:w="1301" w:type="dxa"/>
            <w:tcBorders>
              <w:top w:val="single" w:sz="2" w:space="0" w:color="8A8A84"/>
              <w:left w:val="single" w:sz="6" w:space="0" w:color="000000"/>
              <w:bottom w:val="single" w:sz="4" w:space="0" w:color="282829"/>
              <w:right w:val="single" w:sz="6" w:space="0" w:color="FFFFFF"/>
            </w:tcBorders>
            <w:shd w:val="solid" w:color="EBE7E2" w:fill="auto"/>
            <w:tcMar>
              <w:top w:w="113" w:type="dxa"/>
              <w:left w:w="113" w:type="dxa"/>
              <w:bottom w:w="113" w:type="dxa"/>
              <w:right w:w="80" w:type="dxa"/>
            </w:tcMar>
          </w:tcPr>
          <w:p w14:paraId="1F22156E" w14:textId="77777777" w:rsidR="00AF2A14" w:rsidRDefault="00AF2A14">
            <w:pPr>
              <w:pStyle w:val="Tabletext"/>
              <w:jc w:val="right"/>
            </w:pPr>
            <w:r>
              <w:t>8</w:t>
            </w:r>
          </w:p>
        </w:tc>
        <w:tc>
          <w:tcPr>
            <w:tcW w:w="1327" w:type="dxa"/>
            <w:tcBorders>
              <w:top w:val="single" w:sz="2" w:space="0" w:color="8A8A84"/>
              <w:left w:val="single" w:sz="6" w:space="0" w:color="FFFFFF"/>
              <w:bottom w:val="single" w:sz="4" w:space="0" w:color="282829"/>
              <w:right w:val="single" w:sz="6" w:space="0" w:color="000000"/>
            </w:tcBorders>
            <w:shd w:val="solid" w:color="EBE7E2" w:fill="auto"/>
            <w:tcMar>
              <w:top w:w="113" w:type="dxa"/>
              <w:left w:w="113" w:type="dxa"/>
              <w:bottom w:w="113" w:type="dxa"/>
              <w:right w:w="80" w:type="dxa"/>
            </w:tcMar>
          </w:tcPr>
          <w:p w14:paraId="799CD17C" w14:textId="77777777" w:rsidR="00AF2A14" w:rsidRDefault="00AF2A14">
            <w:pPr>
              <w:pStyle w:val="Tabletext"/>
              <w:jc w:val="right"/>
            </w:pPr>
            <w:r>
              <w:t>16</w:t>
            </w:r>
          </w:p>
        </w:tc>
      </w:tr>
      <w:tr w:rsidR="00AF2A14" w14:paraId="2E52D575" w14:textId="77777777">
        <w:trPr>
          <w:trHeight w:val="60"/>
        </w:trPr>
        <w:tc>
          <w:tcPr>
            <w:tcW w:w="5641" w:type="dxa"/>
            <w:tcBorders>
              <w:top w:val="single" w:sz="4" w:space="0" w:color="282829"/>
              <w:left w:val="single" w:sz="6" w:space="0" w:color="FFFFFF"/>
              <w:bottom w:val="single" w:sz="4" w:space="0" w:color="282829"/>
              <w:right w:val="single" w:sz="6" w:space="0" w:color="000000"/>
            </w:tcBorders>
            <w:shd w:val="solid" w:color="EBE7E2" w:fill="auto"/>
            <w:tcMar>
              <w:top w:w="113" w:type="dxa"/>
              <w:left w:w="113" w:type="dxa"/>
              <w:bottom w:w="113" w:type="dxa"/>
              <w:right w:w="80" w:type="dxa"/>
            </w:tcMar>
          </w:tcPr>
          <w:p w14:paraId="5340AF48" w14:textId="77777777" w:rsidR="00AF2A14" w:rsidRDefault="00AF2A14">
            <w:pPr>
              <w:pStyle w:val="Tabletextbold"/>
            </w:pPr>
            <w:r>
              <w:t>Total</w:t>
            </w:r>
          </w:p>
        </w:tc>
        <w:tc>
          <w:tcPr>
            <w:tcW w:w="1301" w:type="dxa"/>
            <w:tcBorders>
              <w:top w:val="single" w:sz="4" w:space="0" w:color="282829"/>
              <w:left w:val="single" w:sz="6" w:space="0" w:color="000000"/>
              <w:bottom w:val="single" w:sz="4" w:space="0" w:color="282829"/>
              <w:right w:val="single" w:sz="6" w:space="0" w:color="FFFFFF"/>
            </w:tcBorders>
            <w:shd w:val="solid" w:color="EBE7E2" w:fill="auto"/>
            <w:tcMar>
              <w:top w:w="113" w:type="dxa"/>
              <w:left w:w="113" w:type="dxa"/>
              <w:bottom w:w="113" w:type="dxa"/>
              <w:right w:w="80" w:type="dxa"/>
            </w:tcMar>
          </w:tcPr>
          <w:p w14:paraId="739130A0" w14:textId="77777777" w:rsidR="00AF2A14" w:rsidRDefault="00AF2A14">
            <w:pPr>
              <w:pStyle w:val="Tabletextbold"/>
              <w:jc w:val="right"/>
            </w:pPr>
            <w:r>
              <w:t>15</w:t>
            </w:r>
          </w:p>
        </w:tc>
        <w:tc>
          <w:tcPr>
            <w:tcW w:w="1327" w:type="dxa"/>
            <w:tcBorders>
              <w:top w:val="single" w:sz="4" w:space="0" w:color="282829"/>
              <w:left w:val="single" w:sz="6" w:space="0" w:color="FFFFFF"/>
              <w:bottom w:val="single" w:sz="4" w:space="0" w:color="282829"/>
              <w:right w:val="single" w:sz="6" w:space="0" w:color="000000"/>
            </w:tcBorders>
            <w:shd w:val="solid" w:color="EBE7E2" w:fill="auto"/>
            <w:tcMar>
              <w:top w:w="113" w:type="dxa"/>
              <w:left w:w="113" w:type="dxa"/>
              <w:bottom w:w="113" w:type="dxa"/>
              <w:right w:w="80" w:type="dxa"/>
            </w:tcMar>
          </w:tcPr>
          <w:p w14:paraId="2403514E" w14:textId="77777777" w:rsidR="00AF2A14" w:rsidRDefault="00AF2A14">
            <w:pPr>
              <w:pStyle w:val="Tabletextbold"/>
              <w:jc w:val="right"/>
            </w:pPr>
            <w:r>
              <w:t>29</w:t>
            </w:r>
          </w:p>
        </w:tc>
      </w:tr>
    </w:tbl>
    <w:p w14:paraId="6941B568" w14:textId="58980C08" w:rsidR="00AF2A14" w:rsidRDefault="00AF2A14" w:rsidP="00A829FD">
      <w:pPr>
        <w:pStyle w:val="Heading3"/>
      </w:pPr>
      <w:r>
        <w:t>Ethical standards</w:t>
      </w:r>
    </w:p>
    <w:p w14:paraId="18D93C3D" w14:textId="77777777" w:rsidR="00AF2A14" w:rsidRDefault="00AF2A14" w:rsidP="00AF2A14">
      <w:pPr>
        <w:pStyle w:val="BodyCopy"/>
      </w:pPr>
      <w:r>
        <w:t xml:space="preserve">The Agency promotes ethical standards of </w:t>
      </w:r>
      <w:proofErr w:type="spellStart"/>
      <w:r>
        <w:t>behaviour</w:t>
      </w:r>
      <w:proofErr w:type="spellEnd"/>
      <w:r>
        <w:t xml:space="preserve"> by providing extensive information to staff and by developing policies and procedures </w:t>
      </w:r>
      <w:r>
        <w:br/>
        <w:t>to support the Agency’s expanding workforce.</w:t>
      </w:r>
    </w:p>
    <w:p w14:paraId="60E8A163" w14:textId="77777777" w:rsidR="00AF2A14" w:rsidRDefault="00AF2A14" w:rsidP="00AF2A14">
      <w:pPr>
        <w:pStyle w:val="BodyCopy"/>
      </w:pPr>
      <w:r>
        <w:t>The Agency strengthened its ethical approach to service delivery in 2014–15 by consolidating the Agency-specific values of assurance, empowerment, responsibility, learning and integrity.</w:t>
      </w:r>
    </w:p>
    <w:p w14:paraId="578439C4" w14:textId="77777777" w:rsidR="00AF2A14" w:rsidRDefault="00AF2A14" w:rsidP="00AF2A14">
      <w:pPr>
        <w:pStyle w:val="BodyCopy"/>
      </w:pPr>
      <w:r>
        <w:t>The Agency’s internal staff intranet contains information on:</w:t>
      </w:r>
    </w:p>
    <w:p w14:paraId="06A8F623" w14:textId="77777777" w:rsidR="00AF2A14" w:rsidRDefault="00AF2A14" w:rsidP="00AF2A14">
      <w:pPr>
        <w:pStyle w:val="BodyBullets"/>
      </w:pPr>
      <w:r>
        <w:t>the APS Values and Code of Conduct</w:t>
      </w:r>
    </w:p>
    <w:p w14:paraId="1AF75FB4" w14:textId="77777777" w:rsidR="00AF2A14" w:rsidRDefault="00AF2A14" w:rsidP="00AF2A14">
      <w:pPr>
        <w:pStyle w:val="BodyBullets"/>
      </w:pPr>
      <w:r>
        <w:t>bullying and harassment</w:t>
      </w:r>
    </w:p>
    <w:p w14:paraId="1F1F3EB4" w14:textId="77777777" w:rsidR="00AF2A14" w:rsidRDefault="00AF2A14" w:rsidP="00AF2A14">
      <w:pPr>
        <w:pStyle w:val="BodyBullets"/>
      </w:pPr>
      <w:r>
        <w:t>acceptance of gifts and benefits</w:t>
      </w:r>
    </w:p>
    <w:p w14:paraId="0CB54FB8" w14:textId="77777777" w:rsidR="00AF2A14" w:rsidRDefault="00AF2A14" w:rsidP="00AF2A14">
      <w:pPr>
        <w:pStyle w:val="BodyBullets"/>
      </w:pPr>
      <w:r>
        <w:t>conflict of interest and outside employment</w:t>
      </w:r>
    </w:p>
    <w:p w14:paraId="22BFEE88" w14:textId="77777777" w:rsidR="00AF2A14" w:rsidRDefault="00AF2A14" w:rsidP="00AF2A14">
      <w:pPr>
        <w:pStyle w:val="BodyBullets"/>
      </w:pPr>
      <w:r>
        <w:t xml:space="preserve">ethical </w:t>
      </w:r>
      <w:proofErr w:type="spellStart"/>
      <w:r>
        <w:t>behaviour</w:t>
      </w:r>
      <w:proofErr w:type="spellEnd"/>
      <w:r>
        <w:t xml:space="preserve"> in practice</w:t>
      </w:r>
    </w:p>
    <w:p w14:paraId="382EA316" w14:textId="77777777" w:rsidR="00AF2A14" w:rsidRDefault="00AF2A14" w:rsidP="00AF2A14">
      <w:pPr>
        <w:pStyle w:val="BodyBullets"/>
      </w:pPr>
      <w:r>
        <w:t>social media policy</w:t>
      </w:r>
    </w:p>
    <w:p w14:paraId="70334800" w14:textId="77777777" w:rsidR="00AF2A14" w:rsidRDefault="00AF2A14" w:rsidP="00AF2A14">
      <w:pPr>
        <w:pStyle w:val="BodyBullets-last"/>
      </w:pPr>
      <w:r>
        <w:t>links to relevant external websites.</w:t>
      </w:r>
    </w:p>
    <w:p w14:paraId="7A5E0D00" w14:textId="77777777" w:rsidR="00AF2A14" w:rsidRDefault="00AF2A14" w:rsidP="00AF2A14">
      <w:pPr>
        <w:pStyle w:val="BodyCopy"/>
      </w:pPr>
      <w:r>
        <w:t>The Agency has included the following mandatory training to reinforce ethical standards and requirements for all staff. Mandatory training topics include:</w:t>
      </w:r>
    </w:p>
    <w:p w14:paraId="0525B383" w14:textId="77777777" w:rsidR="00AF2A14" w:rsidRDefault="00AF2A14" w:rsidP="00AF2A14">
      <w:pPr>
        <w:pStyle w:val="BodyBullets"/>
      </w:pPr>
      <w:r>
        <w:t>Work Health and Safety for employees</w:t>
      </w:r>
    </w:p>
    <w:p w14:paraId="12645B78" w14:textId="77777777" w:rsidR="00AF2A14" w:rsidRDefault="00AF2A14" w:rsidP="00AF2A14">
      <w:pPr>
        <w:pStyle w:val="BodyBullets"/>
      </w:pPr>
      <w:r>
        <w:t>fraud awareness at NDIA</w:t>
      </w:r>
    </w:p>
    <w:p w14:paraId="2F15CAE2" w14:textId="77777777" w:rsidR="00AF2A14" w:rsidRDefault="00AF2A14" w:rsidP="00AF2A14">
      <w:pPr>
        <w:pStyle w:val="BodyBullets"/>
      </w:pPr>
      <w:r>
        <w:t>security awareness</w:t>
      </w:r>
    </w:p>
    <w:p w14:paraId="72151418" w14:textId="77777777" w:rsidR="00AF2A14" w:rsidRDefault="00AF2A14" w:rsidP="00AF2A14">
      <w:pPr>
        <w:pStyle w:val="BodyBullets"/>
      </w:pPr>
      <w:r>
        <w:t>APS Value and Employment Principles and Code of Conduct</w:t>
      </w:r>
    </w:p>
    <w:p w14:paraId="2DB0CE50" w14:textId="77777777" w:rsidR="00AF2A14" w:rsidRDefault="00AF2A14" w:rsidP="00AF2A14">
      <w:pPr>
        <w:pStyle w:val="BodyBullets-last"/>
      </w:pPr>
      <w:r>
        <w:t>information handling and the NDIA</w:t>
      </w:r>
    </w:p>
    <w:p w14:paraId="72E7949F" w14:textId="77777777" w:rsidR="00AF2A14" w:rsidRDefault="00AF2A14" w:rsidP="00AF2A14">
      <w:pPr>
        <w:pStyle w:val="BodyBullets-last"/>
      </w:pPr>
      <w:r>
        <w:rPr>
          <w:rStyle w:val="Lightitalic"/>
        </w:rPr>
        <w:t>Public Interest Disclosure Act 2013</w:t>
      </w:r>
      <w:r>
        <w:t xml:space="preserve"> (PID Act), with information about the legislation also published on the Agency’s intranet.</w:t>
      </w:r>
    </w:p>
    <w:p w14:paraId="3D9D5228" w14:textId="79D4F9EF" w:rsidR="00AF2A14" w:rsidRDefault="00AF2A14" w:rsidP="00216669">
      <w:pPr>
        <w:pStyle w:val="Heading3"/>
      </w:pPr>
      <w:r>
        <w:lastRenderedPageBreak/>
        <w:t>Expanding the Scheme’s property footprint</w:t>
      </w:r>
    </w:p>
    <w:p w14:paraId="5765A883" w14:textId="77777777" w:rsidR="00AF2A14" w:rsidRDefault="00AF2A14" w:rsidP="00AF2A14">
      <w:pPr>
        <w:pStyle w:val="BodyCopy"/>
      </w:pPr>
      <w:r>
        <w:t xml:space="preserve">As the spirit of collaboration permeates the Scheme, ‘working with others’ has proved key in another area, property. This area relates to the offices, </w:t>
      </w:r>
      <w:proofErr w:type="spellStart"/>
      <w:r>
        <w:t>centres</w:t>
      </w:r>
      <w:proofErr w:type="spellEnd"/>
      <w:r>
        <w:t xml:space="preserve"> and shopfronts from which Agency staff and partners work. </w:t>
      </w:r>
    </w:p>
    <w:p w14:paraId="71FE9D93" w14:textId="77777777" w:rsidR="00AF2A14" w:rsidRDefault="00AF2A14" w:rsidP="00AF2A14">
      <w:pPr>
        <w:pStyle w:val="BodyCopy"/>
      </w:pPr>
      <w:r>
        <w:t>Co-location has been a key strategy to ensure property locations are within the required area for maximum support coverage. Standalone sites were chosen only when co-location options were not available.</w:t>
      </w:r>
    </w:p>
    <w:p w14:paraId="4FF0177F" w14:textId="77777777" w:rsidR="00AF2A14" w:rsidRDefault="00AF2A14" w:rsidP="00AF2A14">
      <w:pPr>
        <w:pStyle w:val="BodyCopy"/>
      </w:pPr>
      <w:r>
        <w:t xml:space="preserve">The Agency is expanding its physical presence across the country through the acquisition and establishment of 11 standalone regional hubs, 11 standalone service delivery sites and 12 co-location service delivery sites in 2015-16, </w:t>
      </w:r>
      <w:r>
        <w:br/>
        <w:t xml:space="preserve">in line with the bilateral agreements signed </w:t>
      </w:r>
      <w:r>
        <w:br/>
        <w:t>with state and territory governments.</w:t>
      </w:r>
    </w:p>
    <w:p w14:paraId="48C25028" w14:textId="77777777" w:rsidR="00AF2A14" w:rsidRDefault="00AF2A14" w:rsidP="00AF2A14">
      <w:pPr>
        <w:pStyle w:val="BodyCopy"/>
      </w:pPr>
      <w:r>
        <w:t xml:space="preserve">When identifying these sites, the Agency worked collaboratively with the Department of Human Services (DHS), Australian Taxation Office, Department of the Prime Minister and Cabinet and other Commonwealth, state and territory government agencies to </w:t>
      </w:r>
      <w:proofErr w:type="spellStart"/>
      <w:r>
        <w:t>maximise</w:t>
      </w:r>
      <w:proofErr w:type="spellEnd"/>
      <w:r>
        <w:t xml:space="preserve"> the co-location opportunities. </w:t>
      </w:r>
    </w:p>
    <w:p w14:paraId="6189F362" w14:textId="77777777" w:rsidR="00AF2A14" w:rsidRDefault="00AF2A14" w:rsidP="00AF2A14">
      <w:pPr>
        <w:pStyle w:val="BodyCopy"/>
      </w:pPr>
      <w:r>
        <w:t xml:space="preserve">These sites will meet the Agency’s remit to support ongoing operational requirements and projected capabilities to provide services to participants. </w:t>
      </w:r>
    </w:p>
    <w:p w14:paraId="01F0443F" w14:textId="044AE32D" w:rsidR="00AF2A14" w:rsidRDefault="00AF2A14" w:rsidP="00AF2A14">
      <w:pPr>
        <w:pStyle w:val="BodyCopyREV"/>
      </w:pPr>
      <w:r>
        <w:t>Planning is also well underway with DHS for sites required for Year Two of the full Scheme rollout, in 2017-18.</w:t>
      </w:r>
    </w:p>
    <w:p w14:paraId="161832C8" w14:textId="17E1FEBE" w:rsidR="002F1E97" w:rsidRDefault="002F1E97" w:rsidP="002F1E97">
      <w:pPr>
        <w:pStyle w:val="Heading2"/>
      </w:pPr>
      <w:bookmarkStart w:id="54" w:name="_Toc464482110"/>
      <w:r>
        <w:lastRenderedPageBreak/>
        <w:t>Workforce planning</w:t>
      </w:r>
      <w:bookmarkEnd w:id="54"/>
    </w:p>
    <w:p w14:paraId="3960DCCD" w14:textId="54F0F648" w:rsidR="002F1E97" w:rsidRDefault="002F1E97" w:rsidP="002F1E97">
      <w:pPr>
        <w:pStyle w:val="Heading3"/>
      </w:pPr>
      <w:r>
        <w:t>Recruitment</w:t>
      </w:r>
    </w:p>
    <w:p w14:paraId="54037C83" w14:textId="77777777" w:rsidR="002F1E97" w:rsidRDefault="002F1E97" w:rsidP="002F1E97">
      <w:pPr>
        <w:pStyle w:val="BodyCopy"/>
      </w:pPr>
      <w:r>
        <w:t>The Agency needs to place the right people with the right skills in the right jobs at the right time to ensure the transition to full Scheme is a success. This year was a particularly busy time in recruitment:</w:t>
      </w:r>
    </w:p>
    <w:p w14:paraId="24CC97D7" w14:textId="77777777" w:rsidR="002F1E97" w:rsidRDefault="002F1E97" w:rsidP="00A13E65">
      <w:pPr>
        <w:pStyle w:val="BodyBullets"/>
        <w:tabs>
          <w:tab w:val="clear" w:pos="227"/>
          <w:tab w:val="left" w:pos="709"/>
        </w:tabs>
        <w:spacing w:before="113"/>
        <w:ind w:left="284" w:hanging="284"/>
      </w:pPr>
      <w:r>
        <w:rPr>
          <w:rStyle w:val="Bold"/>
          <w:color w:val="6A2875"/>
          <w:sz w:val="32"/>
          <w:szCs w:val="32"/>
        </w:rPr>
        <w:t xml:space="preserve">311 </w:t>
      </w:r>
      <w:r>
        <w:rPr>
          <w:rStyle w:val="Bold"/>
          <w:color w:val="6A2875"/>
          <w:sz w:val="32"/>
          <w:szCs w:val="32"/>
        </w:rPr>
        <w:br/>
      </w:r>
      <w:r>
        <w:t>external recruitment processes were conducted</w:t>
      </w:r>
    </w:p>
    <w:p w14:paraId="57E9DC4F" w14:textId="77777777" w:rsidR="002F1E97" w:rsidRDefault="002F1E97" w:rsidP="00A13E65">
      <w:pPr>
        <w:pStyle w:val="BodyBullets"/>
        <w:tabs>
          <w:tab w:val="clear" w:pos="227"/>
          <w:tab w:val="left" w:pos="709"/>
        </w:tabs>
        <w:spacing w:before="113"/>
        <w:ind w:left="284" w:hanging="284"/>
      </w:pPr>
      <w:r>
        <w:rPr>
          <w:rStyle w:val="Bold"/>
          <w:color w:val="6A2875"/>
          <w:sz w:val="32"/>
          <w:szCs w:val="32"/>
        </w:rPr>
        <w:t xml:space="preserve">522 </w:t>
      </w:r>
      <w:r>
        <w:rPr>
          <w:rStyle w:val="Bold"/>
          <w:color w:val="6A2875"/>
          <w:sz w:val="32"/>
          <w:szCs w:val="32"/>
        </w:rPr>
        <w:br/>
      </w:r>
      <w:r>
        <w:t>new employees from a non-APS background started with the Agency*</w:t>
      </w:r>
    </w:p>
    <w:p w14:paraId="41B5AE4C" w14:textId="77777777" w:rsidR="002F1E97" w:rsidRDefault="002F1E97" w:rsidP="00A13E65">
      <w:pPr>
        <w:pStyle w:val="BodyBullets"/>
        <w:tabs>
          <w:tab w:val="clear" w:pos="227"/>
          <w:tab w:val="left" w:pos="709"/>
        </w:tabs>
        <w:spacing w:before="113"/>
        <w:ind w:left="284" w:hanging="284"/>
      </w:pPr>
      <w:r>
        <w:rPr>
          <w:rStyle w:val="Bold"/>
          <w:color w:val="6A2875"/>
          <w:sz w:val="32"/>
          <w:szCs w:val="32"/>
        </w:rPr>
        <w:t xml:space="preserve">125 </w:t>
      </w:r>
      <w:r>
        <w:rPr>
          <w:rStyle w:val="Bold"/>
          <w:color w:val="6A2875"/>
          <w:sz w:val="32"/>
          <w:szCs w:val="32"/>
        </w:rPr>
        <w:br/>
      </w:r>
      <w:r>
        <w:t>new employees identified with disability</w:t>
      </w:r>
    </w:p>
    <w:p w14:paraId="71EC6D27" w14:textId="77777777" w:rsidR="002F1E97" w:rsidRDefault="002F1E97" w:rsidP="00A13E65">
      <w:pPr>
        <w:pStyle w:val="BodyBullets"/>
        <w:tabs>
          <w:tab w:val="clear" w:pos="227"/>
          <w:tab w:val="left" w:pos="709"/>
        </w:tabs>
        <w:spacing w:before="113"/>
        <w:ind w:left="284" w:hanging="284"/>
      </w:pPr>
      <w:r>
        <w:rPr>
          <w:rStyle w:val="Bold"/>
          <w:color w:val="6A2875"/>
          <w:sz w:val="32"/>
          <w:szCs w:val="32"/>
        </w:rPr>
        <w:t xml:space="preserve">721 </w:t>
      </w:r>
      <w:r>
        <w:rPr>
          <w:rStyle w:val="Bold"/>
          <w:color w:val="6A2875"/>
          <w:sz w:val="32"/>
          <w:szCs w:val="32"/>
        </w:rPr>
        <w:br/>
      </w:r>
      <w:r>
        <w:t>employment offers were made**</w:t>
      </w:r>
    </w:p>
    <w:p w14:paraId="16245F51" w14:textId="77777777" w:rsidR="002F1E97" w:rsidRDefault="002F1E97" w:rsidP="00A13E65">
      <w:pPr>
        <w:pStyle w:val="BodyBullets"/>
        <w:tabs>
          <w:tab w:val="clear" w:pos="227"/>
          <w:tab w:val="left" w:pos="709"/>
        </w:tabs>
        <w:spacing w:before="113"/>
        <w:ind w:left="284" w:hanging="284"/>
      </w:pPr>
      <w:r>
        <w:rPr>
          <w:rStyle w:val="Bold"/>
          <w:color w:val="6A2875"/>
          <w:sz w:val="32"/>
          <w:szCs w:val="32"/>
        </w:rPr>
        <w:t xml:space="preserve">14 465 </w:t>
      </w:r>
      <w:r>
        <w:rPr>
          <w:rStyle w:val="Bold"/>
          <w:color w:val="6A2875"/>
          <w:sz w:val="32"/>
          <w:szCs w:val="32"/>
        </w:rPr>
        <w:br/>
      </w:r>
      <w:r>
        <w:t>applications for recruitment were received</w:t>
      </w:r>
    </w:p>
    <w:p w14:paraId="0C695A81" w14:textId="77777777" w:rsidR="002F1E97" w:rsidRDefault="002F1E97" w:rsidP="00A13E65">
      <w:pPr>
        <w:pStyle w:val="BodyBullets"/>
        <w:tabs>
          <w:tab w:val="clear" w:pos="227"/>
          <w:tab w:val="left" w:pos="709"/>
        </w:tabs>
        <w:spacing w:before="113"/>
        <w:ind w:left="284" w:hanging="284"/>
      </w:pPr>
      <w:r>
        <w:rPr>
          <w:rStyle w:val="Bold"/>
          <w:color w:val="6A2875"/>
          <w:sz w:val="32"/>
          <w:szCs w:val="32"/>
        </w:rPr>
        <w:t xml:space="preserve">48.27 per cent </w:t>
      </w:r>
      <w:r>
        <w:rPr>
          <w:rStyle w:val="Bold"/>
          <w:color w:val="6A2875"/>
          <w:sz w:val="32"/>
          <w:szCs w:val="32"/>
        </w:rPr>
        <w:br/>
      </w:r>
      <w:r>
        <w:t>of employment offers made were on a non-ongoing basis</w:t>
      </w:r>
    </w:p>
    <w:p w14:paraId="40C1C38E" w14:textId="77777777" w:rsidR="002F1E97" w:rsidRDefault="002F1E97" w:rsidP="00A13E65">
      <w:pPr>
        <w:pStyle w:val="BodyBullets"/>
        <w:tabs>
          <w:tab w:val="clear" w:pos="227"/>
          <w:tab w:val="left" w:pos="709"/>
        </w:tabs>
        <w:spacing w:before="113"/>
        <w:ind w:left="284" w:hanging="284"/>
      </w:pPr>
      <w:r>
        <w:rPr>
          <w:rStyle w:val="Bold"/>
          <w:color w:val="6A2875"/>
          <w:sz w:val="32"/>
          <w:szCs w:val="32"/>
        </w:rPr>
        <w:t xml:space="preserve">the largest number </w:t>
      </w:r>
      <w:r>
        <w:rPr>
          <w:rStyle w:val="Bold"/>
          <w:color w:val="6A2875"/>
          <w:sz w:val="32"/>
          <w:szCs w:val="32"/>
        </w:rPr>
        <w:br/>
      </w:r>
      <w:r>
        <w:t>of new starters was employed in the Agency’s Operations Group</w:t>
      </w:r>
    </w:p>
    <w:p w14:paraId="6477FD5E" w14:textId="77777777" w:rsidR="002F1E97" w:rsidRDefault="002F1E97" w:rsidP="002F1E97">
      <w:pPr>
        <w:pStyle w:val="Notes"/>
      </w:pPr>
      <w:r>
        <w:t xml:space="preserve">*this is based on the number of non-ongoing and ongoing engagements. The data does not differentiate </w:t>
      </w:r>
      <w:proofErr w:type="spellStart"/>
      <w:r>
        <w:t>if</w:t>
      </w:r>
      <w:proofErr w:type="spellEnd"/>
      <w:r>
        <w:t xml:space="preserve"> from a non-APS background. </w:t>
      </w:r>
    </w:p>
    <w:p w14:paraId="6A3FF6BB" w14:textId="77777777" w:rsidR="002F1E97" w:rsidRDefault="002F1E97" w:rsidP="002F1E97">
      <w:pPr>
        <w:pStyle w:val="Notes"/>
      </w:pPr>
      <w:r>
        <w:t>**Includes contract extension data.</w:t>
      </w:r>
    </w:p>
    <w:p w14:paraId="32E9603E" w14:textId="114E7B4C" w:rsidR="002F1E97" w:rsidRDefault="002F1E97" w:rsidP="00910F5D">
      <w:pPr>
        <w:pStyle w:val="Heading3"/>
      </w:pPr>
      <w:r>
        <w:t>Retention</w:t>
      </w:r>
    </w:p>
    <w:p w14:paraId="3E1DEB1D" w14:textId="77777777" w:rsidR="002F1E97" w:rsidRDefault="002F1E97" w:rsidP="002F1E97">
      <w:pPr>
        <w:pStyle w:val="BodyCopy"/>
      </w:pPr>
      <w:r>
        <w:t>To attain a stable workforce, the Agency must motivate, develop and retain its employees.</w:t>
      </w:r>
    </w:p>
    <w:p w14:paraId="1CD1810B" w14:textId="77777777" w:rsidR="002F1E97" w:rsidRDefault="002F1E97" w:rsidP="002F1E97">
      <w:pPr>
        <w:pStyle w:val="BodyCopy"/>
      </w:pPr>
      <w:r>
        <w:t>The Agency offers flexible working arrangements, opportunities for staff to gain experience in other parts of the Agency via temporary transfers and rotations, conducts exit interviews, and learns from employee feedback.</w:t>
      </w:r>
    </w:p>
    <w:p w14:paraId="2C503DBE" w14:textId="43DA8747" w:rsidR="002F1E97" w:rsidRDefault="002F1E97" w:rsidP="00910F5D">
      <w:pPr>
        <w:pStyle w:val="Heading3"/>
      </w:pPr>
      <w:r>
        <w:t>Separation</w:t>
      </w:r>
    </w:p>
    <w:p w14:paraId="1D5D6516" w14:textId="77777777" w:rsidR="002F1E97" w:rsidRDefault="002F1E97" w:rsidP="002F1E97">
      <w:pPr>
        <w:pStyle w:val="BodyCopy"/>
      </w:pPr>
      <w:r>
        <w:t>The separation rate for ongoing employees was 7.61 per cent.</w:t>
      </w:r>
    </w:p>
    <w:p w14:paraId="22FBC646" w14:textId="3011449F" w:rsidR="002F1E97" w:rsidRDefault="002F1E97" w:rsidP="00910F5D">
      <w:pPr>
        <w:pStyle w:val="Heading3"/>
      </w:pPr>
      <w:r>
        <w:t xml:space="preserve">Absences </w:t>
      </w:r>
    </w:p>
    <w:p w14:paraId="2FF237A2" w14:textId="77777777" w:rsidR="002F1E97" w:rsidRDefault="002F1E97" w:rsidP="002F1E97">
      <w:pPr>
        <w:pStyle w:val="BodyCopy"/>
      </w:pPr>
      <w:r>
        <w:t xml:space="preserve">The unscheduled absence rate over 2015-16 was 7.49 days per FTE; this is a significant reduction when compared with the Agency absence rate </w:t>
      </w:r>
      <w:r>
        <w:br/>
        <w:t xml:space="preserve">of 2014-15 (11.60 days) and compares well against the APS overall rate of 12 days. </w:t>
      </w:r>
    </w:p>
    <w:p w14:paraId="7A4D1146" w14:textId="58AE0CC6" w:rsidR="002F1E97" w:rsidRDefault="002F1E97" w:rsidP="00910F5D">
      <w:pPr>
        <w:pStyle w:val="Heading3"/>
      </w:pPr>
      <w:r>
        <w:lastRenderedPageBreak/>
        <w:t>Employment arrangements</w:t>
      </w:r>
    </w:p>
    <w:p w14:paraId="799C98F2" w14:textId="77777777" w:rsidR="002F1E97" w:rsidRDefault="002F1E97" w:rsidP="002F1E97">
      <w:pPr>
        <w:pStyle w:val="BodyCopy"/>
      </w:pPr>
      <w:r>
        <w:t xml:space="preserve">The </w:t>
      </w:r>
      <w:proofErr w:type="spellStart"/>
      <w:r>
        <w:t>FaHCSIA</w:t>
      </w:r>
      <w:proofErr w:type="spellEnd"/>
      <w:r>
        <w:t xml:space="preserve"> Enterprise Agreement (EA) 2012-14 continued to be applied to non-Senior Executive Services (SES) Agency staff for the duration of 2015-16. The agreement allows for Individual Flexibility Arrangements (IFAs) for working hours, leave and remuneration. At 30 June 2016, 1505 employees were covered by the agreement of which 31 were the subject of IFAs.</w:t>
      </w:r>
    </w:p>
    <w:p w14:paraId="07A4791F" w14:textId="77777777" w:rsidR="002F1E97" w:rsidRDefault="002F1E97" w:rsidP="002F1E97">
      <w:pPr>
        <w:pStyle w:val="BodyCopy"/>
      </w:pPr>
      <w:r>
        <w:t>In December 2015 the Agency’s proposed EA was put to vote with an unsuccessful result. The Agency has continued to undertake extensive employee consultation including bargaining representatives and the Agency Consultative Network (ACN). The Agency continued to review and update the draft EA, including the supporting policies and related documentation. The Agency is working towards returning to bargaining and progressing to vote as soon as practical in the 2016-17 year. It will be a modern and simplified agreement, with conditions that are important to employees and build an agile, innovative and high performing workforce.</w:t>
      </w:r>
    </w:p>
    <w:p w14:paraId="4BC761D1" w14:textId="49F01E75" w:rsidR="002F1E97" w:rsidRDefault="002F1E97" w:rsidP="00BB4EB9">
      <w:pPr>
        <w:pStyle w:val="Heading3"/>
      </w:pPr>
      <w:r>
        <w:t>Senior Executive Service remuneration</w:t>
      </w:r>
    </w:p>
    <w:p w14:paraId="3B007AAC" w14:textId="77777777" w:rsidR="002F1E97" w:rsidRDefault="002F1E97" w:rsidP="002F1E97">
      <w:pPr>
        <w:pStyle w:val="BodyCopy"/>
      </w:pPr>
      <w:r>
        <w:t xml:space="preserve">SES employees are offered a remuneration and employment conditions package according to a determination under section 24(1) of the </w:t>
      </w:r>
      <w:r>
        <w:rPr>
          <w:rStyle w:val="Lightitalic"/>
        </w:rPr>
        <w:t>Public Service Act 1999</w:t>
      </w:r>
      <w:r>
        <w:t xml:space="preserve">. Remuneration includes salary, an executive vehicle benefit, and may include additional salary payments and other remuneration benefits approved by the CEO </w:t>
      </w:r>
      <w:r>
        <w:br/>
        <w:t>in accordance with this policy.</w:t>
      </w:r>
    </w:p>
    <w:p w14:paraId="1C6EF9F8" w14:textId="010BCE8E" w:rsidR="002F1E97" w:rsidRDefault="00BB4EB9" w:rsidP="00BB4EB9">
      <w:pPr>
        <w:pStyle w:val="Heading3Tables"/>
      </w:pPr>
      <w:bookmarkStart w:id="55" w:name="_Toc464481229"/>
      <w:r>
        <w:t xml:space="preserve">Table </w:t>
      </w:r>
      <w:r w:rsidR="00975444">
        <w:t>7</w:t>
      </w:r>
      <w:r w:rsidR="002F1E97">
        <w:t>: SES salary ranges</w:t>
      </w:r>
      <w:bookmarkEnd w:id="55"/>
    </w:p>
    <w:tbl>
      <w:tblPr>
        <w:tblW w:w="0" w:type="auto"/>
        <w:tblInd w:w="-8" w:type="dxa"/>
        <w:tblLayout w:type="fixed"/>
        <w:tblCellMar>
          <w:left w:w="0" w:type="dxa"/>
          <w:right w:w="0" w:type="dxa"/>
        </w:tblCellMar>
        <w:tblLook w:val="0000" w:firstRow="0" w:lastRow="0" w:firstColumn="0" w:lastColumn="0" w:noHBand="0" w:noVBand="0"/>
      </w:tblPr>
      <w:tblGrid>
        <w:gridCol w:w="1988"/>
        <w:gridCol w:w="1989"/>
      </w:tblGrid>
      <w:tr w:rsidR="002F1E97" w14:paraId="0079C3E8" w14:textId="77777777">
        <w:trPr>
          <w:trHeight w:val="60"/>
          <w:tblHeader/>
        </w:trPr>
        <w:tc>
          <w:tcPr>
            <w:tcW w:w="1988" w:type="dxa"/>
            <w:tcBorders>
              <w:top w:val="single" w:sz="6" w:space="0" w:color="FFFFFF"/>
              <w:left w:val="single" w:sz="6" w:space="0" w:color="FFFFFF"/>
              <w:bottom w:val="single" w:sz="6" w:space="0" w:color="8A8A84"/>
              <w:right w:val="single" w:sz="6" w:space="0" w:color="FFFFFF"/>
            </w:tcBorders>
            <w:shd w:val="solid" w:color="000000" w:fill="auto"/>
            <w:tcMar>
              <w:top w:w="113" w:type="dxa"/>
              <w:left w:w="113" w:type="dxa"/>
              <w:bottom w:w="113" w:type="dxa"/>
              <w:right w:w="80" w:type="dxa"/>
            </w:tcMar>
          </w:tcPr>
          <w:p w14:paraId="68785EA1" w14:textId="77777777" w:rsidR="002F1E97" w:rsidRDefault="002F1E97">
            <w:pPr>
              <w:pStyle w:val="Tableheader"/>
            </w:pPr>
            <w:bookmarkStart w:id="56" w:name="Title_Table7" w:colFirst="0" w:colLast="0"/>
            <w:r>
              <w:t>Classification</w:t>
            </w:r>
          </w:p>
        </w:tc>
        <w:tc>
          <w:tcPr>
            <w:tcW w:w="1989" w:type="dxa"/>
            <w:tcBorders>
              <w:top w:val="single" w:sz="6" w:space="0" w:color="FFFFFF"/>
              <w:left w:val="single" w:sz="6" w:space="0" w:color="FFFFFF"/>
              <w:bottom w:val="single" w:sz="6" w:space="0" w:color="8A8A84"/>
              <w:right w:val="single" w:sz="6" w:space="0" w:color="FFFFFF"/>
            </w:tcBorders>
            <w:shd w:val="solid" w:color="000000" w:fill="auto"/>
            <w:tcMar>
              <w:top w:w="113" w:type="dxa"/>
              <w:left w:w="113" w:type="dxa"/>
              <w:bottom w:w="113" w:type="dxa"/>
              <w:right w:w="80" w:type="dxa"/>
            </w:tcMar>
          </w:tcPr>
          <w:p w14:paraId="6CD347E3" w14:textId="77777777" w:rsidR="002F1E97" w:rsidRDefault="002F1E97">
            <w:pPr>
              <w:pStyle w:val="Tableheader"/>
              <w:jc w:val="center"/>
            </w:pPr>
            <w:r>
              <w:t>Salary range</w:t>
            </w:r>
          </w:p>
        </w:tc>
      </w:tr>
      <w:bookmarkEnd w:id="56"/>
      <w:tr w:rsidR="002F1E97" w14:paraId="077C915B" w14:textId="77777777">
        <w:trPr>
          <w:trHeight w:val="60"/>
        </w:trPr>
        <w:tc>
          <w:tcPr>
            <w:tcW w:w="1988" w:type="dxa"/>
            <w:tcBorders>
              <w:top w:val="single" w:sz="2" w:space="0" w:color="8A8A84"/>
              <w:left w:val="single" w:sz="6" w:space="0" w:color="FFFFFF"/>
              <w:bottom w:val="single" w:sz="2" w:space="0" w:color="8A8A84"/>
              <w:right w:val="single" w:sz="6" w:space="0" w:color="FFFFFF"/>
            </w:tcBorders>
            <w:shd w:val="solid" w:color="EBE7E2" w:fill="auto"/>
            <w:tcMar>
              <w:top w:w="113" w:type="dxa"/>
              <w:left w:w="113" w:type="dxa"/>
              <w:bottom w:w="113" w:type="dxa"/>
              <w:right w:w="80" w:type="dxa"/>
            </w:tcMar>
          </w:tcPr>
          <w:p w14:paraId="5A5D593F" w14:textId="77777777" w:rsidR="002F1E97" w:rsidRDefault="002F1E97">
            <w:pPr>
              <w:pStyle w:val="Tabletextbold"/>
            </w:pPr>
            <w:r>
              <w:t>SES band 1</w:t>
            </w:r>
          </w:p>
        </w:tc>
        <w:tc>
          <w:tcPr>
            <w:tcW w:w="1989" w:type="dxa"/>
            <w:tcBorders>
              <w:top w:val="single" w:sz="2" w:space="0" w:color="8A8A84"/>
              <w:left w:val="single" w:sz="6" w:space="0" w:color="FFFFFF"/>
              <w:bottom w:val="single" w:sz="2" w:space="0" w:color="8A8A84"/>
              <w:right w:val="single" w:sz="6" w:space="0" w:color="000000"/>
            </w:tcBorders>
            <w:shd w:val="solid" w:color="EBE7E2" w:fill="auto"/>
            <w:tcMar>
              <w:top w:w="113" w:type="dxa"/>
              <w:left w:w="113" w:type="dxa"/>
              <w:bottom w:w="113" w:type="dxa"/>
              <w:right w:w="80" w:type="dxa"/>
            </w:tcMar>
          </w:tcPr>
          <w:p w14:paraId="4A35A80B" w14:textId="77777777" w:rsidR="002F1E97" w:rsidRDefault="002F1E97">
            <w:pPr>
              <w:pStyle w:val="Tabletext"/>
              <w:jc w:val="center"/>
            </w:pPr>
            <w:r>
              <w:t>$161 723 – $187 949</w:t>
            </w:r>
          </w:p>
        </w:tc>
      </w:tr>
      <w:tr w:rsidR="002F1E97" w14:paraId="65F8DC87" w14:textId="77777777">
        <w:trPr>
          <w:trHeight w:val="60"/>
        </w:trPr>
        <w:tc>
          <w:tcPr>
            <w:tcW w:w="1988" w:type="dxa"/>
            <w:tcBorders>
              <w:top w:val="single" w:sz="2" w:space="0" w:color="8A8A84"/>
              <w:left w:val="single" w:sz="6" w:space="0" w:color="FFFFFF"/>
              <w:bottom w:val="single" w:sz="2" w:space="0" w:color="8A8A84"/>
              <w:right w:val="single" w:sz="6" w:space="0" w:color="FFFFFF"/>
            </w:tcBorders>
            <w:shd w:val="solid" w:color="EBE7E2" w:fill="auto"/>
            <w:tcMar>
              <w:top w:w="113" w:type="dxa"/>
              <w:left w:w="113" w:type="dxa"/>
              <w:bottom w:w="113" w:type="dxa"/>
              <w:right w:w="80" w:type="dxa"/>
            </w:tcMar>
          </w:tcPr>
          <w:p w14:paraId="50E0FDFD" w14:textId="77777777" w:rsidR="002F1E97" w:rsidRDefault="002F1E97">
            <w:pPr>
              <w:pStyle w:val="Tabletextbold"/>
            </w:pPr>
            <w:r>
              <w:t>SES band 2</w:t>
            </w:r>
          </w:p>
        </w:tc>
        <w:tc>
          <w:tcPr>
            <w:tcW w:w="1989" w:type="dxa"/>
            <w:tcBorders>
              <w:top w:val="single" w:sz="2" w:space="0" w:color="8A8A84"/>
              <w:left w:val="single" w:sz="6" w:space="0" w:color="FFFFFF"/>
              <w:bottom w:val="single" w:sz="2" w:space="0" w:color="8A8A84"/>
              <w:right w:val="single" w:sz="6" w:space="0" w:color="000000"/>
            </w:tcBorders>
            <w:shd w:val="solid" w:color="EBE7E2" w:fill="auto"/>
            <w:tcMar>
              <w:top w:w="113" w:type="dxa"/>
              <w:left w:w="113" w:type="dxa"/>
              <w:bottom w:w="113" w:type="dxa"/>
              <w:right w:w="80" w:type="dxa"/>
            </w:tcMar>
          </w:tcPr>
          <w:p w14:paraId="627CBA02" w14:textId="77777777" w:rsidR="002F1E97" w:rsidRDefault="002F1E97">
            <w:pPr>
              <w:pStyle w:val="Tabletext"/>
              <w:jc w:val="center"/>
            </w:pPr>
            <w:r>
              <w:t>$208 711 – $232 751</w:t>
            </w:r>
          </w:p>
        </w:tc>
      </w:tr>
      <w:tr w:rsidR="002F1E97" w14:paraId="3ED37FC3" w14:textId="77777777">
        <w:trPr>
          <w:trHeight w:val="60"/>
        </w:trPr>
        <w:tc>
          <w:tcPr>
            <w:tcW w:w="1988" w:type="dxa"/>
            <w:tcBorders>
              <w:top w:val="single" w:sz="2" w:space="0" w:color="8A8A84"/>
              <w:left w:val="single" w:sz="6" w:space="0" w:color="FFFFFF"/>
              <w:bottom w:val="single" w:sz="2" w:space="0" w:color="8A8A84"/>
              <w:right w:val="single" w:sz="6" w:space="0" w:color="FFFFFF"/>
            </w:tcBorders>
            <w:shd w:val="solid" w:color="EBE7E2" w:fill="auto"/>
            <w:tcMar>
              <w:top w:w="113" w:type="dxa"/>
              <w:left w:w="113" w:type="dxa"/>
              <w:bottom w:w="113" w:type="dxa"/>
              <w:right w:w="80" w:type="dxa"/>
            </w:tcMar>
          </w:tcPr>
          <w:p w14:paraId="17312646" w14:textId="77777777" w:rsidR="002F1E97" w:rsidRDefault="002F1E97">
            <w:pPr>
              <w:pStyle w:val="Tabletextbold"/>
            </w:pPr>
            <w:r>
              <w:t>SES band 3</w:t>
            </w:r>
          </w:p>
        </w:tc>
        <w:tc>
          <w:tcPr>
            <w:tcW w:w="1989" w:type="dxa"/>
            <w:tcBorders>
              <w:top w:val="single" w:sz="2" w:space="0" w:color="8A8A84"/>
              <w:left w:val="single" w:sz="6" w:space="0" w:color="FFFFFF"/>
              <w:bottom w:val="single" w:sz="2" w:space="0" w:color="8A8A84"/>
              <w:right w:val="single" w:sz="6" w:space="0" w:color="000000"/>
            </w:tcBorders>
            <w:shd w:val="solid" w:color="EBE7E2" w:fill="auto"/>
            <w:tcMar>
              <w:top w:w="113" w:type="dxa"/>
              <w:left w:w="113" w:type="dxa"/>
              <w:bottom w:w="113" w:type="dxa"/>
              <w:right w:w="80" w:type="dxa"/>
            </w:tcMar>
          </w:tcPr>
          <w:p w14:paraId="53960F3D" w14:textId="77777777" w:rsidR="002F1E97" w:rsidRDefault="002F1E97">
            <w:pPr>
              <w:pStyle w:val="Tabletext"/>
              <w:jc w:val="center"/>
            </w:pPr>
            <w:r>
              <w:t>$256 791 – $280 831</w:t>
            </w:r>
          </w:p>
        </w:tc>
      </w:tr>
    </w:tbl>
    <w:p w14:paraId="52D92532" w14:textId="77777777" w:rsidR="002F1E97" w:rsidRDefault="002F1E97" w:rsidP="002F1E97">
      <w:pPr>
        <w:pStyle w:val="BodyCopy"/>
      </w:pPr>
    </w:p>
    <w:p w14:paraId="6F74C255" w14:textId="77777777" w:rsidR="002F1E97" w:rsidRDefault="002F1E97" w:rsidP="002F1E97">
      <w:pPr>
        <w:pStyle w:val="BodyCopy"/>
      </w:pPr>
      <w:r>
        <w:t>At 30 June 2016, there were 44 SES employees covered by section 24(1) determinations.</w:t>
      </w:r>
    </w:p>
    <w:p w14:paraId="6D50288B" w14:textId="77777777" w:rsidR="002F1E97" w:rsidRDefault="002F1E97" w:rsidP="002F1E97">
      <w:pPr>
        <w:pStyle w:val="BodyCopy"/>
      </w:pPr>
      <w:r>
        <w:t>The CEO reviews SES salary levels annually, after completing performance appraisals. Recommendations on remuneration increases for SES employees are in accordance with the increases that apply to all Agency employees.</w:t>
      </w:r>
    </w:p>
    <w:p w14:paraId="37304B77" w14:textId="77777777" w:rsidR="002F1E97" w:rsidRDefault="002F1E97" w:rsidP="002F1E97">
      <w:pPr>
        <w:pStyle w:val="BodyCopy"/>
      </w:pPr>
      <w:r>
        <w:t>The remuneration and employment conditions package offered under this policy complies with the requirements of the Australian Public Service Commission (APSC) Executive Remuneration Management Policy.</w:t>
      </w:r>
    </w:p>
    <w:p w14:paraId="52CBEE85" w14:textId="36FC07DB" w:rsidR="002F1E97" w:rsidRDefault="002F1E97" w:rsidP="00BB4EB9">
      <w:pPr>
        <w:pStyle w:val="Heading3"/>
      </w:pPr>
      <w:r>
        <w:t>Learning and development</w:t>
      </w:r>
    </w:p>
    <w:p w14:paraId="748A396F" w14:textId="77777777" w:rsidR="002F1E97" w:rsidRDefault="002F1E97" w:rsidP="002F1E97">
      <w:pPr>
        <w:pStyle w:val="BodyCopy"/>
      </w:pPr>
      <w:r>
        <w:t xml:space="preserve">The Agency is committed to developing the capability of its workforce through a multi-channel delivery approach. Employees are provided opportunities to grow their capabilities through a mix of on-the-job, collaborative and more structured learning approaches. </w:t>
      </w:r>
    </w:p>
    <w:p w14:paraId="75CA3E59" w14:textId="77777777" w:rsidR="002F1E97" w:rsidRDefault="002F1E97" w:rsidP="002F1E97">
      <w:pPr>
        <w:pStyle w:val="BodyCopy"/>
      </w:pPr>
      <w:r>
        <w:t>To support the Agency to transition to full Scheme from 1 July 2016, key development areas in 2015-16 were:</w:t>
      </w:r>
    </w:p>
    <w:p w14:paraId="6AC6D33E" w14:textId="77777777" w:rsidR="002F1E97" w:rsidRDefault="002F1E97" w:rsidP="002F1E97">
      <w:pPr>
        <w:pStyle w:val="BodyBullets"/>
      </w:pPr>
      <w:r>
        <w:rPr>
          <w:rStyle w:val="Bold"/>
        </w:rPr>
        <w:t>Induction and onboarding</w:t>
      </w:r>
      <w:r>
        <w:t xml:space="preserve"> – all new staff attended induction, introducing them to the Agency and our participants, building their disability confidence, and reinforcing priority public service capabilities. </w:t>
      </w:r>
    </w:p>
    <w:p w14:paraId="68A2D58D" w14:textId="77777777" w:rsidR="002F1E97" w:rsidRDefault="002F1E97" w:rsidP="002F1E97">
      <w:pPr>
        <w:pStyle w:val="BodyBullets"/>
      </w:pPr>
      <w:r>
        <w:rPr>
          <w:rStyle w:val="Bold"/>
        </w:rPr>
        <w:lastRenderedPageBreak/>
        <w:t>Business systems</w:t>
      </w:r>
      <w:r>
        <w:t xml:space="preserve"> – as the Agency transitioned to the new Customer Relationship Management (CRM) business system, extensive support was provided to staff via on-the-job, peer support and structured development approaches. </w:t>
      </w:r>
    </w:p>
    <w:p w14:paraId="49E76EF1" w14:textId="77777777" w:rsidR="002F1E97" w:rsidRDefault="002F1E97" w:rsidP="002F1E97">
      <w:pPr>
        <w:pStyle w:val="BodyBullets"/>
      </w:pPr>
      <w:r>
        <w:rPr>
          <w:rStyle w:val="Bold"/>
        </w:rPr>
        <w:t>Participant pathway</w:t>
      </w:r>
      <w:r>
        <w:t xml:space="preserve"> – all Agency staff are made familiar with the participant experience through participation in learning that builds a general knowledge of the initial assessment of eligibility through to information gathering, pre-planning, plan approval, implementation, monitoring and review. This foundational learning is provided to both Agency staff and partner agency Local Area Coordinators.</w:t>
      </w:r>
    </w:p>
    <w:p w14:paraId="4E9802E5" w14:textId="77777777" w:rsidR="002F1E97" w:rsidRDefault="002F1E97" w:rsidP="002F1E97">
      <w:pPr>
        <w:pStyle w:val="BodyBullets"/>
      </w:pPr>
      <w:r>
        <w:rPr>
          <w:rStyle w:val="Bold"/>
        </w:rPr>
        <w:t>Regional hub roles</w:t>
      </w:r>
      <w:r>
        <w:t xml:space="preserve"> – to support the establishment of Regional Hubs across Australia, a number of learning programs </w:t>
      </w:r>
      <w:r>
        <w:br/>
        <w:t xml:space="preserve">have been delivered to ensure critical </w:t>
      </w:r>
      <w:r>
        <w:br/>
        <w:t xml:space="preserve">functions and services can be delivered </w:t>
      </w:r>
      <w:r>
        <w:br/>
        <w:t xml:space="preserve">from the commencement of full Scheme. </w:t>
      </w:r>
    </w:p>
    <w:p w14:paraId="38B3E1E2" w14:textId="77777777" w:rsidR="002F1E97" w:rsidRDefault="002F1E97" w:rsidP="002F1E97">
      <w:pPr>
        <w:pStyle w:val="BodyBullets"/>
      </w:pPr>
      <w:r>
        <w:rPr>
          <w:rStyle w:val="Bold"/>
        </w:rPr>
        <w:t>Mandatory learning program</w:t>
      </w:r>
      <w:r>
        <w:t xml:space="preserve"> – from June 2016 all staff are required to complete mandatory learning courses aimed at building knowledge in key aspects of being a public servant. These courses included APS Values, Code of Conduct and Employment Principles, Fraud Awareness, Information Handling, Security Awareness and Work Health and Safety for Employees and Public Information Disclosure (PID). </w:t>
      </w:r>
    </w:p>
    <w:p w14:paraId="67ED7B02" w14:textId="77777777" w:rsidR="002F1E97" w:rsidRDefault="002F1E97" w:rsidP="002F1E97">
      <w:pPr>
        <w:pStyle w:val="BodyCopy"/>
      </w:pPr>
      <w:r>
        <w:t xml:space="preserve">In 2015-16 more than 16 143 structured learning courses were completed via the Agency’s learning management system (LEAP), across 61 course types. In addition to these internally delivered structured learning opportunities, many staff accessed external learning opportunities through </w:t>
      </w:r>
      <w:proofErr w:type="spellStart"/>
      <w:r>
        <w:t>organisations</w:t>
      </w:r>
      <w:proofErr w:type="spellEnd"/>
      <w:r>
        <w:t xml:space="preserve"> such as the Australian Public Service Commission (APSC), Australian Human Resources Institute (AHRI), Australian and New Zealand School of Government (ANZSOG), Institute of Public Administration Australia (IPAA) and Jawun.</w:t>
      </w:r>
    </w:p>
    <w:p w14:paraId="1C94E8C0" w14:textId="77777777" w:rsidR="002F1E97" w:rsidRDefault="002F1E97" w:rsidP="002F1E97">
      <w:pPr>
        <w:pStyle w:val="BodyCopy"/>
      </w:pPr>
      <w:r>
        <w:t xml:space="preserve">The Agency also supported the APSC Graduate Development Program, recruiting and supporting twelve graduates through a year-long development program. The Agency also supports the Government and APSC’s commitment to building Aboriginal and Torres Strait Islander workforce engagement, engaging three participants in the Indigenous Australian Government Development Program (IAGDP) in 2015-16. </w:t>
      </w:r>
    </w:p>
    <w:p w14:paraId="17B1CC3E" w14:textId="73A64B5A" w:rsidR="002F1E97" w:rsidRDefault="002F1E97" w:rsidP="00BB4EB9">
      <w:pPr>
        <w:pStyle w:val="Heading3"/>
      </w:pPr>
      <w:r>
        <w:t>Assistive Technology for the Agency workforce</w:t>
      </w:r>
    </w:p>
    <w:p w14:paraId="1AF52CBC" w14:textId="77777777" w:rsidR="002F1E97" w:rsidRDefault="002F1E97" w:rsidP="002F1E97">
      <w:pPr>
        <w:pStyle w:val="BodyCopy"/>
      </w:pPr>
      <w:r>
        <w:t>The Agency provides Assistive Technology (AT) to its staff and contractors with disability. AT refers to any technology such as hardware or software that a user with disability or impairment can use to perform their role effectively.</w:t>
      </w:r>
    </w:p>
    <w:p w14:paraId="4AC1E357" w14:textId="77777777" w:rsidR="002F1E97" w:rsidRDefault="002F1E97" w:rsidP="002F1E97">
      <w:pPr>
        <w:pStyle w:val="BodyCopy"/>
      </w:pPr>
      <w:r>
        <w:t>The Agency identifies the need for AT when a new employee or contractor joins the Agency. Once determined, the Agency works with the Department of Human Services (DHS) and consults with users to assess the requirements for the user and provide the most appropriate solution to ensure the user is able to access technology and successfully undertake their duties.</w:t>
      </w:r>
    </w:p>
    <w:p w14:paraId="0B3B5F8B" w14:textId="77777777" w:rsidR="002F1E97" w:rsidRDefault="002F1E97" w:rsidP="002F1E97">
      <w:pPr>
        <w:pStyle w:val="BodyCopy"/>
      </w:pPr>
      <w:r>
        <w:t>The Agency has 46 staff accessing 72 different licenses from eight different assistive technology software products. These products assist staff with blindness or low vision, mobility, dexterity, cognitive and learning impairments.</w:t>
      </w:r>
    </w:p>
    <w:p w14:paraId="7FCD104A" w14:textId="77777777" w:rsidR="002F1E97" w:rsidRDefault="002F1E97" w:rsidP="002F1E97">
      <w:pPr>
        <w:pStyle w:val="BodyCopy"/>
      </w:pPr>
      <w:r>
        <w:t>For further information on the AT strategy see page 32.</w:t>
      </w:r>
    </w:p>
    <w:p w14:paraId="78F6DAF2" w14:textId="33ACD3EF" w:rsidR="002F1E97" w:rsidRDefault="002F1E97" w:rsidP="00BB4EB9">
      <w:pPr>
        <w:pStyle w:val="Heading3"/>
      </w:pPr>
      <w:r>
        <w:t>Employee engagement</w:t>
      </w:r>
    </w:p>
    <w:p w14:paraId="313A5DB1" w14:textId="77777777" w:rsidR="002F1E97" w:rsidRDefault="002F1E97" w:rsidP="002F1E97">
      <w:pPr>
        <w:pStyle w:val="BodyCopy"/>
      </w:pPr>
      <w:r>
        <w:t>This year, Agency staff members were invited to participate in the 2016 APS Employee Engagement Census. The Census is an important tool aimed at measuring staff attitudes and satisfaction with the Agency’s values, leadership and management principles, and employee engagement.</w:t>
      </w:r>
    </w:p>
    <w:p w14:paraId="272918CF" w14:textId="77777777" w:rsidR="002F1E97" w:rsidRDefault="002F1E97" w:rsidP="002F1E97">
      <w:pPr>
        <w:pStyle w:val="BodyCopy"/>
      </w:pPr>
      <w:r>
        <w:t xml:space="preserve">2016 participation achieved an Agency response rate of 72.4 per cent. </w:t>
      </w:r>
    </w:p>
    <w:p w14:paraId="6EA977F1" w14:textId="2ED5E3F7" w:rsidR="002F1E97" w:rsidRDefault="002F1E97" w:rsidP="00BB4EB9">
      <w:pPr>
        <w:pStyle w:val="Heading3"/>
      </w:pPr>
      <w:r>
        <w:lastRenderedPageBreak/>
        <w:t>Performance pay</w:t>
      </w:r>
    </w:p>
    <w:p w14:paraId="766B41F9" w14:textId="6768F30E" w:rsidR="002F1E97" w:rsidRDefault="002F1E97" w:rsidP="002F1E97">
      <w:pPr>
        <w:pStyle w:val="BodyCopy"/>
      </w:pPr>
      <w:r>
        <w:t>No performance pay arrangements apply in the Agency.</w:t>
      </w:r>
    </w:p>
    <w:p w14:paraId="0BCEDD2E" w14:textId="46BB4470" w:rsidR="002F1E97" w:rsidRDefault="002F1E97" w:rsidP="00BE62E4">
      <w:pPr>
        <w:pStyle w:val="Heading3"/>
      </w:pPr>
      <w:r>
        <w:t>Performance management</w:t>
      </w:r>
    </w:p>
    <w:p w14:paraId="1A07DA98" w14:textId="77777777" w:rsidR="002F1E97" w:rsidRDefault="002F1E97" w:rsidP="002F1E97">
      <w:pPr>
        <w:pStyle w:val="BodyCopy"/>
      </w:pPr>
      <w:r>
        <w:t xml:space="preserve">The Agency has now fully implemented a new approach to Performance Development within the Australian Public Service incorporating less reliance on annual plans and more on </w:t>
      </w:r>
      <w:proofErr w:type="gramStart"/>
      <w:r>
        <w:t>100 day</w:t>
      </w:r>
      <w:proofErr w:type="gramEnd"/>
      <w:r>
        <w:t xml:space="preserve"> planning cycles.</w:t>
      </w:r>
    </w:p>
    <w:p w14:paraId="3A59CB7E" w14:textId="71FBF1C1" w:rsidR="002F1E97" w:rsidRDefault="002F1E97" w:rsidP="00BE62E4">
      <w:pPr>
        <w:pStyle w:val="Heading3"/>
      </w:pPr>
      <w:r>
        <w:t xml:space="preserve">Performance Development Framework </w:t>
      </w:r>
    </w:p>
    <w:p w14:paraId="21E0652F" w14:textId="77777777" w:rsidR="002F1E97" w:rsidRDefault="002F1E97" w:rsidP="002F1E97">
      <w:pPr>
        <w:pStyle w:val="BodyCopy"/>
        <w:spacing w:after="0"/>
      </w:pPr>
      <w:r>
        <w:rPr>
          <w:spacing w:val="-4"/>
        </w:rPr>
        <w:t>The Performance Development Framework (PDF) is electronically accessible to staff through the intranet and assists the Agency to improve the performance and capability of everyone in the Agency.</w:t>
      </w:r>
    </w:p>
    <w:p w14:paraId="38968FB2" w14:textId="77777777" w:rsidR="002F1E97" w:rsidRDefault="002F1E97" w:rsidP="002F1E97">
      <w:pPr>
        <w:pStyle w:val="BodyCopy"/>
        <w:spacing w:after="0"/>
      </w:pPr>
      <w:r>
        <w:t xml:space="preserve">As part of performance development, every employee needs to have a </w:t>
      </w:r>
      <w:proofErr w:type="gramStart"/>
      <w:r>
        <w:t>100 day</w:t>
      </w:r>
      <w:proofErr w:type="gramEnd"/>
      <w:r>
        <w:t xml:space="preserve"> plan: </w:t>
      </w:r>
    </w:p>
    <w:p w14:paraId="03136E6B" w14:textId="77777777" w:rsidR="002F1E97" w:rsidRDefault="002F1E97" w:rsidP="002F1E97">
      <w:pPr>
        <w:pStyle w:val="BodyBullets"/>
        <w:spacing w:after="0"/>
      </w:pPr>
      <w:r>
        <w:t xml:space="preserve">the employee leads the establishment of their </w:t>
      </w:r>
      <w:proofErr w:type="gramStart"/>
      <w:r>
        <w:t>100 day</w:t>
      </w:r>
      <w:proofErr w:type="gramEnd"/>
      <w:r>
        <w:t xml:space="preserve"> plan based on the team direction set by their manager</w:t>
      </w:r>
    </w:p>
    <w:p w14:paraId="1B7FAEAE" w14:textId="77777777" w:rsidR="002F1E97" w:rsidRDefault="002F1E97" w:rsidP="002F1E97">
      <w:pPr>
        <w:pStyle w:val="BodyBullets"/>
        <w:spacing w:after="0"/>
      </w:pPr>
      <w:r>
        <w:t>plans incorporate business outcomes and personal development</w:t>
      </w:r>
    </w:p>
    <w:p w14:paraId="0C5CF859" w14:textId="77777777" w:rsidR="002F1E97" w:rsidRDefault="002F1E97" w:rsidP="002F1E97">
      <w:pPr>
        <w:pStyle w:val="BodyBullets"/>
        <w:spacing w:after="0"/>
      </w:pPr>
      <w:r>
        <w:t>plans can start at any time</w:t>
      </w:r>
    </w:p>
    <w:p w14:paraId="65B01C1C" w14:textId="77777777" w:rsidR="002F1E97" w:rsidRDefault="002F1E97" w:rsidP="002F1E97">
      <w:pPr>
        <w:pStyle w:val="BodyBullets"/>
        <w:spacing w:after="0"/>
      </w:pPr>
      <w:r>
        <w:t>plans have between three to five outcomes with a minimum of two core business outcomes and one stretch outcome</w:t>
      </w:r>
    </w:p>
    <w:p w14:paraId="30335DB3" w14:textId="77777777" w:rsidR="002F1E97" w:rsidRDefault="002F1E97" w:rsidP="002F1E97">
      <w:pPr>
        <w:pStyle w:val="BodyBullets-last"/>
      </w:pPr>
      <w:r>
        <w:t>senior leaders are required to include a corporate contribution.</w:t>
      </w:r>
    </w:p>
    <w:p w14:paraId="3D9E7BB6" w14:textId="3D19DB89" w:rsidR="002F1E97" w:rsidRDefault="002F1E97" w:rsidP="00BE62E4">
      <w:pPr>
        <w:pStyle w:val="Heading3"/>
      </w:pPr>
      <w:r>
        <w:t>Work health and safety performance</w:t>
      </w:r>
    </w:p>
    <w:p w14:paraId="03FCCD3D" w14:textId="77777777" w:rsidR="002F1E97" w:rsidRDefault="002F1E97" w:rsidP="002F1E97">
      <w:pPr>
        <w:pStyle w:val="BodyCopy"/>
      </w:pPr>
      <w:r>
        <w:t xml:space="preserve">The Agency acknowledges its employer responsibilities under the </w:t>
      </w:r>
      <w:r>
        <w:rPr>
          <w:rStyle w:val="Lightitalic"/>
        </w:rPr>
        <w:t>Work Health and Safety Act 2011</w:t>
      </w:r>
      <w:r>
        <w:t xml:space="preserve"> (WHS Act), the </w:t>
      </w:r>
      <w:r>
        <w:rPr>
          <w:rStyle w:val="Lightitalic"/>
        </w:rPr>
        <w:t>Safety, Rehabilitation and Compensation Act 1988</w:t>
      </w:r>
      <w:r>
        <w:t xml:space="preserve"> and anti-discrimination legislation.</w:t>
      </w:r>
    </w:p>
    <w:p w14:paraId="145A41A7" w14:textId="77777777" w:rsidR="002F1E97" w:rsidRDefault="002F1E97" w:rsidP="002F1E97">
      <w:pPr>
        <w:pStyle w:val="BodyCopy"/>
      </w:pPr>
      <w:r>
        <w:t xml:space="preserve">The Agency takes all reasonably practicable measures to protect the health, safety and welfare of its staff while at work, including providing a safe work environment: The Agency’s Work Health and Safety Policy, and Health and Safety Management Arrangements promote consultation, prevention and early intervention and are aligned with the Agency’s belief in looking after and valuing its people. The Agency </w:t>
      </w:r>
      <w:proofErr w:type="spellStart"/>
      <w:r>
        <w:t>recognises</w:t>
      </w:r>
      <w:proofErr w:type="spellEnd"/>
      <w:r>
        <w:t xml:space="preserve"> that effective health and safety management systems are good business practice and reduce work-related injury and illness costs. The Agency supports access to information about overall health and wellbeing for its people.</w:t>
      </w:r>
    </w:p>
    <w:p w14:paraId="659568C0" w14:textId="77777777" w:rsidR="002F1E97" w:rsidRDefault="002F1E97" w:rsidP="002F1E97">
      <w:pPr>
        <w:pStyle w:val="BodyCopy"/>
      </w:pPr>
      <w:r>
        <w:t>Further information on work health and safety performance is available on page 135.</w:t>
      </w:r>
    </w:p>
    <w:p w14:paraId="2FE079B9" w14:textId="77777777" w:rsidR="002F1E97" w:rsidRPr="002F1E97" w:rsidRDefault="002F1E97" w:rsidP="00BE62E4">
      <w:pPr>
        <w:pStyle w:val="Heading4"/>
        <w:rPr>
          <w:outline/>
          <w:color w:val="000000"/>
          <w14:textOutline w14:w="9525" w14:cap="flat" w14:cmpd="sng" w14:algn="ctr">
            <w14:solidFill>
              <w14:srgbClr w14:val="000000"/>
            </w14:solidFill>
            <w14:prstDash w14:val="solid"/>
            <w14:round/>
          </w14:textOutline>
          <w14:textFill>
            <w14:noFill/>
          </w14:textFill>
        </w:rPr>
      </w:pPr>
      <w:r>
        <w:t>Specific actions taken in 2015–16 included:</w:t>
      </w:r>
      <w:r w:rsidRPr="002F1E97">
        <w:rPr>
          <w:outline/>
          <w:color w:val="000000"/>
          <w14:textOutline w14:w="9525" w14:cap="flat" w14:cmpd="sng" w14:algn="ctr">
            <w14:solidFill>
              <w14:srgbClr w14:val="000000"/>
            </w14:solidFill>
            <w14:prstDash w14:val="solid"/>
            <w14:round/>
          </w14:textOutline>
          <w14:textFill>
            <w14:noFill/>
          </w14:textFill>
        </w:rPr>
        <w:tab/>
      </w:r>
    </w:p>
    <w:p w14:paraId="51AA7E3B" w14:textId="77777777" w:rsidR="002F1E97" w:rsidRDefault="002F1E97" w:rsidP="002F1E97">
      <w:pPr>
        <w:pStyle w:val="BodyBullets"/>
      </w:pPr>
      <w:r>
        <w:t>engagement of independent auditors to audit both the work health and safety management system and the rehabilitation management system to assist the Agency to identify where further growth of these systems is required ensuring continued compliance with legislative requirements</w:t>
      </w:r>
    </w:p>
    <w:p w14:paraId="14B976FA" w14:textId="77777777" w:rsidR="002F1E97" w:rsidRDefault="002F1E97" w:rsidP="002F1E97">
      <w:pPr>
        <w:pStyle w:val="BodyBullets"/>
      </w:pPr>
      <w:r>
        <w:t>due diligence training for NDIA Officers was rolled out</w:t>
      </w:r>
    </w:p>
    <w:p w14:paraId="2A160A9F" w14:textId="77777777" w:rsidR="002F1E97" w:rsidRDefault="002F1E97" w:rsidP="002F1E97">
      <w:pPr>
        <w:pStyle w:val="BodyBullets"/>
      </w:pPr>
      <w:r>
        <w:t>health, wellbeing, injury and illness management webpages including a suite of documents to support both managers and staff were added to the WHS intranet page</w:t>
      </w:r>
    </w:p>
    <w:p w14:paraId="2AA23946" w14:textId="77777777" w:rsidR="002F1E97" w:rsidRDefault="002F1E97" w:rsidP="002F1E97">
      <w:pPr>
        <w:pStyle w:val="BodyBullets"/>
      </w:pPr>
      <w:r>
        <w:lastRenderedPageBreak/>
        <w:t xml:space="preserve">Health and Safety Representative Network was consolidated and supported by the endorsement of the Work Health and Safety Arrangements </w:t>
      </w:r>
    </w:p>
    <w:p w14:paraId="2C7BFF28" w14:textId="77777777" w:rsidR="002F1E97" w:rsidRDefault="002F1E97" w:rsidP="002F1E97">
      <w:pPr>
        <w:pStyle w:val="BodyBullets"/>
      </w:pPr>
      <w:r>
        <w:t>implementation of the Work Health and Safety e-learning package</w:t>
      </w:r>
    </w:p>
    <w:p w14:paraId="2BF87B5F" w14:textId="77777777" w:rsidR="002F1E97" w:rsidRDefault="002F1E97" w:rsidP="002F1E97">
      <w:pPr>
        <w:pStyle w:val="BodyBullets"/>
      </w:pPr>
      <w:r>
        <w:t>Wellbeing Champions Network launched</w:t>
      </w:r>
    </w:p>
    <w:p w14:paraId="76A1BD2E" w14:textId="77777777" w:rsidR="002F1E97" w:rsidRDefault="002F1E97" w:rsidP="002F1E97">
      <w:pPr>
        <w:pStyle w:val="BodyBullets"/>
      </w:pPr>
      <w:r>
        <w:t>prevention of psychosocial injury training delivered nationwide</w:t>
      </w:r>
    </w:p>
    <w:p w14:paraId="35E38D77" w14:textId="77777777" w:rsidR="002F1E97" w:rsidRDefault="002F1E97" w:rsidP="002F1E97">
      <w:pPr>
        <w:pStyle w:val="BodyBullets"/>
      </w:pPr>
      <w:r>
        <w:t>176 workstation assessments were undertaken</w:t>
      </w:r>
    </w:p>
    <w:p w14:paraId="75B6DC87" w14:textId="77777777" w:rsidR="002F1E97" w:rsidRDefault="002F1E97" w:rsidP="002F1E97">
      <w:pPr>
        <w:pStyle w:val="BodyBullets"/>
      </w:pPr>
      <w:r>
        <w:t>rollout of the Agency’s Early Intervention Program inclusive of training</w:t>
      </w:r>
    </w:p>
    <w:p w14:paraId="03372022" w14:textId="77777777" w:rsidR="002F1E97" w:rsidRDefault="002F1E97" w:rsidP="002F1E97">
      <w:pPr>
        <w:pStyle w:val="BodyBullets-last"/>
      </w:pPr>
      <w:r>
        <w:t>over 376 staff participated in the influenza vaccination program.</w:t>
      </w:r>
    </w:p>
    <w:p w14:paraId="74D859D7" w14:textId="77777777" w:rsidR="002F1E97" w:rsidRDefault="002F1E97" w:rsidP="002F1E97">
      <w:pPr>
        <w:pStyle w:val="BodyCopy"/>
      </w:pPr>
      <w:r>
        <w:t xml:space="preserve">The Agency will develop an evaluation framework to assess the efficiency of its current and future workplace health and safety initiatives. </w:t>
      </w:r>
    </w:p>
    <w:p w14:paraId="4F84BD92" w14:textId="68480535" w:rsidR="002F1E97" w:rsidRDefault="00BA0270" w:rsidP="00BA0270">
      <w:pPr>
        <w:pStyle w:val="Heading1"/>
      </w:pPr>
      <w:bookmarkStart w:id="57" w:name="_Toc464482111"/>
      <w:r w:rsidRPr="00BA0270">
        <w:lastRenderedPageBreak/>
        <w:t>Section 2</w:t>
      </w:r>
      <w:r w:rsidRPr="00BA0270">
        <w:br/>
        <w:t>Performance report</w:t>
      </w:r>
      <w:bookmarkEnd w:id="57"/>
    </w:p>
    <w:p w14:paraId="447B9626" w14:textId="3CFB19E6" w:rsidR="00CE0F70" w:rsidRDefault="00CE0F70" w:rsidP="00CE0F70">
      <w:pPr>
        <w:pStyle w:val="Heading2"/>
      </w:pPr>
      <w:bookmarkStart w:id="58" w:name="_Toc464482112"/>
      <w:r>
        <w:lastRenderedPageBreak/>
        <w:t>Performance statements authority</w:t>
      </w:r>
      <w:bookmarkEnd w:id="58"/>
    </w:p>
    <w:p w14:paraId="03FDAF28" w14:textId="75A25B1D" w:rsidR="00CE0F70" w:rsidRPr="00CE0F70" w:rsidRDefault="00CE0F70" w:rsidP="00CE0F70">
      <w:pPr>
        <w:rPr>
          <w:lang w:val="en-GB"/>
        </w:rPr>
      </w:pPr>
      <w:r w:rsidRPr="00CE0F70">
        <w:rPr>
          <w:lang w:val="en-GB"/>
        </w:rPr>
        <w:t xml:space="preserve">I, as the accountable authority of the National Disability Insurance Agency, present the 2015–16 annual performance statements of the National Disability Insurance Agency, as required under paragraph 39(1)(a) of the </w:t>
      </w:r>
      <w:r w:rsidRPr="00CE0F70">
        <w:rPr>
          <w:i/>
          <w:iCs/>
          <w:lang w:val="en-GB"/>
        </w:rPr>
        <w:t>Public Governance, Performance and Accountability Act 2013</w:t>
      </w:r>
      <w:r w:rsidRPr="00CE0F70">
        <w:rPr>
          <w:lang w:val="en-GB"/>
        </w:rPr>
        <w:t xml:space="preserve"> (PGPA Act) and the National Disability Insurance Scheme Act 2013 (NDIS Act). In my opinion, these annual performance statements are based on properly maintained records, accurately reflect the performance of the entity, and comply with subsection 39(2) of the PGPA Act.</w:t>
      </w:r>
    </w:p>
    <w:p w14:paraId="363551BF" w14:textId="77777777" w:rsidR="00CE0F70" w:rsidRPr="00CE0F70" w:rsidRDefault="00CE0F70" w:rsidP="00CE0F70">
      <w:pPr>
        <w:rPr>
          <w:b/>
          <w:bCs/>
          <w:lang w:val="en-GB"/>
        </w:rPr>
      </w:pPr>
      <w:r w:rsidRPr="00CE0F70">
        <w:rPr>
          <w:b/>
          <w:bCs/>
          <w:lang w:val="en-GB"/>
        </w:rPr>
        <w:t>Bruce Bonyhady AM, Chairman</w:t>
      </w:r>
    </w:p>
    <w:p w14:paraId="368DD96A" w14:textId="77777777" w:rsidR="00CE0F70" w:rsidRPr="00CE0F70" w:rsidRDefault="00CE0F70" w:rsidP="00CE0F70">
      <w:pPr>
        <w:pStyle w:val="IntroPara"/>
        <w:rPr>
          <w:lang w:val="en-GB"/>
        </w:rPr>
      </w:pPr>
      <w:r w:rsidRPr="00CE0F70">
        <w:rPr>
          <w:lang w:val="en-GB"/>
        </w:rPr>
        <w:t>This section of the 2015-16 Annual Report provides details of the Agency’s performance as measured against targets and objectives outlined in the Department of Social Services 2015-16 Portfolio Budget Statement (PBS) and the 2015-19 Corporate Plan.</w:t>
      </w:r>
    </w:p>
    <w:p w14:paraId="19C91612" w14:textId="1447D545" w:rsidR="00CE0F70" w:rsidRDefault="00DF722E" w:rsidP="00DF722E">
      <w:pPr>
        <w:pStyle w:val="Heading2"/>
      </w:pPr>
      <w:bookmarkStart w:id="59" w:name="_Toc464482113"/>
      <w:r>
        <w:lastRenderedPageBreak/>
        <w:t>Performance report</w:t>
      </w:r>
      <w:bookmarkEnd w:id="59"/>
    </w:p>
    <w:p w14:paraId="78F1E478" w14:textId="77777777" w:rsidR="0089139C" w:rsidRDefault="0089139C" w:rsidP="0089139C">
      <w:pPr>
        <w:pStyle w:val="BodyCopy"/>
      </w:pPr>
      <w:r>
        <w:t>The primary outcome, or Outcome 1 for the National Disability Insurance Agency (the Agency) is:</w:t>
      </w:r>
    </w:p>
    <w:p w14:paraId="72D6D5B6" w14:textId="77777777" w:rsidR="0089139C" w:rsidRDefault="0089139C" w:rsidP="0089139C">
      <w:pPr>
        <w:pStyle w:val="CalloutmediumCallouts"/>
        <w:spacing w:before="170"/>
        <w:rPr>
          <w:rFonts w:ascii="FSMePro-Light" w:hAnsi="FSMePro-Light" w:cs="FSMePro-Light"/>
          <w:b w:val="0"/>
          <w:bCs w:val="0"/>
          <w:color w:val="000000"/>
          <w:spacing w:val="-2"/>
          <w:sz w:val="18"/>
          <w:szCs w:val="18"/>
        </w:rPr>
      </w:pPr>
      <w:r>
        <w:t>To implement a National Disability Insurance Scheme that provides individual control and choice in the delivery of reasonable and necessary care and supports to improve the independence, social and economic participation of eligible people with disability, their families and carers, and associated referral services and activities.</w:t>
      </w:r>
    </w:p>
    <w:p w14:paraId="4A116BBE" w14:textId="77777777" w:rsidR="00521939" w:rsidRPr="00521939" w:rsidRDefault="00521939" w:rsidP="00521939">
      <w:pPr>
        <w:rPr>
          <w:lang w:val="en-GB"/>
        </w:rPr>
      </w:pPr>
      <w:r w:rsidRPr="00521939">
        <w:rPr>
          <w:b/>
          <w:bCs/>
          <w:lang w:val="en-GB"/>
        </w:rPr>
        <w:t>Government outcomes</w:t>
      </w:r>
      <w:r w:rsidRPr="00521939">
        <w:rPr>
          <w:lang w:val="en-GB"/>
        </w:rPr>
        <w:t xml:space="preserve"> are the intended results, impacts or consequences of actions by the government on the Australian community. </w:t>
      </w:r>
    </w:p>
    <w:p w14:paraId="62F4929C" w14:textId="7D045A9C" w:rsidR="00521939" w:rsidRPr="00521939" w:rsidRDefault="00521939" w:rsidP="00521939">
      <w:pPr>
        <w:rPr>
          <w:lang w:val="en-GB"/>
        </w:rPr>
      </w:pPr>
      <w:r w:rsidRPr="00521939">
        <w:rPr>
          <w:b/>
          <w:bCs/>
          <w:lang w:val="en-GB"/>
        </w:rPr>
        <w:t>Commonwealth programs</w:t>
      </w:r>
      <w:r w:rsidRPr="00521939">
        <w:rPr>
          <w:lang w:val="en-GB"/>
        </w:rPr>
        <w:t xml:space="preserve"> are the primary vehicle by which government entities like the Agency, achieve the intended results of their outcome statements. This means the Agency is required to report on the programs which contribute to the primary government outcome (</w:t>
      </w:r>
      <w:proofErr w:type="spellStart"/>
      <w:r w:rsidRPr="00521939">
        <w:rPr>
          <w:lang w:val="en-GB"/>
        </w:rPr>
        <w:t>Outcome</w:t>
      </w:r>
      <w:proofErr w:type="spellEnd"/>
      <w:r w:rsidRPr="00521939">
        <w:rPr>
          <w:lang w:val="en-GB"/>
        </w:rPr>
        <w:t xml:space="preserve"> 1) for the Agency over the 2015-16 Budget and forward years. </w:t>
      </w:r>
    </w:p>
    <w:p w14:paraId="36D1ACB7" w14:textId="3DB026AF" w:rsidR="0089139C" w:rsidRDefault="0089139C" w:rsidP="0089139C">
      <w:pPr>
        <w:pStyle w:val="Heading3"/>
      </w:pPr>
      <w:r>
        <w:t>Outcome 1 strategy overview</w:t>
      </w:r>
    </w:p>
    <w:p w14:paraId="24DBBD3A" w14:textId="77777777" w:rsidR="0089139C" w:rsidRDefault="0089139C" w:rsidP="0089139C">
      <w:pPr>
        <w:pStyle w:val="BodyCopy"/>
      </w:pPr>
      <w:r>
        <w:t>The Agency was committed to working closely with the Commonwealth and the states and territories to ensure the successful implementation of the final year of the trial phase of the Scheme in 2015-16. When full national rollout of the Scheme is implemented, it is expected to cost around $22 billion, of which around half will be funded by the Australian Government, with the remaining funding to be provided by the states and territories.</w:t>
      </w:r>
    </w:p>
    <w:p w14:paraId="1CF71E42" w14:textId="77777777" w:rsidR="0089139C" w:rsidRDefault="0089139C" w:rsidP="0089139C">
      <w:pPr>
        <w:pStyle w:val="BodyCopy"/>
      </w:pPr>
      <w:r>
        <w:t xml:space="preserve">The Agency has been focused on continuing to build its capability to ensure that it is ready to transition to full Scheme from July 2016 and begin rolling out across Australia once the trial phase is complete. </w:t>
      </w:r>
    </w:p>
    <w:p w14:paraId="4F5088B1" w14:textId="77777777" w:rsidR="0089139C" w:rsidRDefault="0089139C" w:rsidP="0089139C">
      <w:pPr>
        <w:pStyle w:val="BodyCopy"/>
        <w:rPr>
          <w:rStyle w:val="Bold"/>
        </w:rPr>
      </w:pPr>
      <w:r>
        <w:t>One example over 2015-16 has been to develop an Information and Communications Technology platform for the Agency to eventually be integrated into all aspects of the Agency’s business. It has been critical to enabling the Agency to meet the timeframe for the full rollout of the Scheme that has been agreed between the Commonwealth and the states and territories.</w:t>
      </w:r>
    </w:p>
    <w:p w14:paraId="5F98C969" w14:textId="77777777" w:rsidR="0089139C" w:rsidRDefault="0089139C" w:rsidP="0089139C">
      <w:pPr>
        <w:pStyle w:val="BodyCopy"/>
      </w:pPr>
      <w:r>
        <w:rPr>
          <w:spacing w:val="-5"/>
        </w:rPr>
        <w:t>The Agency values the lessons that have been learned during the trial phase and will continue to make improvements in response to Scheme experience to ensure that the Agency’s operating model is fit for purpose and scalable for full Scheme.</w:t>
      </w:r>
    </w:p>
    <w:p w14:paraId="0373BC8E" w14:textId="77777777" w:rsidR="0089139C" w:rsidRDefault="0089139C" w:rsidP="0089139C">
      <w:pPr>
        <w:pStyle w:val="BodyCopy"/>
      </w:pPr>
      <w:r>
        <w:t>The Agency will also continue to work closely with all governments to lay the foundations for the Scheme including through the development of operational plans as each jurisdiction transitions to full Scheme.</w:t>
      </w:r>
    </w:p>
    <w:p w14:paraId="0A154D49" w14:textId="77777777" w:rsidR="0089139C" w:rsidRDefault="0089139C" w:rsidP="0089139C">
      <w:pPr>
        <w:pStyle w:val="IntroPara"/>
      </w:pPr>
      <w:r>
        <w:t>In this annual report for 2015-16, the programs that will be reported on are:</w:t>
      </w:r>
    </w:p>
    <w:p w14:paraId="6E4297BF" w14:textId="26CC6B6E" w:rsidR="0089139C" w:rsidRDefault="0089139C" w:rsidP="005C0214">
      <w:pPr>
        <w:pStyle w:val="Heading3"/>
        <w:spacing w:after="57"/>
      </w:pPr>
      <w:r>
        <w:t>Program 1.1</w:t>
      </w:r>
    </w:p>
    <w:p w14:paraId="0BC47D5D" w14:textId="77777777" w:rsidR="0089139C" w:rsidRDefault="0089139C" w:rsidP="005C0214">
      <w:pPr>
        <w:pStyle w:val="BodyCopy"/>
      </w:pPr>
      <w:r>
        <w:t xml:space="preserve">Reasonable and necessary care and support for participants </w:t>
      </w:r>
    </w:p>
    <w:p w14:paraId="0C0A1FBF" w14:textId="18E4EE80" w:rsidR="0089139C" w:rsidRDefault="0089139C" w:rsidP="005C0214">
      <w:pPr>
        <w:pStyle w:val="Heading3"/>
        <w:spacing w:after="57"/>
      </w:pPr>
      <w:r>
        <w:t>Program 1.2</w:t>
      </w:r>
    </w:p>
    <w:p w14:paraId="7B709662" w14:textId="77777777" w:rsidR="0089139C" w:rsidRDefault="0089139C" w:rsidP="005C0214">
      <w:pPr>
        <w:pStyle w:val="BodyCopy"/>
      </w:pPr>
      <w:r>
        <w:t xml:space="preserve">Community inclusion and capacity development grants </w:t>
      </w:r>
    </w:p>
    <w:p w14:paraId="2946300E" w14:textId="505F007F" w:rsidR="0089139C" w:rsidRDefault="0089139C" w:rsidP="005C0214">
      <w:pPr>
        <w:pStyle w:val="Heading3"/>
        <w:spacing w:after="57"/>
      </w:pPr>
      <w:r>
        <w:lastRenderedPageBreak/>
        <w:t>Program 1.3</w:t>
      </w:r>
    </w:p>
    <w:p w14:paraId="04AE45B5" w14:textId="77777777" w:rsidR="0089139C" w:rsidRDefault="0089139C" w:rsidP="005C0214">
      <w:pPr>
        <w:pStyle w:val="BodyCopy"/>
        <w:spacing w:after="227"/>
      </w:pPr>
      <w:r>
        <w:t xml:space="preserve">Agency costs </w:t>
      </w:r>
    </w:p>
    <w:p w14:paraId="2CB4E235" w14:textId="77777777" w:rsidR="0089139C" w:rsidRDefault="0089139C" w:rsidP="0089139C">
      <w:pPr>
        <w:pStyle w:val="BodyCopy"/>
      </w:pPr>
      <w:r>
        <w:t xml:space="preserve">The following analysis of these programs is based on the </w:t>
      </w:r>
      <w:r>
        <w:rPr>
          <w:rStyle w:val="Lightitalic"/>
        </w:rPr>
        <w:t>Australian Government Portfolio Budget Statement</w:t>
      </w:r>
      <w:r>
        <w:t xml:space="preserve"> (PBS) 2015-16. The PBS included changes to the reporting requirements of the Agency for the programs, to better reflect the context of the Agency in the final year of trial. </w:t>
      </w:r>
    </w:p>
    <w:p w14:paraId="3256E099" w14:textId="77777777" w:rsidR="0089139C" w:rsidRDefault="0089139C" w:rsidP="0089139C">
      <w:pPr>
        <w:pStyle w:val="BodyCopy"/>
      </w:pPr>
      <w:r>
        <w:t xml:space="preserve">Also, from 1 July 2015, performance reporting requirements in the PBS sit alongside those required under the enhanced Commonwealth Performance Framework. </w:t>
      </w:r>
    </w:p>
    <w:p w14:paraId="49F32326" w14:textId="77777777" w:rsidR="0089139C" w:rsidRDefault="0089139C" w:rsidP="0089139C">
      <w:pPr>
        <w:pStyle w:val="BodyCopy"/>
      </w:pPr>
      <w:r>
        <w:t>For the first time the performance criteria (or activities that sit under specific programs designed to measure success) described in the PBS will be read with broader information and goals provided in the Agency’s Corporate Plan 2015-19. This details the Agency’s complete performance story. For this reason, some of the measures against goals and programs, which do share parallel measures, are detailed in both areas.</w:t>
      </w:r>
    </w:p>
    <w:p w14:paraId="0F985348" w14:textId="77777777" w:rsidR="0089139C" w:rsidRDefault="0089139C" w:rsidP="0089139C">
      <w:pPr>
        <w:pStyle w:val="IntroPara"/>
      </w:pPr>
      <w:r>
        <w:t>The success of the Agency’s performance in delivering the Scheme can broadly be measured against three main goals:</w:t>
      </w:r>
    </w:p>
    <w:p w14:paraId="61BFA8E7" w14:textId="6C70145D" w:rsidR="0089139C" w:rsidRDefault="0089139C" w:rsidP="00D96E64">
      <w:pPr>
        <w:pStyle w:val="Heading3"/>
      </w:pPr>
      <w:r>
        <w:t>Goal 1</w:t>
      </w:r>
    </w:p>
    <w:p w14:paraId="10BF8528" w14:textId="77777777" w:rsidR="0089139C" w:rsidRDefault="0089139C" w:rsidP="00D96E64">
      <w:pPr>
        <w:pStyle w:val="BodyCopy"/>
      </w:pPr>
      <w:r>
        <w:t>The Scheme is financially sustainable and governed using insurance principles</w:t>
      </w:r>
    </w:p>
    <w:p w14:paraId="1E63FDD7" w14:textId="025906BB" w:rsidR="0089139C" w:rsidRDefault="0089139C" w:rsidP="00D96E64">
      <w:pPr>
        <w:pStyle w:val="Heading3"/>
      </w:pPr>
      <w:r>
        <w:t>Goal 2</w:t>
      </w:r>
    </w:p>
    <w:p w14:paraId="7D0DDE52" w14:textId="77777777" w:rsidR="0089139C" w:rsidRDefault="0089139C" w:rsidP="00D96E64">
      <w:pPr>
        <w:pStyle w:val="BodyCopy"/>
        <w:rPr>
          <w:spacing w:val="-5"/>
        </w:rPr>
      </w:pPr>
      <w:r>
        <w:rPr>
          <w:spacing w:val="-5"/>
        </w:rPr>
        <w:t>People with disability are in control and have choices, based on the UN Convention on the Rights of Persons with Disabilities</w:t>
      </w:r>
    </w:p>
    <w:p w14:paraId="1816D8FE" w14:textId="588E36AB" w:rsidR="0089139C" w:rsidRDefault="0089139C" w:rsidP="00D96E64">
      <w:pPr>
        <w:pStyle w:val="Heading3"/>
        <w:rPr>
          <w:spacing w:val="-3"/>
        </w:rPr>
      </w:pPr>
      <w:r>
        <w:rPr>
          <w:spacing w:val="-3"/>
        </w:rPr>
        <w:t>Goal 3</w:t>
      </w:r>
    </w:p>
    <w:p w14:paraId="3F8F3CA6" w14:textId="77777777" w:rsidR="0089139C" w:rsidRDefault="0089139C" w:rsidP="00D96E64">
      <w:pPr>
        <w:pStyle w:val="BodyCopy"/>
        <w:rPr>
          <w:spacing w:val="-4"/>
        </w:rPr>
      </w:pPr>
      <w:r>
        <w:rPr>
          <w:spacing w:val="-4"/>
        </w:rPr>
        <w:t>Community satisfaction. The community has ownership, confidence and pride in the National Disability Insurance Scheme and the National Disability Insurance Agency</w:t>
      </w:r>
    </w:p>
    <w:p w14:paraId="751684DE" w14:textId="77777777" w:rsidR="0089139C" w:rsidRDefault="0089139C" w:rsidP="00D96E64">
      <w:pPr>
        <w:spacing w:before="360"/>
        <w:rPr>
          <w:b/>
        </w:rPr>
      </w:pPr>
      <w:r w:rsidRPr="00D96E64">
        <w:rPr>
          <w:b/>
        </w:rPr>
        <w:t xml:space="preserve">This report will first explore the status of success for the Agency over 2015-16 within the three programs, followed by reports on the three goals discussed above. </w:t>
      </w:r>
    </w:p>
    <w:p w14:paraId="3DEDA9CF" w14:textId="397E0493" w:rsidR="00D96E64" w:rsidRDefault="00474FAB" w:rsidP="00474FAB">
      <w:pPr>
        <w:pStyle w:val="Heading2"/>
      </w:pPr>
      <w:bookmarkStart w:id="60" w:name="_Toc464482114"/>
      <w:r w:rsidRPr="00474FAB">
        <w:lastRenderedPageBreak/>
        <w:t>Program 1.1</w:t>
      </w:r>
      <w:r>
        <w:t>:</w:t>
      </w:r>
      <w:r w:rsidRPr="00474FAB">
        <w:t xml:space="preserve"> Reasonable and necessary care and support for participants</w:t>
      </w:r>
      <w:bookmarkEnd w:id="60"/>
    </w:p>
    <w:p w14:paraId="042AA698" w14:textId="77777777" w:rsidR="008B3D38" w:rsidRDefault="008B3D38" w:rsidP="008B3D38">
      <w:pPr>
        <w:pStyle w:val="IntroPara"/>
      </w:pPr>
      <w:r>
        <w:t xml:space="preserve">A participant’s reasonable and necessary supports take into account any informal supports already available to the individual as well as other formal supports, such as health and education. Reasonable and necessary supports are financial or social supports funded by the Scheme in a range of areas, which may include education, employment, social participation, independence, living arrangements and health and wellbeing. </w:t>
      </w:r>
    </w:p>
    <w:p w14:paraId="7345C64B" w14:textId="77777777" w:rsidR="008B3D38" w:rsidRDefault="008B3D38" w:rsidP="008B3D38">
      <w:pPr>
        <w:pStyle w:val="BodyCopy"/>
      </w:pPr>
      <w:r>
        <w:t>These supports will help participants to:</w:t>
      </w:r>
    </w:p>
    <w:p w14:paraId="56D52A79" w14:textId="77777777" w:rsidR="008B3D38" w:rsidRDefault="008B3D38" w:rsidP="008B3D38">
      <w:pPr>
        <w:pStyle w:val="BodyBullets"/>
      </w:pPr>
      <w:r>
        <w:t>pursue their goals, objectives and aspirations</w:t>
      </w:r>
    </w:p>
    <w:p w14:paraId="4ACB4E48" w14:textId="77777777" w:rsidR="008B3D38" w:rsidRDefault="008B3D38" w:rsidP="008B3D38">
      <w:pPr>
        <w:pStyle w:val="BodyBullets"/>
      </w:pPr>
      <w:r>
        <w:t>increase their independence</w:t>
      </w:r>
    </w:p>
    <w:p w14:paraId="7486F054" w14:textId="77777777" w:rsidR="008B3D38" w:rsidRDefault="008B3D38" w:rsidP="008B3D38">
      <w:pPr>
        <w:pStyle w:val="BodyBullets"/>
      </w:pPr>
      <w:r>
        <w:t>increase social and economic participation, and</w:t>
      </w:r>
    </w:p>
    <w:p w14:paraId="77BEADFD" w14:textId="77777777" w:rsidR="008B3D38" w:rsidRDefault="008B3D38" w:rsidP="008B3D38">
      <w:pPr>
        <w:pStyle w:val="BodyBullets-last"/>
      </w:pPr>
      <w:r>
        <w:t>develop their capacity to actively take part in the community.</w:t>
      </w:r>
    </w:p>
    <w:p w14:paraId="6925BD44" w14:textId="77777777" w:rsidR="008B3D38" w:rsidRDefault="008B3D38" w:rsidP="008B3D38">
      <w:pPr>
        <w:pStyle w:val="BodyCopy"/>
      </w:pPr>
      <w:r>
        <w:t>The following information outlines the objectives, deliverables and results for Program 1.1 for the 2015-16 financial year, which relate to the provision of reasonable and necessary supports.</w:t>
      </w:r>
    </w:p>
    <w:p w14:paraId="67DACB5E" w14:textId="6E90A0A0" w:rsidR="008B3D38" w:rsidRDefault="008B3D38" w:rsidP="008B3D38">
      <w:pPr>
        <w:pStyle w:val="Heading3"/>
      </w:pPr>
      <w:r>
        <w:t>Objective</w:t>
      </w:r>
    </w:p>
    <w:p w14:paraId="4FB8C40B" w14:textId="77777777" w:rsidR="008B3D38" w:rsidRDefault="008B3D38" w:rsidP="008B3D38">
      <w:pPr>
        <w:pStyle w:val="BodyCopy"/>
      </w:pPr>
      <w:r>
        <w:t>To provide funding for reasonable and necessary care and support to eligible people with disability, and to ensure they are in control and have choices to appropriately support their independence and social and economic participation.</w:t>
      </w:r>
    </w:p>
    <w:p w14:paraId="7E45AD3D" w14:textId="16C4E335" w:rsidR="008B3D38" w:rsidRDefault="008B3D38" w:rsidP="008B3D38">
      <w:pPr>
        <w:pStyle w:val="Heading3"/>
      </w:pPr>
      <w:r>
        <w:t>Deliverables</w:t>
      </w:r>
    </w:p>
    <w:p w14:paraId="5213F5CB" w14:textId="51631CBC" w:rsidR="008B3D38" w:rsidRDefault="008B3D38" w:rsidP="00B868A9">
      <w:pPr>
        <w:pStyle w:val="BodyBullets"/>
      </w:pPr>
      <w:r>
        <w:t>Eligible people with disability in trial sites are provided with funding to purchase reasonable and necessary supports</w:t>
      </w:r>
      <w:r w:rsidR="00A0445B">
        <w:t xml:space="preserve"> – </w:t>
      </w:r>
      <w:r w:rsidR="00A0445B" w:rsidRPr="00A0445B">
        <w:rPr>
          <w:b/>
          <w:color w:val="6B2976" w:themeColor="text2"/>
        </w:rPr>
        <w:t>Achieved</w:t>
      </w:r>
    </w:p>
    <w:p w14:paraId="62C957AB" w14:textId="087C61D2" w:rsidR="008B3D38" w:rsidRDefault="008B3D38" w:rsidP="00B868A9">
      <w:pPr>
        <w:pStyle w:val="BodyBullets"/>
      </w:pPr>
      <w:r>
        <w:t>Eligible people with disability in trial sites are supported to exercise choice and control</w:t>
      </w:r>
      <w:r w:rsidR="00A0445B">
        <w:t xml:space="preserve"> – </w:t>
      </w:r>
      <w:r w:rsidR="00A0445B" w:rsidRPr="00A0445B">
        <w:rPr>
          <w:b/>
          <w:color w:val="6B2976" w:themeColor="text2"/>
        </w:rPr>
        <w:t>Achieved</w:t>
      </w:r>
    </w:p>
    <w:p w14:paraId="61351CAD" w14:textId="37132B8D" w:rsidR="008B3D38" w:rsidRDefault="008B3D38" w:rsidP="008B3D38">
      <w:pPr>
        <w:pStyle w:val="Heading3"/>
      </w:pPr>
      <w:r>
        <w:t>Key performance indicator summary</w:t>
      </w:r>
    </w:p>
    <w:p w14:paraId="4D9A05B8" w14:textId="26C15895" w:rsidR="008B3D38" w:rsidRDefault="008B3D38" w:rsidP="00B868A9">
      <w:pPr>
        <w:pStyle w:val="BodyBullets"/>
      </w:pPr>
      <w:r>
        <w:t>Number of people with support through the Scheme</w:t>
      </w:r>
      <w:r w:rsidR="00A0445B">
        <w:t xml:space="preserve"> – </w:t>
      </w:r>
      <w:r w:rsidR="00A0445B" w:rsidRPr="00A0445B">
        <w:rPr>
          <w:b/>
          <w:color w:val="6B2976" w:themeColor="text2"/>
        </w:rPr>
        <w:t>Achieved</w:t>
      </w:r>
    </w:p>
    <w:p w14:paraId="28DA3AC3" w14:textId="627014CF" w:rsidR="008B3D38" w:rsidRDefault="008B3D38" w:rsidP="00B868A9">
      <w:pPr>
        <w:pStyle w:val="BodyBullets"/>
      </w:pPr>
      <w:r>
        <w:t>Cost of participant plans in comparison to expected cost</w:t>
      </w:r>
      <w:r w:rsidR="00A0445B">
        <w:t xml:space="preserve"> – </w:t>
      </w:r>
      <w:r w:rsidR="00A0445B" w:rsidRPr="00A0445B">
        <w:rPr>
          <w:b/>
          <w:color w:val="6B2976" w:themeColor="text2"/>
        </w:rPr>
        <w:t>Achieved</w:t>
      </w:r>
    </w:p>
    <w:p w14:paraId="570D194A" w14:textId="00DB2A63" w:rsidR="008B3D38" w:rsidRDefault="008B3D38" w:rsidP="00B868A9">
      <w:pPr>
        <w:pStyle w:val="BodyBullets"/>
      </w:pPr>
      <w:r>
        <w:t>Proportion of participants self-directing the supports in their participant plan</w:t>
      </w:r>
      <w:r w:rsidR="00A0445B">
        <w:t xml:space="preserve"> – </w:t>
      </w:r>
      <w:r w:rsidR="00A0445B" w:rsidRPr="00A0445B">
        <w:rPr>
          <w:b/>
          <w:color w:val="6B2976" w:themeColor="text2"/>
        </w:rPr>
        <w:t>Achieved</w:t>
      </w:r>
    </w:p>
    <w:p w14:paraId="2C900C8B" w14:textId="72F5BBA1" w:rsidR="008B3D38" w:rsidRDefault="008B3D38" w:rsidP="00B868A9">
      <w:pPr>
        <w:pStyle w:val="BodyBullets"/>
      </w:pPr>
      <w:r>
        <w:t>Proportion of participants partially or fully self-managing the funding in their participant plan</w:t>
      </w:r>
      <w:r w:rsidR="00A0445B">
        <w:t xml:space="preserve"> – </w:t>
      </w:r>
      <w:r w:rsidR="00A0445B" w:rsidRPr="00A0445B">
        <w:rPr>
          <w:b/>
          <w:color w:val="6B2976" w:themeColor="text2"/>
        </w:rPr>
        <w:t>Achieved</w:t>
      </w:r>
    </w:p>
    <w:p w14:paraId="2D3DF01D" w14:textId="43F859B1" w:rsidR="008B3D38" w:rsidRDefault="008B3D38" w:rsidP="008B3D38">
      <w:pPr>
        <w:pStyle w:val="Heading3"/>
      </w:pPr>
      <w:r>
        <w:lastRenderedPageBreak/>
        <w:t>Expenses</w:t>
      </w:r>
    </w:p>
    <w:p w14:paraId="3C31442E" w14:textId="77777777" w:rsidR="008B3D38" w:rsidRDefault="008B3D38" w:rsidP="008B3D38">
      <w:pPr>
        <w:pStyle w:val="BodyCopy"/>
      </w:pPr>
      <w:r>
        <w:t>Expenses for reasonable and necessary care and support for participants increase over the forward estimates as existing trial sites continue to transition eligible cohorts into the Scheme in 2015-16. Further, a new site in the Nepean Blue Mountains area of Western Sydney was established to provide early access to transition to the Scheme for approximately 2000 individuals aged 0 to 17 years old.</w:t>
      </w:r>
    </w:p>
    <w:p w14:paraId="491162AA" w14:textId="77777777" w:rsidR="008B3D38" w:rsidRDefault="008B3D38" w:rsidP="008B3D38">
      <w:pPr>
        <w:pStyle w:val="BodyCopy"/>
      </w:pPr>
      <w:r>
        <w:t>From 2016-17 onwards the Agency will be transitioning to full Scheme which will involve a significant increase in both eligible cohorts and the geographic coverage of the Scheme. Subsequently, the increase in expenses for reasonable and necessary care and support for participants over the forward estimates is driven by the increase in the number of participants that are expected to transition into the Scheme.</w:t>
      </w:r>
    </w:p>
    <w:p w14:paraId="3B02F850" w14:textId="457584E0" w:rsidR="008B3D38" w:rsidRDefault="008B3D38" w:rsidP="008B3D38">
      <w:pPr>
        <w:pStyle w:val="Heading3"/>
      </w:pPr>
      <w:r>
        <w:t>Key performance indicator detail</w:t>
      </w:r>
    </w:p>
    <w:p w14:paraId="7BFCE5C2" w14:textId="77777777" w:rsidR="008B3D38" w:rsidRDefault="008B3D38" w:rsidP="00165190">
      <w:pPr>
        <w:pStyle w:val="Heading4"/>
      </w:pPr>
      <w:r>
        <w:t>Key performance measure</w:t>
      </w:r>
    </w:p>
    <w:p w14:paraId="3007355E" w14:textId="77777777" w:rsidR="008B3D38" w:rsidRDefault="008B3D38" w:rsidP="008B3D38">
      <w:pPr>
        <w:pStyle w:val="IntroPara"/>
      </w:pPr>
      <w:r>
        <w:t>Number of people with support through the NDIS.</w:t>
      </w:r>
    </w:p>
    <w:p w14:paraId="1F973496" w14:textId="77777777" w:rsidR="008B3D38" w:rsidRDefault="008B3D38" w:rsidP="00165190">
      <w:pPr>
        <w:pStyle w:val="Heading4"/>
      </w:pPr>
      <w:r>
        <w:t>Results</w:t>
      </w:r>
    </w:p>
    <w:p w14:paraId="06C92561" w14:textId="77777777" w:rsidR="008B3D38" w:rsidRDefault="008B3D38" w:rsidP="009055E4">
      <w:pPr>
        <w:pStyle w:val="BodyBullets"/>
      </w:pPr>
      <w:r w:rsidRPr="008B3D38">
        <w:t>35 695 participants; 30 281 with an approved plan.</w:t>
      </w:r>
    </w:p>
    <w:p w14:paraId="6DABA745" w14:textId="77777777" w:rsidR="008B3D38" w:rsidRDefault="008B3D38" w:rsidP="009055E4">
      <w:pPr>
        <w:pStyle w:val="BodyBullets"/>
      </w:pPr>
      <w:r>
        <w:t>It was projected that there would be under 36 307 participants supported by the Scheme in 2015-16. Note, these estimates reflect preconditions for rollout including state and territory agreement and funding, Agency capacity and gradual transition to support people with disability to move across to the Scheme.</w:t>
      </w:r>
    </w:p>
    <w:p w14:paraId="6D3CE246" w14:textId="77777777" w:rsidR="008B3D38" w:rsidRDefault="008B3D38" w:rsidP="00165190">
      <w:pPr>
        <w:pStyle w:val="Heading4"/>
      </w:pPr>
      <w:r>
        <w:t>Key performance measure</w:t>
      </w:r>
    </w:p>
    <w:p w14:paraId="53C179F6" w14:textId="77777777" w:rsidR="008B3D38" w:rsidRDefault="008B3D38" w:rsidP="008B3D38">
      <w:pPr>
        <w:pStyle w:val="IntroPara"/>
      </w:pPr>
      <w:r>
        <w:t>Cost of participant plans in comparison to expected cost.</w:t>
      </w:r>
    </w:p>
    <w:p w14:paraId="4070A6D0" w14:textId="77777777" w:rsidR="008B3D38" w:rsidRDefault="008B3D38" w:rsidP="00165190">
      <w:pPr>
        <w:pStyle w:val="Heading4"/>
      </w:pPr>
      <w:r>
        <w:t>Results</w:t>
      </w:r>
    </w:p>
    <w:p w14:paraId="3CBC483D" w14:textId="77777777" w:rsidR="008B3D38" w:rsidRDefault="008B3D38" w:rsidP="008B3D38">
      <w:pPr>
        <w:pStyle w:val="BodyBullets"/>
      </w:pPr>
      <w:r>
        <w:t xml:space="preserve">As at 30 June 2016, 30 281 participants (active and inactive) have approved plans, and $2404.3 </w:t>
      </w:r>
      <w:proofErr w:type="spellStart"/>
      <w:r>
        <w:t>million</w:t>
      </w:r>
      <w:proofErr w:type="spellEnd"/>
      <w:r>
        <w:t xml:space="preserve"> of support has been committed to these participants.</w:t>
      </w:r>
    </w:p>
    <w:p w14:paraId="1E2C1B5D" w14:textId="77777777" w:rsidR="008B3D38" w:rsidRDefault="008B3D38" w:rsidP="008B3D38">
      <w:pPr>
        <w:pStyle w:val="BodyCopy"/>
        <w:spacing w:before="57"/>
      </w:pPr>
      <w:r>
        <w:t>Of this $2404.3 million:</w:t>
      </w:r>
    </w:p>
    <w:p w14:paraId="1D22720A" w14:textId="77777777" w:rsidR="008B3D38" w:rsidRDefault="008B3D38" w:rsidP="006E074A">
      <w:pPr>
        <w:pStyle w:val="BodyBullets"/>
        <w:numPr>
          <w:ilvl w:val="1"/>
          <w:numId w:val="3"/>
        </w:numPr>
      </w:pPr>
      <w:r>
        <w:t>It is estimated that $141.0 million (6 per cent) was provided in 2013-14, around 95 per cent of the funding envelope.</w:t>
      </w:r>
    </w:p>
    <w:p w14:paraId="4D7DA666" w14:textId="77777777" w:rsidR="008B3D38" w:rsidRDefault="008B3D38" w:rsidP="006E074A">
      <w:pPr>
        <w:pStyle w:val="BodyBullets"/>
        <w:numPr>
          <w:ilvl w:val="1"/>
          <w:numId w:val="3"/>
        </w:numPr>
      </w:pPr>
      <w:r>
        <w:t>$505.3 million (21 per cent) is estimated to have been provided in 2014-15, around 111 per cent of the funding envelope for 2014-15.</w:t>
      </w:r>
    </w:p>
    <w:p w14:paraId="68657CCE" w14:textId="77777777" w:rsidR="008B3D38" w:rsidRDefault="008B3D38" w:rsidP="006E074A">
      <w:pPr>
        <w:pStyle w:val="BodyBullets"/>
        <w:numPr>
          <w:ilvl w:val="1"/>
          <w:numId w:val="3"/>
        </w:numPr>
      </w:pPr>
      <w:r>
        <w:t>$915.7 million (38 per cent) is estimated to have been provided in 2015-16; 105 per cent of the funding envelope for 2015-16.</w:t>
      </w:r>
    </w:p>
    <w:p w14:paraId="1871DE4E" w14:textId="77777777" w:rsidR="008B3D38" w:rsidRDefault="008B3D38" w:rsidP="008B3D38">
      <w:pPr>
        <w:pStyle w:val="BodyBullets"/>
      </w:pPr>
      <w:r>
        <w:t>$842.3 million (35 per cent) is expected to be provided in 2016-17 and beyond.</w:t>
      </w:r>
    </w:p>
    <w:p w14:paraId="636A064A" w14:textId="77777777" w:rsidR="008B3D38" w:rsidRDefault="008B3D38" w:rsidP="00165190">
      <w:pPr>
        <w:pStyle w:val="Heading4"/>
      </w:pPr>
      <w:r>
        <w:t>Notes</w:t>
      </w:r>
    </w:p>
    <w:p w14:paraId="7580284F" w14:textId="77777777" w:rsidR="008B3D38" w:rsidRDefault="008B3D38" w:rsidP="008B3D38">
      <w:pPr>
        <w:pStyle w:val="BodyBullets"/>
      </w:pPr>
      <w:r>
        <w:t xml:space="preserve">Committed support exceeds the funding envelope in 2014-15 and 2015-16. However, as not all committed support is being </w:t>
      </w:r>
      <w:proofErr w:type="spellStart"/>
      <w:r>
        <w:t>utilised</w:t>
      </w:r>
      <w:proofErr w:type="spellEnd"/>
      <w:r>
        <w:t xml:space="preserve">, an actual deficit will not arise. That is, the Scheme will be within the budget for the three years of </w:t>
      </w:r>
      <w:r>
        <w:lastRenderedPageBreak/>
        <w:t>trial. Further, due to the phasing of participants into the Scheme during the trial period, comparing committed support with the bilateral agreement does not reflect full Scheme costs.</w:t>
      </w:r>
    </w:p>
    <w:p w14:paraId="50976053" w14:textId="77777777" w:rsidR="008B3D38" w:rsidRDefault="008B3D38" w:rsidP="00165190">
      <w:pPr>
        <w:pStyle w:val="Heading4"/>
      </w:pPr>
      <w:r>
        <w:t>Key performance measure</w:t>
      </w:r>
    </w:p>
    <w:p w14:paraId="5A573348" w14:textId="77777777" w:rsidR="008B3D38" w:rsidRDefault="008B3D38" w:rsidP="008B3D38">
      <w:pPr>
        <w:pStyle w:val="IntroPara"/>
      </w:pPr>
      <w:r>
        <w:t>Participants self-directing the supports in their participant plan.</w:t>
      </w:r>
    </w:p>
    <w:p w14:paraId="5E5736E8" w14:textId="77777777" w:rsidR="008B3D38" w:rsidRDefault="008B3D38" w:rsidP="00165190">
      <w:pPr>
        <w:pStyle w:val="Heading4"/>
      </w:pPr>
      <w:r>
        <w:t>Results</w:t>
      </w:r>
    </w:p>
    <w:p w14:paraId="52E255BF" w14:textId="77777777" w:rsidR="008B3D38" w:rsidRDefault="008B3D38" w:rsidP="008B3D38">
      <w:pPr>
        <w:pStyle w:val="BodyBullets"/>
      </w:pPr>
      <w:r>
        <w:t>Participants are able to choose their supports and who provides their supports.</w:t>
      </w:r>
    </w:p>
    <w:p w14:paraId="500056B4" w14:textId="77777777" w:rsidR="008B3D38" w:rsidRDefault="008B3D38" w:rsidP="008B3D38">
      <w:pPr>
        <w:pStyle w:val="BodyBullets-last"/>
      </w:pPr>
      <w:r>
        <w:t>Measured participants’ progress through an outcomes framework.</w:t>
      </w:r>
    </w:p>
    <w:p w14:paraId="380B1AD2" w14:textId="77777777" w:rsidR="008B3D38" w:rsidRDefault="008B3D38" w:rsidP="00165190">
      <w:pPr>
        <w:pStyle w:val="Heading4"/>
      </w:pPr>
      <w:r>
        <w:t>Key performance measure</w:t>
      </w:r>
    </w:p>
    <w:p w14:paraId="1D10C58E" w14:textId="459482B6" w:rsidR="008B3D38" w:rsidRDefault="008B3D38" w:rsidP="00830AEC">
      <w:pPr>
        <w:pStyle w:val="IntroPara"/>
      </w:pPr>
      <w:r>
        <w:t>Proportion of participants partially or fully self-managing the funding in their participant plan.</w:t>
      </w:r>
    </w:p>
    <w:p w14:paraId="27779534" w14:textId="77777777" w:rsidR="008B3D38" w:rsidRDefault="008B3D38" w:rsidP="00165190">
      <w:pPr>
        <w:pStyle w:val="Heading4"/>
      </w:pPr>
      <w:r>
        <w:t>Results</w:t>
      </w:r>
    </w:p>
    <w:p w14:paraId="31A3C3B5" w14:textId="77777777" w:rsidR="008B3D38" w:rsidRDefault="008B3D38" w:rsidP="006D3A6A">
      <w:pPr>
        <w:pStyle w:val="BodyBullets"/>
      </w:pPr>
      <w:r>
        <w:t>Most plans are solely Agency managed (58 per cent). There are 35 per cent which use a combination of Agency management and self-management, and 7 per cent are solely self-managed. Note: the management of the plan in this instance refers to the financial management of the plan. Participants can self-direct their supports whilst the agency manages the financial side of the plan. Further, in-kind supports cannot be self-managed which also impacts these figures.</w:t>
      </w:r>
    </w:p>
    <w:p w14:paraId="7C60CE4F" w14:textId="78E74D7F" w:rsidR="00FB61D4" w:rsidRDefault="00FB61D4" w:rsidP="00FB61D4">
      <w:pPr>
        <w:pStyle w:val="Heading2"/>
      </w:pPr>
      <w:bookmarkStart w:id="61" w:name="_Toc464482115"/>
      <w:r w:rsidRPr="00FB61D4">
        <w:lastRenderedPageBreak/>
        <w:t>Program 1.2</w:t>
      </w:r>
      <w:r w:rsidR="006D4CA0">
        <w:t>:</w:t>
      </w:r>
      <w:r w:rsidRPr="00FB61D4">
        <w:t xml:space="preserve"> Community Inclusion and Capacity Development (CICD) Grants</w:t>
      </w:r>
      <w:bookmarkEnd w:id="61"/>
    </w:p>
    <w:p w14:paraId="5DBAB9F4" w14:textId="77777777" w:rsidR="006D4CA0" w:rsidRDefault="006D4CA0" w:rsidP="006D4CA0">
      <w:pPr>
        <w:pStyle w:val="IntroPara"/>
      </w:pPr>
      <w:r>
        <w:t xml:space="preserve">Community Inclusion and Capacity Development (CICD) Grants are awarded based on the Agency’s vision to increase social and community participation for people with disability. </w:t>
      </w:r>
    </w:p>
    <w:p w14:paraId="5F7C9B0F" w14:textId="77777777" w:rsidR="006D4CA0" w:rsidRDefault="006D4CA0" w:rsidP="006D4CA0">
      <w:pPr>
        <w:pStyle w:val="BodyCopy"/>
      </w:pPr>
      <w:r>
        <w:t xml:space="preserve">Funding for 2015-16 met the objective of funding not-for-profit </w:t>
      </w:r>
      <w:proofErr w:type="spellStart"/>
      <w:r>
        <w:t>organisations</w:t>
      </w:r>
      <w:proofErr w:type="spellEnd"/>
      <w:r>
        <w:t xml:space="preserve"> to support programs that looked at ways to increase social and community participation. With the Agency moving towards an open grant process for information linkages and capacity building, a number of projects also looked at raising awareness of available resources to support increased participation. </w:t>
      </w:r>
    </w:p>
    <w:p w14:paraId="4A556AFC" w14:textId="77777777" w:rsidR="006D4CA0" w:rsidRDefault="006D4CA0" w:rsidP="006D4CA0">
      <w:pPr>
        <w:pStyle w:val="BodyCopy"/>
      </w:pPr>
      <w:r>
        <w:t xml:space="preserve">Programs were also funded to assist </w:t>
      </w:r>
      <w:proofErr w:type="spellStart"/>
      <w:r>
        <w:t>organisations</w:t>
      </w:r>
      <w:proofErr w:type="spellEnd"/>
      <w:r>
        <w:t xml:space="preserve"> realign their current activities to increase their focus on inclusion. The Agency ensured the funded projects also supported </w:t>
      </w:r>
      <w:proofErr w:type="spellStart"/>
      <w:r>
        <w:t>organisations</w:t>
      </w:r>
      <w:proofErr w:type="spellEnd"/>
      <w:r>
        <w:t xml:space="preserve"> to prepare for the upcoming open grants process for ILC.</w:t>
      </w:r>
    </w:p>
    <w:p w14:paraId="49F62BE6" w14:textId="77777777" w:rsidR="006D4CA0" w:rsidRDefault="006D4CA0" w:rsidP="006D4CA0">
      <w:pPr>
        <w:pStyle w:val="BodyCopy"/>
      </w:pPr>
      <w:r>
        <w:t>There are other grants awarded by the Agency during 2015-16 for Local Area Coordination (LAC), although these grants are operated and awarded under a separate LAC program. The Agency also provides grants under the School Leaver Employment Services (SLES) grants program and Remote Community Disability Workers grants program.</w:t>
      </w:r>
    </w:p>
    <w:p w14:paraId="03FEF50B" w14:textId="6B0361FE" w:rsidR="006D4CA0" w:rsidRDefault="006D4CA0" w:rsidP="006D4CA0">
      <w:pPr>
        <w:pStyle w:val="Heading3"/>
      </w:pPr>
      <w:r>
        <w:t>Objective</w:t>
      </w:r>
    </w:p>
    <w:p w14:paraId="670B5C58" w14:textId="77777777" w:rsidR="006D4CA0" w:rsidRDefault="006D4CA0" w:rsidP="006D4CA0">
      <w:pPr>
        <w:pStyle w:val="BodyCopy"/>
      </w:pPr>
      <w:r>
        <w:t xml:space="preserve">To provide funding to not-for-profit and community </w:t>
      </w:r>
      <w:proofErr w:type="spellStart"/>
      <w:r>
        <w:t>organisations</w:t>
      </w:r>
      <w:proofErr w:type="spellEnd"/>
      <w:r>
        <w:t xml:space="preserve"> to assist them </w:t>
      </w:r>
      <w:r>
        <w:br/>
        <w:t>to increase social and community participation for people with disability.</w:t>
      </w:r>
    </w:p>
    <w:p w14:paraId="39E28265" w14:textId="6A4301DC" w:rsidR="006D4CA0" w:rsidRDefault="006D4CA0" w:rsidP="006D4CA0">
      <w:pPr>
        <w:pStyle w:val="Heading3"/>
      </w:pPr>
      <w:r>
        <w:t>Deliverables</w:t>
      </w:r>
    </w:p>
    <w:p w14:paraId="41B14225" w14:textId="3360D510" w:rsidR="006D4CA0" w:rsidRDefault="006D4CA0" w:rsidP="006D4CA0">
      <w:pPr>
        <w:pStyle w:val="BodyBullets"/>
        <w:ind w:right="1814"/>
      </w:pPr>
      <w:r>
        <w:t xml:space="preserve">Grants to not-for-profit and community </w:t>
      </w:r>
      <w:proofErr w:type="spellStart"/>
      <w:r>
        <w:t>organisations</w:t>
      </w:r>
      <w:proofErr w:type="spellEnd"/>
      <w:r>
        <w:t xml:space="preserve"> to increase social and community participation for people with disability.</w:t>
      </w:r>
      <w:r w:rsidR="00710C0E">
        <w:t xml:space="preserve"> </w:t>
      </w:r>
      <w:r w:rsidR="00710C0E" w:rsidRPr="00A0445B">
        <w:rPr>
          <w:b/>
          <w:color w:val="6B2976" w:themeColor="text2"/>
        </w:rPr>
        <w:t>Achieved</w:t>
      </w:r>
    </w:p>
    <w:p w14:paraId="48435D08" w14:textId="3A906054" w:rsidR="006D4CA0" w:rsidRDefault="006D4CA0" w:rsidP="006D4CA0">
      <w:pPr>
        <w:pStyle w:val="Heading3"/>
      </w:pPr>
      <w:r>
        <w:t>Key performance indicators</w:t>
      </w:r>
    </w:p>
    <w:p w14:paraId="5B54E2B5" w14:textId="72AD1031" w:rsidR="006D4CA0" w:rsidRDefault="006D4CA0" w:rsidP="006D4CA0">
      <w:pPr>
        <w:pStyle w:val="BodyBullets-last"/>
        <w:ind w:right="2041"/>
      </w:pPr>
      <w:r>
        <w:t>Community inclusion and capacity development activities undertaken by the Agency.</w:t>
      </w:r>
      <w:r w:rsidR="00710C0E">
        <w:t xml:space="preserve"> </w:t>
      </w:r>
      <w:r w:rsidR="00710C0E" w:rsidRPr="00A0445B">
        <w:rPr>
          <w:b/>
          <w:color w:val="6B2976" w:themeColor="text2"/>
        </w:rPr>
        <w:t>Achieved</w:t>
      </w:r>
    </w:p>
    <w:p w14:paraId="628A1BAF" w14:textId="1EB3CD46" w:rsidR="006D4CA0" w:rsidRDefault="006D4CA0" w:rsidP="006D4CA0">
      <w:pPr>
        <w:pStyle w:val="Heading3"/>
      </w:pPr>
      <w:r>
        <w:t>Expenses</w:t>
      </w:r>
    </w:p>
    <w:p w14:paraId="6754F1EC" w14:textId="77777777" w:rsidR="006D4CA0" w:rsidRDefault="006D4CA0" w:rsidP="006D4CA0">
      <w:pPr>
        <w:pStyle w:val="BodyCopy"/>
      </w:pPr>
      <w:r>
        <w:t xml:space="preserve">Expenses for the CICD grants component of Program 1.2 increased in 2015-16 as existing trial sites expanded in accordance with the bilateral agreements between the Commonwealth and state and territory governments and a new site established in the Nepean Blue Mountains region of Western Sydney. </w:t>
      </w:r>
    </w:p>
    <w:p w14:paraId="40D1D369" w14:textId="77777777" w:rsidR="006D4CA0" w:rsidRDefault="006D4CA0" w:rsidP="006D4CA0">
      <w:pPr>
        <w:pStyle w:val="BodyCopy"/>
      </w:pPr>
      <w:r>
        <w:t>From 2016-17 onwards the Agency will be transitioning to full Scheme which will see a significant increase in both eligible cohorts and the geographic coverage of the Scheme. CICD grant expenses will be tailored to meet the needs of the local community and will increase in line with the expanded coverage of the Scheme.</w:t>
      </w:r>
    </w:p>
    <w:p w14:paraId="4CA83378" w14:textId="02E344FE" w:rsidR="006D4CA0" w:rsidRDefault="00E20D07" w:rsidP="00E20D07">
      <w:pPr>
        <w:pStyle w:val="Heading3Tables"/>
      </w:pPr>
      <w:bookmarkStart w:id="62" w:name="_Toc464481230"/>
      <w:r>
        <w:lastRenderedPageBreak/>
        <w:t xml:space="preserve">Table 8: </w:t>
      </w:r>
      <w:r w:rsidR="006D4CA0">
        <w:t>Grants entered into in 2015-2016</w:t>
      </w:r>
      <w:bookmarkEnd w:id="62"/>
    </w:p>
    <w:tbl>
      <w:tblPr>
        <w:tblW w:w="0" w:type="auto"/>
        <w:tblInd w:w="-8" w:type="dxa"/>
        <w:tblLayout w:type="fixed"/>
        <w:tblCellMar>
          <w:left w:w="0" w:type="dxa"/>
          <w:right w:w="0" w:type="dxa"/>
        </w:tblCellMar>
        <w:tblLook w:val="0000" w:firstRow="0" w:lastRow="0" w:firstColumn="0" w:lastColumn="0" w:noHBand="0" w:noVBand="0"/>
      </w:tblPr>
      <w:tblGrid>
        <w:gridCol w:w="2064"/>
        <w:gridCol w:w="4740"/>
        <w:gridCol w:w="1134"/>
        <w:gridCol w:w="1560"/>
      </w:tblGrid>
      <w:tr w:rsidR="00D303ED" w14:paraId="4301FCD6" w14:textId="77777777" w:rsidTr="00D303ED">
        <w:trPr>
          <w:trHeight w:val="60"/>
          <w:tblHeader/>
        </w:trPr>
        <w:tc>
          <w:tcPr>
            <w:tcW w:w="2064" w:type="dxa"/>
            <w:tcBorders>
              <w:top w:val="single" w:sz="6" w:space="0" w:color="FFFFFF"/>
              <w:left w:val="single" w:sz="6" w:space="0" w:color="FFFFFF"/>
              <w:bottom w:val="single" w:sz="6" w:space="0" w:color="8A8A84"/>
              <w:right w:val="single" w:sz="6" w:space="0" w:color="FFFFFF"/>
            </w:tcBorders>
            <w:shd w:val="solid" w:color="000000" w:fill="auto"/>
            <w:tcMar>
              <w:top w:w="113" w:type="dxa"/>
              <w:left w:w="113" w:type="dxa"/>
              <w:bottom w:w="113" w:type="dxa"/>
              <w:right w:w="80" w:type="dxa"/>
            </w:tcMar>
          </w:tcPr>
          <w:p w14:paraId="6BCB51A4" w14:textId="77777777" w:rsidR="006D4CA0" w:rsidRDefault="006D4CA0">
            <w:pPr>
              <w:pStyle w:val="Tableheader"/>
            </w:pPr>
            <w:bookmarkStart w:id="63" w:name="Title_Table8" w:colFirst="0" w:colLast="0"/>
            <w:r>
              <w:t>Grant recipient</w:t>
            </w:r>
          </w:p>
        </w:tc>
        <w:tc>
          <w:tcPr>
            <w:tcW w:w="4740" w:type="dxa"/>
            <w:tcBorders>
              <w:top w:val="single" w:sz="6" w:space="0" w:color="FFFFFF"/>
              <w:left w:val="single" w:sz="6" w:space="0" w:color="FFFFFF"/>
              <w:bottom w:val="single" w:sz="6" w:space="0" w:color="8A8A84"/>
              <w:right w:val="single" w:sz="6" w:space="0" w:color="FFFFFF"/>
            </w:tcBorders>
            <w:shd w:val="solid" w:color="000000" w:fill="auto"/>
            <w:tcMar>
              <w:top w:w="113" w:type="dxa"/>
              <w:left w:w="113" w:type="dxa"/>
              <w:bottom w:w="113" w:type="dxa"/>
              <w:right w:w="80" w:type="dxa"/>
            </w:tcMar>
          </w:tcPr>
          <w:p w14:paraId="7207F29E" w14:textId="77777777" w:rsidR="006D4CA0" w:rsidRDefault="006D4CA0">
            <w:pPr>
              <w:pStyle w:val="Tableheader"/>
            </w:pPr>
            <w:r>
              <w:t>Purpose</w:t>
            </w:r>
          </w:p>
        </w:tc>
        <w:tc>
          <w:tcPr>
            <w:tcW w:w="1134" w:type="dxa"/>
            <w:tcBorders>
              <w:top w:val="single" w:sz="6" w:space="0" w:color="FFFFFF"/>
              <w:left w:val="single" w:sz="6" w:space="0" w:color="FFFFFF"/>
              <w:bottom w:val="single" w:sz="6" w:space="0" w:color="8A8A84"/>
              <w:right w:val="single" w:sz="6" w:space="0" w:color="FFFFFF"/>
            </w:tcBorders>
            <w:shd w:val="solid" w:color="000000" w:fill="auto"/>
            <w:tcMar>
              <w:top w:w="113" w:type="dxa"/>
              <w:left w:w="113" w:type="dxa"/>
              <w:bottom w:w="113" w:type="dxa"/>
              <w:right w:w="80" w:type="dxa"/>
            </w:tcMar>
          </w:tcPr>
          <w:p w14:paraId="35F382EC" w14:textId="77777777" w:rsidR="006D4CA0" w:rsidRDefault="006D4CA0">
            <w:pPr>
              <w:pStyle w:val="Tableheader"/>
            </w:pPr>
            <w:r>
              <w:t>Grants Program</w:t>
            </w:r>
          </w:p>
        </w:tc>
        <w:tc>
          <w:tcPr>
            <w:tcW w:w="1560" w:type="dxa"/>
            <w:tcBorders>
              <w:top w:val="single" w:sz="6" w:space="0" w:color="FFFFFF"/>
              <w:left w:val="single" w:sz="6" w:space="0" w:color="FFFFFF"/>
              <w:bottom w:val="single" w:sz="6" w:space="0" w:color="8A8A84"/>
              <w:right w:val="single" w:sz="6" w:space="0" w:color="FFFFFF"/>
            </w:tcBorders>
            <w:shd w:val="solid" w:color="000000" w:fill="auto"/>
            <w:tcMar>
              <w:top w:w="113" w:type="dxa"/>
              <w:left w:w="113" w:type="dxa"/>
              <w:bottom w:w="113" w:type="dxa"/>
              <w:right w:w="80" w:type="dxa"/>
            </w:tcMar>
          </w:tcPr>
          <w:p w14:paraId="59F26462" w14:textId="77777777" w:rsidR="006D4CA0" w:rsidRDefault="006D4CA0">
            <w:pPr>
              <w:pStyle w:val="Tableheader"/>
              <w:jc w:val="right"/>
            </w:pPr>
            <w:r>
              <w:t>Value</w:t>
            </w:r>
            <w:r>
              <w:br/>
              <w:t>GST exclusive</w:t>
            </w:r>
          </w:p>
        </w:tc>
      </w:tr>
      <w:bookmarkEnd w:id="63"/>
      <w:tr w:rsidR="00D303ED" w14:paraId="77E2746A" w14:textId="77777777" w:rsidTr="00D303ED">
        <w:trPr>
          <w:trHeight w:val="60"/>
        </w:trPr>
        <w:tc>
          <w:tcPr>
            <w:tcW w:w="2064" w:type="dxa"/>
            <w:tcBorders>
              <w:top w:val="single" w:sz="2" w:space="0" w:color="8A8A84"/>
              <w:left w:val="single" w:sz="6" w:space="0" w:color="FFFFFF"/>
              <w:bottom w:val="single" w:sz="2" w:space="0" w:color="8A8A84"/>
              <w:right w:val="single" w:sz="6" w:space="0" w:color="000000"/>
            </w:tcBorders>
            <w:shd w:val="solid" w:color="EBE7E2" w:fill="auto"/>
            <w:tcMar>
              <w:top w:w="113" w:type="dxa"/>
              <w:left w:w="113" w:type="dxa"/>
              <w:bottom w:w="113" w:type="dxa"/>
              <w:right w:w="80" w:type="dxa"/>
            </w:tcMar>
          </w:tcPr>
          <w:p w14:paraId="3E4D7389" w14:textId="77777777" w:rsidR="006D4CA0" w:rsidRDefault="006D4CA0">
            <w:pPr>
              <w:pStyle w:val="Tabletextbold"/>
            </w:pPr>
            <w:r>
              <w:t xml:space="preserve">Action for More Independence and Dignity in Accommodation Inc. </w:t>
            </w:r>
          </w:p>
        </w:tc>
        <w:tc>
          <w:tcPr>
            <w:tcW w:w="4740" w:type="dxa"/>
            <w:tcBorders>
              <w:top w:val="single" w:sz="2" w:space="0" w:color="8A8A84"/>
              <w:left w:val="single" w:sz="6" w:space="0" w:color="000000"/>
              <w:bottom w:val="single" w:sz="2" w:space="0" w:color="8A8A84"/>
              <w:right w:val="single" w:sz="6" w:space="0" w:color="000000"/>
            </w:tcBorders>
            <w:shd w:val="solid" w:color="EBE7E2" w:fill="auto"/>
            <w:tcMar>
              <w:top w:w="113" w:type="dxa"/>
              <w:left w:w="113" w:type="dxa"/>
              <w:bottom w:w="113" w:type="dxa"/>
              <w:right w:w="80" w:type="dxa"/>
            </w:tcMar>
          </w:tcPr>
          <w:p w14:paraId="3C5627C9" w14:textId="77777777" w:rsidR="006D4CA0" w:rsidRDefault="006D4CA0">
            <w:pPr>
              <w:pStyle w:val="Tabletext"/>
            </w:pPr>
            <w:r>
              <w:t xml:space="preserve">Increase the number of people with cognitive disability sitting on boards, committees and advisory groups within government, service providers and community organisations at a local, state and national level. </w:t>
            </w:r>
          </w:p>
        </w:tc>
        <w:tc>
          <w:tcPr>
            <w:tcW w:w="1134" w:type="dxa"/>
            <w:tcBorders>
              <w:top w:val="single" w:sz="2" w:space="0" w:color="8A8A84"/>
              <w:left w:val="single" w:sz="6" w:space="0" w:color="000000"/>
              <w:bottom w:val="single" w:sz="2" w:space="0" w:color="8A8A84"/>
              <w:right w:val="single" w:sz="6" w:space="0" w:color="FFFFFF"/>
            </w:tcBorders>
            <w:shd w:val="solid" w:color="EBE7E2" w:fill="auto"/>
            <w:tcMar>
              <w:top w:w="113" w:type="dxa"/>
              <w:left w:w="113" w:type="dxa"/>
              <w:bottom w:w="113" w:type="dxa"/>
              <w:right w:w="80" w:type="dxa"/>
            </w:tcMar>
          </w:tcPr>
          <w:p w14:paraId="50411BC4" w14:textId="77777777" w:rsidR="006D4CA0" w:rsidRDefault="006D4CA0">
            <w:pPr>
              <w:pStyle w:val="Tabletext"/>
            </w:pPr>
            <w:r>
              <w:t>CICD</w:t>
            </w:r>
          </w:p>
        </w:tc>
        <w:tc>
          <w:tcPr>
            <w:tcW w:w="1560" w:type="dxa"/>
            <w:tcBorders>
              <w:top w:val="single" w:sz="2" w:space="0" w:color="8A8A84"/>
              <w:left w:val="single" w:sz="6" w:space="0" w:color="FFFFFF"/>
              <w:bottom w:val="single" w:sz="2" w:space="0" w:color="8A8A84"/>
              <w:right w:val="single" w:sz="6" w:space="0" w:color="000000"/>
            </w:tcBorders>
            <w:shd w:val="solid" w:color="EBE7E2" w:fill="auto"/>
            <w:tcMar>
              <w:top w:w="113" w:type="dxa"/>
              <w:left w:w="113" w:type="dxa"/>
              <w:bottom w:w="113" w:type="dxa"/>
              <w:right w:w="80" w:type="dxa"/>
            </w:tcMar>
          </w:tcPr>
          <w:p w14:paraId="6CD30E8F" w14:textId="77777777" w:rsidR="006D4CA0" w:rsidRDefault="006D4CA0">
            <w:pPr>
              <w:pStyle w:val="Tabletext"/>
              <w:jc w:val="right"/>
            </w:pPr>
            <w:r>
              <w:t>$48 990</w:t>
            </w:r>
          </w:p>
        </w:tc>
      </w:tr>
      <w:tr w:rsidR="00D303ED" w14:paraId="12A93655" w14:textId="77777777" w:rsidTr="00D303ED">
        <w:trPr>
          <w:trHeight w:val="60"/>
        </w:trPr>
        <w:tc>
          <w:tcPr>
            <w:tcW w:w="2064" w:type="dxa"/>
            <w:tcBorders>
              <w:top w:val="single" w:sz="2" w:space="0" w:color="8A8A84"/>
              <w:left w:val="single" w:sz="6" w:space="0" w:color="FFFFFF"/>
              <w:bottom w:val="single" w:sz="2" w:space="0" w:color="8A8A84"/>
              <w:right w:val="single" w:sz="6" w:space="0" w:color="000000"/>
            </w:tcBorders>
            <w:shd w:val="solid" w:color="EBE7E2" w:fill="auto"/>
            <w:tcMar>
              <w:top w:w="113" w:type="dxa"/>
              <w:left w:w="113" w:type="dxa"/>
              <w:bottom w:w="113" w:type="dxa"/>
              <w:right w:w="80" w:type="dxa"/>
            </w:tcMar>
          </w:tcPr>
          <w:p w14:paraId="4598F913" w14:textId="77777777" w:rsidR="006D4CA0" w:rsidRDefault="006D4CA0">
            <w:pPr>
              <w:pStyle w:val="Tabletextbold"/>
            </w:pPr>
            <w:proofErr w:type="spellStart"/>
            <w:r>
              <w:t>Anyinginyi</w:t>
            </w:r>
            <w:proofErr w:type="spellEnd"/>
            <w:r>
              <w:t xml:space="preserve"> Health Aboriginal Corporation</w:t>
            </w:r>
          </w:p>
        </w:tc>
        <w:tc>
          <w:tcPr>
            <w:tcW w:w="4740" w:type="dxa"/>
            <w:tcBorders>
              <w:top w:val="single" w:sz="2" w:space="0" w:color="8A8A84"/>
              <w:left w:val="single" w:sz="6" w:space="0" w:color="000000"/>
              <w:bottom w:val="single" w:sz="2" w:space="0" w:color="8A8A84"/>
              <w:right w:val="single" w:sz="6" w:space="0" w:color="000000"/>
            </w:tcBorders>
            <w:shd w:val="solid" w:color="EBE7E2" w:fill="auto"/>
            <w:tcMar>
              <w:top w:w="113" w:type="dxa"/>
              <w:left w:w="113" w:type="dxa"/>
              <w:bottom w:w="113" w:type="dxa"/>
              <w:right w:w="80" w:type="dxa"/>
            </w:tcMar>
          </w:tcPr>
          <w:p w14:paraId="18981D67" w14:textId="77777777" w:rsidR="006D4CA0" w:rsidRDefault="006D4CA0">
            <w:pPr>
              <w:pStyle w:val="Tabletext"/>
            </w:pPr>
            <w:r>
              <w:t>Raise awareness of available disability and health supports, identify training gaps, identify other community service needs, identify and encourage the entrance of new disability service providers.</w:t>
            </w:r>
          </w:p>
        </w:tc>
        <w:tc>
          <w:tcPr>
            <w:tcW w:w="1134" w:type="dxa"/>
            <w:tcBorders>
              <w:top w:val="single" w:sz="2" w:space="0" w:color="8A8A84"/>
              <w:left w:val="single" w:sz="6" w:space="0" w:color="000000"/>
              <w:bottom w:val="single" w:sz="2" w:space="0" w:color="8A8A84"/>
              <w:right w:val="single" w:sz="6" w:space="0" w:color="FFFFFF"/>
            </w:tcBorders>
            <w:shd w:val="solid" w:color="EBE7E2" w:fill="auto"/>
            <w:tcMar>
              <w:top w:w="113" w:type="dxa"/>
              <w:left w:w="113" w:type="dxa"/>
              <w:bottom w:w="113" w:type="dxa"/>
              <w:right w:w="80" w:type="dxa"/>
            </w:tcMar>
          </w:tcPr>
          <w:p w14:paraId="1EACC78B" w14:textId="77777777" w:rsidR="006D4CA0" w:rsidRDefault="006D4CA0">
            <w:pPr>
              <w:pStyle w:val="Tabletext"/>
            </w:pPr>
            <w:r>
              <w:t>CICD</w:t>
            </w:r>
          </w:p>
        </w:tc>
        <w:tc>
          <w:tcPr>
            <w:tcW w:w="1560" w:type="dxa"/>
            <w:tcBorders>
              <w:top w:val="single" w:sz="2" w:space="0" w:color="8A8A84"/>
              <w:left w:val="single" w:sz="6" w:space="0" w:color="FFFFFF"/>
              <w:bottom w:val="single" w:sz="2" w:space="0" w:color="8A8A84"/>
              <w:right w:val="single" w:sz="6" w:space="0" w:color="000000"/>
            </w:tcBorders>
            <w:shd w:val="solid" w:color="EBE7E2" w:fill="auto"/>
            <w:tcMar>
              <w:top w:w="113" w:type="dxa"/>
              <w:left w:w="113" w:type="dxa"/>
              <w:bottom w:w="113" w:type="dxa"/>
              <w:right w:w="80" w:type="dxa"/>
            </w:tcMar>
          </w:tcPr>
          <w:p w14:paraId="656FF224" w14:textId="77777777" w:rsidR="006D4CA0" w:rsidRDefault="006D4CA0">
            <w:pPr>
              <w:pStyle w:val="Tabletext"/>
              <w:jc w:val="right"/>
            </w:pPr>
            <w:r>
              <w:t>$90 000</w:t>
            </w:r>
          </w:p>
        </w:tc>
      </w:tr>
      <w:tr w:rsidR="00D303ED" w14:paraId="79F76EED" w14:textId="77777777" w:rsidTr="00D303ED">
        <w:trPr>
          <w:trHeight w:val="60"/>
        </w:trPr>
        <w:tc>
          <w:tcPr>
            <w:tcW w:w="2064" w:type="dxa"/>
            <w:tcBorders>
              <w:top w:val="single" w:sz="2" w:space="0" w:color="8A8A84"/>
              <w:left w:val="single" w:sz="6" w:space="0" w:color="FFFFFF"/>
              <w:bottom w:val="single" w:sz="2" w:space="0" w:color="8A8A84"/>
              <w:right w:val="single" w:sz="6" w:space="0" w:color="000000"/>
            </w:tcBorders>
            <w:shd w:val="solid" w:color="EBE7E2" w:fill="auto"/>
            <w:tcMar>
              <w:top w:w="113" w:type="dxa"/>
              <w:left w:w="113" w:type="dxa"/>
              <w:bottom w:w="113" w:type="dxa"/>
              <w:right w:w="80" w:type="dxa"/>
            </w:tcMar>
          </w:tcPr>
          <w:p w14:paraId="009619E6" w14:textId="77777777" w:rsidR="006D4CA0" w:rsidRDefault="006D4CA0">
            <w:pPr>
              <w:pStyle w:val="Tabletextbold"/>
            </w:pPr>
            <w:proofErr w:type="spellStart"/>
            <w:r>
              <w:t>Arlpwe</w:t>
            </w:r>
            <w:proofErr w:type="spellEnd"/>
            <w:r>
              <w:t xml:space="preserve"> Artists Aboriginal Corporation </w:t>
            </w:r>
          </w:p>
        </w:tc>
        <w:tc>
          <w:tcPr>
            <w:tcW w:w="4740" w:type="dxa"/>
            <w:tcBorders>
              <w:top w:val="single" w:sz="2" w:space="0" w:color="8A8A84"/>
              <w:left w:val="single" w:sz="6" w:space="0" w:color="000000"/>
              <w:bottom w:val="single" w:sz="2" w:space="0" w:color="8A8A84"/>
              <w:right w:val="single" w:sz="6" w:space="0" w:color="000000"/>
            </w:tcBorders>
            <w:shd w:val="solid" w:color="EBE7E2" w:fill="auto"/>
            <w:tcMar>
              <w:top w:w="113" w:type="dxa"/>
              <w:left w:w="113" w:type="dxa"/>
              <w:bottom w:w="113" w:type="dxa"/>
              <w:right w:w="80" w:type="dxa"/>
            </w:tcMar>
          </w:tcPr>
          <w:p w14:paraId="196C36D1" w14:textId="77777777" w:rsidR="006D4CA0" w:rsidRDefault="006D4CA0">
            <w:pPr>
              <w:pStyle w:val="Tabletext"/>
            </w:pPr>
            <w:r>
              <w:t>To use the medium of art to engage with three remote Indigenous communities, improve understanding of the Scheme and promote community.</w:t>
            </w:r>
          </w:p>
        </w:tc>
        <w:tc>
          <w:tcPr>
            <w:tcW w:w="1134" w:type="dxa"/>
            <w:tcBorders>
              <w:top w:val="single" w:sz="2" w:space="0" w:color="8A8A84"/>
              <w:left w:val="single" w:sz="6" w:space="0" w:color="000000"/>
              <w:bottom w:val="single" w:sz="2" w:space="0" w:color="8A8A84"/>
              <w:right w:val="single" w:sz="6" w:space="0" w:color="FFFFFF"/>
            </w:tcBorders>
            <w:shd w:val="solid" w:color="EBE7E2" w:fill="auto"/>
            <w:tcMar>
              <w:top w:w="113" w:type="dxa"/>
              <w:left w:w="113" w:type="dxa"/>
              <w:bottom w:w="113" w:type="dxa"/>
              <w:right w:w="80" w:type="dxa"/>
            </w:tcMar>
          </w:tcPr>
          <w:p w14:paraId="677FB47C" w14:textId="77777777" w:rsidR="006D4CA0" w:rsidRDefault="006D4CA0">
            <w:pPr>
              <w:pStyle w:val="Tabletext"/>
            </w:pPr>
            <w:r>
              <w:t>CICD</w:t>
            </w:r>
          </w:p>
        </w:tc>
        <w:tc>
          <w:tcPr>
            <w:tcW w:w="1560" w:type="dxa"/>
            <w:tcBorders>
              <w:top w:val="single" w:sz="2" w:space="0" w:color="8A8A84"/>
              <w:left w:val="single" w:sz="6" w:space="0" w:color="FFFFFF"/>
              <w:bottom w:val="single" w:sz="2" w:space="0" w:color="8A8A84"/>
              <w:right w:val="single" w:sz="6" w:space="0" w:color="000000"/>
            </w:tcBorders>
            <w:shd w:val="solid" w:color="EBE7E2" w:fill="auto"/>
            <w:tcMar>
              <w:top w:w="113" w:type="dxa"/>
              <w:left w:w="113" w:type="dxa"/>
              <w:bottom w:w="113" w:type="dxa"/>
              <w:right w:w="80" w:type="dxa"/>
            </w:tcMar>
          </w:tcPr>
          <w:p w14:paraId="293BE61B" w14:textId="77777777" w:rsidR="006D4CA0" w:rsidRDefault="006D4CA0">
            <w:pPr>
              <w:pStyle w:val="Tabletext"/>
              <w:jc w:val="right"/>
            </w:pPr>
            <w:r>
              <w:t>$20 000</w:t>
            </w:r>
          </w:p>
        </w:tc>
      </w:tr>
      <w:tr w:rsidR="00D303ED" w14:paraId="7355C6C7" w14:textId="77777777" w:rsidTr="00D303ED">
        <w:trPr>
          <w:trHeight w:val="60"/>
        </w:trPr>
        <w:tc>
          <w:tcPr>
            <w:tcW w:w="2064" w:type="dxa"/>
            <w:tcBorders>
              <w:top w:val="single" w:sz="2" w:space="0" w:color="8A8A84"/>
              <w:left w:val="single" w:sz="6" w:space="0" w:color="FFFFFF"/>
              <w:bottom w:val="single" w:sz="2" w:space="0" w:color="8A8A84"/>
              <w:right w:val="single" w:sz="6" w:space="0" w:color="000000"/>
            </w:tcBorders>
            <w:shd w:val="solid" w:color="EBE7E2" w:fill="auto"/>
            <w:tcMar>
              <w:top w:w="113" w:type="dxa"/>
              <w:left w:w="113" w:type="dxa"/>
              <w:bottom w:w="113" w:type="dxa"/>
              <w:right w:w="80" w:type="dxa"/>
            </w:tcMar>
          </w:tcPr>
          <w:p w14:paraId="24676120" w14:textId="77777777" w:rsidR="006D4CA0" w:rsidRDefault="006D4CA0">
            <w:pPr>
              <w:pStyle w:val="Tabletextbold"/>
            </w:pPr>
            <w:r>
              <w:t>Barkly Regional Arts Inc.</w:t>
            </w:r>
          </w:p>
        </w:tc>
        <w:tc>
          <w:tcPr>
            <w:tcW w:w="4740" w:type="dxa"/>
            <w:tcBorders>
              <w:top w:val="single" w:sz="2" w:space="0" w:color="8A8A84"/>
              <w:left w:val="single" w:sz="6" w:space="0" w:color="000000"/>
              <w:bottom w:val="single" w:sz="2" w:space="0" w:color="8A8A84"/>
              <w:right w:val="single" w:sz="6" w:space="0" w:color="000000"/>
            </w:tcBorders>
            <w:shd w:val="solid" w:color="EBE7E2" w:fill="auto"/>
            <w:tcMar>
              <w:top w:w="113" w:type="dxa"/>
              <w:left w:w="113" w:type="dxa"/>
              <w:bottom w:w="113" w:type="dxa"/>
              <w:right w:w="80" w:type="dxa"/>
            </w:tcMar>
          </w:tcPr>
          <w:p w14:paraId="2D05D92D" w14:textId="77777777" w:rsidR="006D4CA0" w:rsidRDefault="006D4CA0">
            <w:pPr>
              <w:pStyle w:val="Tabletext"/>
            </w:pPr>
            <w:r>
              <w:t xml:space="preserve">Sponsorship of Desert Harmony Festival to promote the Scheme in the wider Indigenous community. </w:t>
            </w:r>
          </w:p>
        </w:tc>
        <w:tc>
          <w:tcPr>
            <w:tcW w:w="1134" w:type="dxa"/>
            <w:tcBorders>
              <w:top w:val="single" w:sz="2" w:space="0" w:color="8A8A84"/>
              <w:left w:val="single" w:sz="6" w:space="0" w:color="000000"/>
              <w:bottom w:val="single" w:sz="2" w:space="0" w:color="8A8A84"/>
              <w:right w:val="single" w:sz="6" w:space="0" w:color="FFFFFF"/>
            </w:tcBorders>
            <w:shd w:val="solid" w:color="EBE7E2" w:fill="auto"/>
            <w:tcMar>
              <w:top w:w="113" w:type="dxa"/>
              <w:left w:w="113" w:type="dxa"/>
              <w:bottom w:w="113" w:type="dxa"/>
              <w:right w:w="80" w:type="dxa"/>
            </w:tcMar>
          </w:tcPr>
          <w:p w14:paraId="546950F0" w14:textId="77777777" w:rsidR="006D4CA0" w:rsidRDefault="006D4CA0">
            <w:pPr>
              <w:pStyle w:val="Tabletext"/>
            </w:pPr>
            <w:r>
              <w:t>CICD</w:t>
            </w:r>
          </w:p>
        </w:tc>
        <w:tc>
          <w:tcPr>
            <w:tcW w:w="1560" w:type="dxa"/>
            <w:tcBorders>
              <w:top w:val="single" w:sz="2" w:space="0" w:color="8A8A84"/>
              <w:left w:val="single" w:sz="6" w:space="0" w:color="FFFFFF"/>
              <w:bottom w:val="single" w:sz="2" w:space="0" w:color="8A8A84"/>
              <w:right w:val="single" w:sz="6" w:space="0" w:color="000000"/>
            </w:tcBorders>
            <w:shd w:val="solid" w:color="EBE7E2" w:fill="auto"/>
            <w:tcMar>
              <w:top w:w="113" w:type="dxa"/>
              <w:left w:w="113" w:type="dxa"/>
              <w:bottom w:w="113" w:type="dxa"/>
              <w:right w:w="80" w:type="dxa"/>
            </w:tcMar>
          </w:tcPr>
          <w:p w14:paraId="6752ECDD" w14:textId="77777777" w:rsidR="006D4CA0" w:rsidRDefault="006D4CA0">
            <w:pPr>
              <w:pStyle w:val="Tabletext"/>
              <w:jc w:val="right"/>
            </w:pPr>
            <w:r>
              <w:t>$65 000</w:t>
            </w:r>
          </w:p>
        </w:tc>
      </w:tr>
      <w:tr w:rsidR="00D303ED" w14:paraId="10845A48" w14:textId="77777777" w:rsidTr="00D303ED">
        <w:trPr>
          <w:trHeight w:val="60"/>
        </w:trPr>
        <w:tc>
          <w:tcPr>
            <w:tcW w:w="2064" w:type="dxa"/>
            <w:tcBorders>
              <w:top w:val="single" w:sz="2" w:space="0" w:color="8A8A84"/>
              <w:left w:val="single" w:sz="6" w:space="0" w:color="FFFFFF"/>
              <w:bottom w:val="single" w:sz="2" w:space="0" w:color="8A8A84"/>
              <w:right w:val="single" w:sz="6" w:space="0" w:color="000000"/>
            </w:tcBorders>
            <w:shd w:val="solid" w:color="EBE7E2" w:fill="auto"/>
            <w:tcMar>
              <w:top w:w="113" w:type="dxa"/>
              <w:left w:w="113" w:type="dxa"/>
              <w:bottom w:w="113" w:type="dxa"/>
              <w:right w:w="80" w:type="dxa"/>
            </w:tcMar>
          </w:tcPr>
          <w:p w14:paraId="3CB7C118" w14:textId="77777777" w:rsidR="006D4CA0" w:rsidRDefault="006D4CA0">
            <w:pPr>
              <w:pStyle w:val="Tabletextbold"/>
            </w:pPr>
            <w:r>
              <w:t>Community Services Directorate–ACT Government</w:t>
            </w:r>
          </w:p>
        </w:tc>
        <w:tc>
          <w:tcPr>
            <w:tcW w:w="4740" w:type="dxa"/>
            <w:tcBorders>
              <w:top w:val="single" w:sz="2" w:space="0" w:color="8A8A84"/>
              <w:left w:val="single" w:sz="6" w:space="0" w:color="000000"/>
              <w:bottom w:val="single" w:sz="2" w:space="0" w:color="8A8A84"/>
              <w:right w:val="single" w:sz="6" w:space="0" w:color="000000"/>
            </w:tcBorders>
            <w:shd w:val="solid" w:color="EBE7E2" w:fill="auto"/>
            <w:tcMar>
              <w:top w:w="113" w:type="dxa"/>
              <w:left w:w="113" w:type="dxa"/>
              <w:bottom w:w="113" w:type="dxa"/>
              <w:right w:w="80" w:type="dxa"/>
            </w:tcMar>
          </w:tcPr>
          <w:p w14:paraId="707798D9" w14:textId="77777777" w:rsidR="006D4CA0" w:rsidRDefault="006D4CA0">
            <w:pPr>
              <w:pStyle w:val="Tabletext"/>
            </w:pPr>
            <w:r>
              <w:t>Support not-for-profit organisations in the ACT to provide community supports for people with disability and adjust to the new disability services environment.</w:t>
            </w:r>
          </w:p>
        </w:tc>
        <w:tc>
          <w:tcPr>
            <w:tcW w:w="1134" w:type="dxa"/>
            <w:tcBorders>
              <w:top w:val="single" w:sz="2" w:space="0" w:color="8A8A84"/>
              <w:left w:val="single" w:sz="6" w:space="0" w:color="000000"/>
              <w:bottom w:val="single" w:sz="2" w:space="0" w:color="8A8A84"/>
              <w:right w:val="single" w:sz="6" w:space="0" w:color="FFFFFF"/>
            </w:tcBorders>
            <w:shd w:val="solid" w:color="EBE7E2" w:fill="auto"/>
            <w:tcMar>
              <w:top w:w="113" w:type="dxa"/>
              <w:left w:w="113" w:type="dxa"/>
              <w:bottom w:w="113" w:type="dxa"/>
              <w:right w:w="80" w:type="dxa"/>
            </w:tcMar>
          </w:tcPr>
          <w:p w14:paraId="372FA296" w14:textId="77777777" w:rsidR="006D4CA0" w:rsidRDefault="006D4CA0">
            <w:pPr>
              <w:pStyle w:val="Tabletext"/>
            </w:pPr>
            <w:r>
              <w:t>CICD</w:t>
            </w:r>
          </w:p>
        </w:tc>
        <w:tc>
          <w:tcPr>
            <w:tcW w:w="1560" w:type="dxa"/>
            <w:tcBorders>
              <w:top w:val="single" w:sz="2" w:space="0" w:color="8A8A84"/>
              <w:left w:val="single" w:sz="6" w:space="0" w:color="FFFFFF"/>
              <w:bottom w:val="single" w:sz="2" w:space="0" w:color="8A8A84"/>
              <w:right w:val="single" w:sz="6" w:space="0" w:color="000000"/>
            </w:tcBorders>
            <w:shd w:val="solid" w:color="EBE7E2" w:fill="auto"/>
            <w:tcMar>
              <w:top w:w="113" w:type="dxa"/>
              <w:left w:w="113" w:type="dxa"/>
              <w:bottom w:w="113" w:type="dxa"/>
              <w:right w:w="80" w:type="dxa"/>
            </w:tcMar>
          </w:tcPr>
          <w:p w14:paraId="397D21BE" w14:textId="77777777" w:rsidR="006D4CA0" w:rsidRDefault="006D4CA0">
            <w:pPr>
              <w:pStyle w:val="Tabletext"/>
              <w:jc w:val="right"/>
            </w:pPr>
            <w:r>
              <w:t>$1 304 406</w:t>
            </w:r>
          </w:p>
        </w:tc>
      </w:tr>
      <w:tr w:rsidR="00D303ED" w14:paraId="073C849A" w14:textId="77777777" w:rsidTr="00D303ED">
        <w:trPr>
          <w:trHeight w:val="60"/>
        </w:trPr>
        <w:tc>
          <w:tcPr>
            <w:tcW w:w="2064" w:type="dxa"/>
            <w:tcBorders>
              <w:top w:val="single" w:sz="2" w:space="0" w:color="8A8A84"/>
              <w:left w:val="single" w:sz="6" w:space="0" w:color="FFFFFF"/>
              <w:bottom w:val="single" w:sz="2" w:space="0" w:color="8A8A84"/>
              <w:right w:val="single" w:sz="6" w:space="0" w:color="000000"/>
            </w:tcBorders>
            <w:shd w:val="solid" w:color="EBE7E2" w:fill="auto"/>
            <w:tcMar>
              <w:top w:w="113" w:type="dxa"/>
              <w:left w:w="113" w:type="dxa"/>
              <w:bottom w:w="113" w:type="dxa"/>
              <w:right w:w="80" w:type="dxa"/>
            </w:tcMar>
          </w:tcPr>
          <w:p w14:paraId="408830FB" w14:textId="77777777" w:rsidR="006D4CA0" w:rsidRDefault="006D4CA0">
            <w:pPr>
              <w:pStyle w:val="Tabletextbold"/>
            </w:pPr>
            <w:r>
              <w:t>DADAA Limited (trading as DADAA)</w:t>
            </w:r>
          </w:p>
        </w:tc>
        <w:tc>
          <w:tcPr>
            <w:tcW w:w="4740" w:type="dxa"/>
            <w:tcBorders>
              <w:top w:val="single" w:sz="2" w:space="0" w:color="8A8A84"/>
              <w:left w:val="single" w:sz="6" w:space="0" w:color="000000"/>
              <w:bottom w:val="single" w:sz="2" w:space="0" w:color="8A8A84"/>
              <w:right w:val="single" w:sz="6" w:space="0" w:color="000000"/>
            </w:tcBorders>
            <w:shd w:val="solid" w:color="EBE7E2" w:fill="auto"/>
            <w:tcMar>
              <w:top w:w="113" w:type="dxa"/>
              <w:left w:w="113" w:type="dxa"/>
              <w:bottom w:w="113" w:type="dxa"/>
              <w:right w:w="80" w:type="dxa"/>
            </w:tcMar>
          </w:tcPr>
          <w:p w14:paraId="43CBE932" w14:textId="77777777" w:rsidR="006D4CA0" w:rsidRDefault="006D4CA0">
            <w:pPr>
              <w:pStyle w:val="Tabletext"/>
            </w:pPr>
            <w:r>
              <w:t xml:space="preserve">Develop a cost effective arts workshop program for hostel residents who experience severe and persistent psychosocial disability and additional barriers to their inclusion in community and social life. </w:t>
            </w:r>
          </w:p>
        </w:tc>
        <w:tc>
          <w:tcPr>
            <w:tcW w:w="1134" w:type="dxa"/>
            <w:tcBorders>
              <w:top w:val="single" w:sz="2" w:space="0" w:color="8A8A84"/>
              <w:left w:val="single" w:sz="6" w:space="0" w:color="000000"/>
              <w:bottom w:val="single" w:sz="2" w:space="0" w:color="8A8A84"/>
              <w:right w:val="single" w:sz="6" w:space="0" w:color="FFFFFF"/>
            </w:tcBorders>
            <w:shd w:val="solid" w:color="EBE7E2" w:fill="auto"/>
            <w:tcMar>
              <w:top w:w="113" w:type="dxa"/>
              <w:left w:w="113" w:type="dxa"/>
              <w:bottom w:w="113" w:type="dxa"/>
              <w:right w:w="80" w:type="dxa"/>
            </w:tcMar>
          </w:tcPr>
          <w:p w14:paraId="00BDFF1B" w14:textId="77777777" w:rsidR="006D4CA0" w:rsidRDefault="006D4CA0">
            <w:pPr>
              <w:pStyle w:val="Tabletext"/>
            </w:pPr>
            <w:r>
              <w:t>CICD</w:t>
            </w:r>
          </w:p>
        </w:tc>
        <w:tc>
          <w:tcPr>
            <w:tcW w:w="1560" w:type="dxa"/>
            <w:tcBorders>
              <w:top w:val="single" w:sz="2" w:space="0" w:color="8A8A84"/>
              <w:left w:val="single" w:sz="6" w:space="0" w:color="FFFFFF"/>
              <w:bottom w:val="single" w:sz="2" w:space="0" w:color="8A8A84"/>
              <w:right w:val="single" w:sz="6" w:space="0" w:color="000000"/>
            </w:tcBorders>
            <w:shd w:val="solid" w:color="EBE7E2" w:fill="auto"/>
            <w:tcMar>
              <w:top w:w="113" w:type="dxa"/>
              <w:left w:w="113" w:type="dxa"/>
              <w:bottom w:w="113" w:type="dxa"/>
              <w:right w:w="80" w:type="dxa"/>
            </w:tcMar>
          </w:tcPr>
          <w:p w14:paraId="13F05D6B" w14:textId="77777777" w:rsidR="006D4CA0" w:rsidRDefault="006D4CA0">
            <w:pPr>
              <w:pStyle w:val="Tabletext"/>
              <w:jc w:val="right"/>
            </w:pPr>
            <w:r>
              <w:t>$59 518</w:t>
            </w:r>
          </w:p>
        </w:tc>
      </w:tr>
      <w:tr w:rsidR="00D303ED" w14:paraId="1A647F6C" w14:textId="77777777" w:rsidTr="00D303ED">
        <w:trPr>
          <w:trHeight w:val="60"/>
        </w:trPr>
        <w:tc>
          <w:tcPr>
            <w:tcW w:w="2064" w:type="dxa"/>
            <w:tcBorders>
              <w:top w:val="single" w:sz="2" w:space="0" w:color="8A8A84"/>
              <w:left w:val="single" w:sz="6" w:space="0" w:color="FFFFFF"/>
              <w:bottom w:val="single" w:sz="2" w:space="0" w:color="8A8A84"/>
              <w:right w:val="single" w:sz="6" w:space="0" w:color="000000"/>
            </w:tcBorders>
            <w:shd w:val="solid" w:color="EBE7E2" w:fill="auto"/>
            <w:tcMar>
              <w:top w:w="113" w:type="dxa"/>
              <w:left w:w="113" w:type="dxa"/>
              <w:bottom w:w="113" w:type="dxa"/>
              <w:right w:w="80" w:type="dxa"/>
            </w:tcMar>
          </w:tcPr>
          <w:p w14:paraId="37B7C5CD" w14:textId="77777777" w:rsidR="006D4CA0" w:rsidRDefault="006D4CA0">
            <w:pPr>
              <w:pStyle w:val="Tabletextbold"/>
            </w:pPr>
            <w:r>
              <w:t>Deakin University</w:t>
            </w:r>
          </w:p>
        </w:tc>
        <w:tc>
          <w:tcPr>
            <w:tcW w:w="4740" w:type="dxa"/>
            <w:tcBorders>
              <w:top w:val="single" w:sz="2" w:space="0" w:color="8A8A84"/>
              <w:left w:val="single" w:sz="6" w:space="0" w:color="000000"/>
              <w:bottom w:val="single" w:sz="2" w:space="0" w:color="8A8A84"/>
              <w:right w:val="single" w:sz="6" w:space="0" w:color="000000"/>
            </w:tcBorders>
            <w:shd w:val="solid" w:color="EBE7E2" w:fill="auto"/>
            <w:tcMar>
              <w:top w:w="113" w:type="dxa"/>
              <w:left w:w="113" w:type="dxa"/>
              <w:bottom w:w="113" w:type="dxa"/>
              <w:right w:w="80" w:type="dxa"/>
            </w:tcMar>
          </w:tcPr>
          <w:p w14:paraId="202C0DFF" w14:textId="77777777" w:rsidR="006D4CA0" w:rsidRDefault="006D4CA0">
            <w:pPr>
              <w:pStyle w:val="Tabletext"/>
            </w:pPr>
            <w:r>
              <w:t>Health Interface project to examine and mitigate boundaries that exist between the disability and health sectors. The project will help to increase the understanding of the health sector on the NDIS, the legislative framework of the NDIS and key NDIS concepts including reasonable and necessary supports.</w:t>
            </w:r>
          </w:p>
        </w:tc>
        <w:tc>
          <w:tcPr>
            <w:tcW w:w="1134" w:type="dxa"/>
            <w:tcBorders>
              <w:top w:val="single" w:sz="2" w:space="0" w:color="8A8A84"/>
              <w:left w:val="single" w:sz="6" w:space="0" w:color="000000"/>
              <w:bottom w:val="single" w:sz="2" w:space="0" w:color="8A8A84"/>
              <w:right w:val="single" w:sz="6" w:space="0" w:color="FFFFFF"/>
            </w:tcBorders>
            <w:shd w:val="solid" w:color="EBE7E2" w:fill="auto"/>
            <w:tcMar>
              <w:top w:w="113" w:type="dxa"/>
              <w:left w:w="113" w:type="dxa"/>
              <w:bottom w:w="113" w:type="dxa"/>
              <w:right w:w="80" w:type="dxa"/>
            </w:tcMar>
          </w:tcPr>
          <w:p w14:paraId="5521BA90" w14:textId="77777777" w:rsidR="006D4CA0" w:rsidRDefault="006D4CA0">
            <w:pPr>
              <w:pStyle w:val="Tabletext"/>
            </w:pPr>
            <w:r>
              <w:t>CICD</w:t>
            </w:r>
          </w:p>
        </w:tc>
        <w:tc>
          <w:tcPr>
            <w:tcW w:w="1560" w:type="dxa"/>
            <w:tcBorders>
              <w:top w:val="single" w:sz="2" w:space="0" w:color="8A8A84"/>
              <w:left w:val="single" w:sz="6" w:space="0" w:color="FFFFFF"/>
              <w:bottom w:val="single" w:sz="2" w:space="0" w:color="8A8A84"/>
              <w:right w:val="single" w:sz="6" w:space="0" w:color="000000"/>
            </w:tcBorders>
            <w:shd w:val="solid" w:color="EBE7E2" w:fill="auto"/>
            <w:tcMar>
              <w:top w:w="113" w:type="dxa"/>
              <w:left w:w="113" w:type="dxa"/>
              <w:bottom w:w="113" w:type="dxa"/>
              <w:right w:w="80" w:type="dxa"/>
            </w:tcMar>
          </w:tcPr>
          <w:p w14:paraId="09FF18BB" w14:textId="77777777" w:rsidR="006D4CA0" w:rsidRDefault="006D4CA0">
            <w:pPr>
              <w:pStyle w:val="Tabletext"/>
              <w:jc w:val="right"/>
            </w:pPr>
            <w:r>
              <w:t>$148 500</w:t>
            </w:r>
          </w:p>
        </w:tc>
      </w:tr>
      <w:tr w:rsidR="00D303ED" w14:paraId="30B5CE97" w14:textId="77777777" w:rsidTr="00D303ED">
        <w:trPr>
          <w:trHeight w:val="60"/>
        </w:trPr>
        <w:tc>
          <w:tcPr>
            <w:tcW w:w="2064" w:type="dxa"/>
            <w:tcBorders>
              <w:top w:val="single" w:sz="2" w:space="0" w:color="8A8A84"/>
              <w:left w:val="single" w:sz="6" w:space="0" w:color="FFFFFF"/>
              <w:bottom w:val="single" w:sz="2" w:space="0" w:color="8A8A84"/>
              <w:right w:val="single" w:sz="6" w:space="0" w:color="000000"/>
            </w:tcBorders>
            <w:shd w:val="solid" w:color="EBE7E2" w:fill="auto"/>
            <w:tcMar>
              <w:top w:w="113" w:type="dxa"/>
              <w:left w:w="113" w:type="dxa"/>
              <w:bottom w:w="113" w:type="dxa"/>
              <w:right w:w="80" w:type="dxa"/>
            </w:tcMar>
          </w:tcPr>
          <w:p w14:paraId="1C7922A3" w14:textId="77777777" w:rsidR="006D4CA0" w:rsidRDefault="006D4CA0">
            <w:pPr>
              <w:pStyle w:val="Tabletextbold"/>
            </w:pPr>
            <w:r>
              <w:t xml:space="preserve">Department of Family and Community Services, Ageing, Disability and Home Care–NSW Government </w:t>
            </w:r>
          </w:p>
        </w:tc>
        <w:tc>
          <w:tcPr>
            <w:tcW w:w="4740" w:type="dxa"/>
            <w:tcBorders>
              <w:top w:val="single" w:sz="2" w:space="0" w:color="8A8A84"/>
              <w:left w:val="single" w:sz="6" w:space="0" w:color="000000"/>
              <w:bottom w:val="single" w:sz="2" w:space="0" w:color="8A8A84"/>
              <w:right w:val="single" w:sz="6" w:space="0" w:color="000000"/>
            </w:tcBorders>
            <w:shd w:val="solid" w:color="EBE7E2" w:fill="auto"/>
            <w:tcMar>
              <w:top w:w="113" w:type="dxa"/>
              <w:left w:w="113" w:type="dxa"/>
              <w:bottom w:w="113" w:type="dxa"/>
              <w:right w:w="80" w:type="dxa"/>
            </w:tcMar>
          </w:tcPr>
          <w:p w14:paraId="6E3276DE" w14:textId="77777777" w:rsidR="006D4CA0" w:rsidRDefault="006D4CA0">
            <w:pPr>
              <w:pStyle w:val="Tabletext"/>
            </w:pPr>
            <w:r>
              <w:t>Support not-for-profit organisations in NSW to provide community supports for people with disability in the new expanded disability services environment.</w:t>
            </w:r>
          </w:p>
        </w:tc>
        <w:tc>
          <w:tcPr>
            <w:tcW w:w="1134" w:type="dxa"/>
            <w:tcBorders>
              <w:top w:val="single" w:sz="2" w:space="0" w:color="8A8A84"/>
              <w:left w:val="single" w:sz="6" w:space="0" w:color="000000"/>
              <w:bottom w:val="single" w:sz="2" w:space="0" w:color="8A8A84"/>
              <w:right w:val="single" w:sz="6" w:space="0" w:color="FFFFFF"/>
            </w:tcBorders>
            <w:shd w:val="solid" w:color="EBE7E2" w:fill="auto"/>
            <w:tcMar>
              <w:top w:w="113" w:type="dxa"/>
              <w:left w:w="113" w:type="dxa"/>
              <w:bottom w:w="113" w:type="dxa"/>
              <w:right w:w="80" w:type="dxa"/>
            </w:tcMar>
          </w:tcPr>
          <w:p w14:paraId="21071092" w14:textId="77777777" w:rsidR="006D4CA0" w:rsidRDefault="006D4CA0">
            <w:pPr>
              <w:pStyle w:val="Tabletext"/>
            </w:pPr>
            <w:r>
              <w:t>CICD</w:t>
            </w:r>
          </w:p>
        </w:tc>
        <w:tc>
          <w:tcPr>
            <w:tcW w:w="1560" w:type="dxa"/>
            <w:tcBorders>
              <w:top w:val="single" w:sz="2" w:space="0" w:color="8A8A84"/>
              <w:left w:val="single" w:sz="6" w:space="0" w:color="FFFFFF"/>
              <w:bottom w:val="single" w:sz="2" w:space="0" w:color="8A8A84"/>
              <w:right w:val="single" w:sz="6" w:space="0" w:color="000000"/>
            </w:tcBorders>
            <w:shd w:val="solid" w:color="EBE7E2" w:fill="auto"/>
            <w:tcMar>
              <w:top w:w="113" w:type="dxa"/>
              <w:left w:w="113" w:type="dxa"/>
              <w:bottom w:w="113" w:type="dxa"/>
              <w:right w:w="80" w:type="dxa"/>
            </w:tcMar>
          </w:tcPr>
          <w:p w14:paraId="27137680" w14:textId="77777777" w:rsidR="006D4CA0" w:rsidRDefault="006D4CA0">
            <w:pPr>
              <w:pStyle w:val="Tabletext"/>
              <w:jc w:val="right"/>
            </w:pPr>
            <w:r>
              <w:t>$1 723 379</w:t>
            </w:r>
          </w:p>
        </w:tc>
      </w:tr>
      <w:tr w:rsidR="00D303ED" w14:paraId="0A6B3E36" w14:textId="77777777" w:rsidTr="00D303ED">
        <w:trPr>
          <w:trHeight w:val="60"/>
        </w:trPr>
        <w:tc>
          <w:tcPr>
            <w:tcW w:w="2064" w:type="dxa"/>
            <w:tcBorders>
              <w:top w:val="single" w:sz="2" w:space="0" w:color="8A8A84"/>
              <w:left w:val="single" w:sz="6" w:space="0" w:color="FFFFFF"/>
              <w:bottom w:val="single" w:sz="2" w:space="0" w:color="8A8A84"/>
              <w:right w:val="single" w:sz="6" w:space="0" w:color="000000"/>
            </w:tcBorders>
            <w:shd w:val="solid" w:color="EBE7E2" w:fill="auto"/>
            <w:tcMar>
              <w:top w:w="113" w:type="dxa"/>
              <w:left w:w="113" w:type="dxa"/>
              <w:bottom w:w="113" w:type="dxa"/>
              <w:right w:w="80" w:type="dxa"/>
            </w:tcMar>
          </w:tcPr>
          <w:p w14:paraId="49C33246" w14:textId="77777777" w:rsidR="006D4CA0" w:rsidRDefault="006D4CA0">
            <w:pPr>
              <w:pStyle w:val="Tabletextbold"/>
            </w:pPr>
            <w:r>
              <w:t>Department of Health and Human Services–Victorian Government</w:t>
            </w:r>
          </w:p>
        </w:tc>
        <w:tc>
          <w:tcPr>
            <w:tcW w:w="4740" w:type="dxa"/>
            <w:tcBorders>
              <w:top w:val="single" w:sz="2" w:space="0" w:color="8A8A84"/>
              <w:left w:val="single" w:sz="6" w:space="0" w:color="000000"/>
              <w:bottom w:val="single" w:sz="2" w:space="0" w:color="8A8A84"/>
              <w:right w:val="single" w:sz="6" w:space="0" w:color="000000"/>
            </w:tcBorders>
            <w:shd w:val="solid" w:color="EBE7E2" w:fill="auto"/>
            <w:tcMar>
              <w:top w:w="113" w:type="dxa"/>
              <w:left w:w="113" w:type="dxa"/>
              <w:bottom w:w="113" w:type="dxa"/>
              <w:right w:w="80" w:type="dxa"/>
            </w:tcMar>
          </w:tcPr>
          <w:p w14:paraId="606C82D7" w14:textId="77777777" w:rsidR="006D4CA0" w:rsidRDefault="006D4CA0">
            <w:pPr>
              <w:pStyle w:val="Tabletext"/>
            </w:pPr>
            <w:r>
              <w:t>Support Victorian Government disability programs to work effectively in the new disability services environment.</w:t>
            </w:r>
          </w:p>
        </w:tc>
        <w:tc>
          <w:tcPr>
            <w:tcW w:w="1134" w:type="dxa"/>
            <w:tcBorders>
              <w:top w:val="single" w:sz="2" w:space="0" w:color="8A8A84"/>
              <w:left w:val="single" w:sz="6" w:space="0" w:color="000000"/>
              <w:bottom w:val="single" w:sz="2" w:space="0" w:color="8A8A84"/>
              <w:right w:val="single" w:sz="6" w:space="0" w:color="FFFFFF"/>
            </w:tcBorders>
            <w:shd w:val="solid" w:color="EBE7E2" w:fill="auto"/>
            <w:tcMar>
              <w:top w:w="113" w:type="dxa"/>
              <w:left w:w="113" w:type="dxa"/>
              <w:bottom w:w="113" w:type="dxa"/>
              <w:right w:w="80" w:type="dxa"/>
            </w:tcMar>
          </w:tcPr>
          <w:p w14:paraId="3DE46306" w14:textId="77777777" w:rsidR="006D4CA0" w:rsidRDefault="006D4CA0">
            <w:pPr>
              <w:pStyle w:val="Tabletext"/>
            </w:pPr>
            <w:r>
              <w:t>CICD</w:t>
            </w:r>
          </w:p>
        </w:tc>
        <w:tc>
          <w:tcPr>
            <w:tcW w:w="1560" w:type="dxa"/>
            <w:tcBorders>
              <w:top w:val="single" w:sz="2" w:space="0" w:color="8A8A84"/>
              <w:left w:val="single" w:sz="6" w:space="0" w:color="FFFFFF"/>
              <w:bottom w:val="single" w:sz="2" w:space="0" w:color="8A8A84"/>
              <w:right w:val="single" w:sz="6" w:space="0" w:color="000000"/>
            </w:tcBorders>
            <w:shd w:val="solid" w:color="EBE7E2" w:fill="auto"/>
            <w:tcMar>
              <w:top w:w="113" w:type="dxa"/>
              <w:left w:w="113" w:type="dxa"/>
              <w:bottom w:w="113" w:type="dxa"/>
              <w:right w:w="80" w:type="dxa"/>
            </w:tcMar>
          </w:tcPr>
          <w:p w14:paraId="7DB7ACC0" w14:textId="77777777" w:rsidR="006D4CA0" w:rsidRDefault="006D4CA0">
            <w:pPr>
              <w:pStyle w:val="Tabletext"/>
              <w:jc w:val="right"/>
            </w:pPr>
            <w:r>
              <w:t>$700 000</w:t>
            </w:r>
          </w:p>
        </w:tc>
      </w:tr>
      <w:tr w:rsidR="00D303ED" w14:paraId="7196FA17" w14:textId="77777777" w:rsidTr="00D303ED">
        <w:trPr>
          <w:trHeight w:val="60"/>
        </w:trPr>
        <w:tc>
          <w:tcPr>
            <w:tcW w:w="2064" w:type="dxa"/>
            <w:tcBorders>
              <w:top w:val="single" w:sz="2" w:space="0" w:color="8A8A84"/>
              <w:left w:val="single" w:sz="6" w:space="0" w:color="FFFFFF"/>
              <w:bottom w:val="single" w:sz="2" w:space="0" w:color="8A8A84"/>
              <w:right w:val="single" w:sz="6" w:space="0" w:color="000000"/>
            </w:tcBorders>
            <w:shd w:val="solid" w:color="EBE7E2" w:fill="auto"/>
            <w:tcMar>
              <w:top w:w="113" w:type="dxa"/>
              <w:left w:w="113" w:type="dxa"/>
              <w:bottom w:w="113" w:type="dxa"/>
              <w:right w:w="80" w:type="dxa"/>
            </w:tcMar>
          </w:tcPr>
          <w:p w14:paraId="4F3E45DA" w14:textId="77777777" w:rsidR="006D4CA0" w:rsidRDefault="006D4CA0">
            <w:pPr>
              <w:pStyle w:val="Tabletextbold"/>
            </w:pPr>
            <w:r>
              <w:t xml:space="preserve">Early Childhood Intervention Victorian </w:t>
            </w:r>
            <w:r>
              <w:lastRenderedPageBreak/>
              <w:t>Chapter (trading as ECIA Victorian Chapter)</w:t>
            </w:r>
          </w:p>
        </w:tc>
        <w:tc>
          <w:tcPr>
            <w:tcW w:w="4740" w:type="dxa"/>
            <w:tcBorders>
              <w:top w:val="single" w:sz="2" w:space="0" w:color="8A8A84"/>
              <w:left w:val="single" w:sz="6" w:space="0" w:color="000000"/>
              <w:bottom w:val="single" w:sz="2" w:space="0" w:color="8A8A84"/>
              <w:right w:val="single" w:sz="6" w:space="0" w:color="000000"/>
            </w:tcBorders>
            <w:shd w:val="solid" w:color="EBE7E2" w:fill="auto"/>
            <w:tcMar>
              <w:top w:w="113" w:type="dxa"/>
              <w:left w:w="113" w:type="dxa"/>
              <w:bottom w:w="113" w:type="dxa"/>
              <w:right w:w="80" w:type="dxa"/>
            </w:tcMar>
          </w:tcPr>
          <w:p w14:paraId="230AAACB" w14:textId="77777777" w:rsidR="006D4CA0" w:rsidRDefault="006D4CA0">
            <w:pPr>
              <w:pStyle w:val="Tabletext"/>
            </w:pPr>
            <w:r>
              <w:lastRenderedPageBreak/>
              <w:t xml:space="preserve">Development of Early Childhood Early Intervention </w:t>
            </w:r>
            <w:r>
              <w:lastRenderedPageBreak/>
              <w:t xml:space="preserve">outcomes framework. </w:t>
            </w:r>
          </w:p>
        </w:tc>
        <w:tc>
          <w:tcPr>
            <w:tcW w:w="1134" w:type="dxa"/>
            <w:tcBorders>
              <w:top w:val="single" w:sz="2" w:space="0" w:color="8A8A84"/>
              <w:left w:val="single" w:sz="6" w:space="0" w:color="000000"/>
              <w:bottom w:val="single" w:sz="2" w:space="0" w:color="8A8A84"/>
              <w:right w:val="single" w:sz="6" w:space="0" w:color="FFFFFF"/>
            </w:tcBorders>
            <w:shd w:val="solid" w:color="EBE7E2" w:fill="auto"/>
            <w:tcMar>
              <w:top w:w="113" w:type="dxa"/>
              <w:left w:w="113" w:type="dxa"/>
              <w:bottom w:w="113" w:type="dxa"/>
              <w:right w:w="80" w:type="dxa"/>
            </w:tcMar>
          </w:tcPr>
          <w:p w14:paraId="6B46E51E" w14:textId="77777777" w:rsidR="006D4CA0" w:rsidRDefault="006D4CA0">
            <w:pPr>
              <w:pStyle w:val="Tabletext"/>
            </w:pPr>
            <w:r>
              <w:lastRenderedPageBreak/>
              <w:t>CICD</w:t>
            </w:r>
          </w:p>
        </w:tc>
        <w:tc>
          <w:tcPr>
            <w:tcW w:w="1560" w:type="dxa"/>
            <w:tcBorders>
              <w:top w:val="single" w:sz="2" w:space="0" w:color="8A8A84"/>
              <w:left w:val="single" w:sz="6" w:space="0" w:color="FFFFFF"/>
              <w:bottom w:val="single" w:sz="2" w:space="0" w:color="8A8A84"/>
              <w:right w:val="single" w:sz="6" w:space="0" w:color="000000"/>
            </w:tcBorders>
            <w:shd w:val="solid" w:color="EBE7E2" w:fill="auto"/>
            <w:tcMar>
              <w:top w:w="113" w:type="dxa"/>
              <w:left w:w="113" w:type="dxa"/>
              <w:bottom w:w="113" w:type="dxa"/>
              <w:right w:w="80" w:type="dxa"/>
            </w:tcMar>
          </w:tcPr>
          <w:p w14:paraId="19D092A8" w14:textId="77777777" w:rsidR="006D4CA0" w:rsidRDefault="006D4CA0">
            <w:pPr>
              <w:pStyle w:val="Tabletext"/>
              <w:jc w:val="right"/>
            </w:pPr>
            <w:r>
              <w:t>$40 000</w:t>
            </w:r>
          </w:p>
        </w:tc>
      </w:tr>
      <w:tr w:rsidR="00D303ED" w14:paraId="1A55844E" w14:textId="77777777" w:rsidTr="00D303ED">
        <w:trPr>
          <w:trHeight w:val="60"/>
        </w:trPr>
        <w:tc>
          <w:tcPr>
            <w:tcW w:w="2064" w:type="dxa"/>
            <w:tcBorders>
              <w:top w:val="single" w:sz="2" w:space="0" w:color="8A8A84"/>
              <w:left w:val="single" w:sz="6" w:space="0" w:color="FFFFFF"/>
              <w:bottom w:val="single" w:sz="2" w:space="0" w:color="8A8A84"/>
              <w:right w:val="single" w:sz="6" w:space="0" w:color="000000"/>
            </w:tcBorders>
            <w:shd w:val="solid" w:color="EBE7E2" w:fill="auto"/>
            <w:tcMar>
              <w:top w:w="113" w:type="dxa"/>
              <w:left w:w="113" w:type="dxa"/>
              <w:bottom w:w="113" w:type="dxa"/>
              <w:right w:w="80" w:type="dxa"/>
            </w:tcMar>
          </w:tcPr>
          <w:p w14:paraId="48053400" w14:textId="77777777" w:rsidR="006D4CA0" w:rsidRDefault="006D4CA0">
            <w:pPr>
              <w:pStyle w:val="Tabletextbold"/>
            </w:pPr>
            <w:r>
              <w:lastRenderedPageBreak/>
              <w:t xml:space="preserve">Early Childhood Intervention Australia </w:t>
            </w:r>
          </w:p>
        </w:tc>
        <w:tc>
          <w:tcPr>
            <w:tcW w:w="4740" w:type="dxa"/>
            <w:tcBorders>
              <w:top w:val="single" w:sz="2" w:space="0" w:color="8A8A84"/>
              <w:left w:val="single" w:sz="6" w:space="0" w:color="000000"/>
              <w:bottom w:val="single" w:sz="2" w:space="0" w:color="8A8A84"/>
              <w:right w:val="single" w:sz="6" w:space="0" w:color="000000"/>
            </w:tcBorders>
            <w:shd w:val="solid" w:color="EBE7E2" w:fill="auto"/>
            <w:tcMar>
              <w:top w:w="113" w:type="dxa"/>
              <w:left w:w="113" w:type="dxa"/>
              <w:bottom w:w="113" w:type="dxa"/>
              <w:right w:w="80" w:type="dxa"/>
            </w:tcMar>
          </w:tcPr>
          <w:p w14:paraId="0AA8B05B" w14:textId="77777777" w:rsidR="006D4CA0" w:rsidRDefault="006D4CA0">
            <w:pPr>
              <w:pStyle w:val="Tabletext"/>
            </w:pPr>
            <w:r>
              <w:t xml:space="preserve">To support service providers to work with families to develop their capacity to enhance their child’s learning and development (aged 0 to 8 years in SA) which may delay or prevent the need for ongoing specialist disability funded supports. </w:t>
            </w:r>
          </w:p>
        </w:tc>
        <w:tc>
          <w:tcPr>
            <w:tcW w:w="1134" w:type="dxa"/>
            <w:tcBorders>
              <w:top w:val="single" w:sz="2" w:space="0" w:color="8A8A84"/>
              <w:left w:val="single" w:sz="6" w:space="0" w:color="000000"/>
              <w:bottom w:val="single" w:sz="2" w:space="0" w:color="8A8A84"/>
              <w:right w:val="single" w:sz="6" w:space="0" w:color="FFFFFF"/>
            </w:tcBorders>
            <w:shd w:val="solid" w:color="EBE7E2" w:fill="auto"/>
            <w:tcMar>
              <w:top w:w="113" w:type="dxa"/>
              <w:left w:w="113" w:type="dxa"/>
              <w:bottom w:w="113" w:type="dxa"/>
              <w:right w:w="80" w:type="dxa"/>
            </w:tcMar>
          </w:tcPr>
          <w:p w14:paraId="04824A0F" w14:textId="77777777" w:rsidR="006D4CA0" w:rsidRDefault="006D4CA0">
            <w:pPr>
              <w:pStyle w:val="Tabletext"/>
            </w:pPr>
            <w:r>
              <w:t>CICD</w:t>
            </w:r>
          </w:p>
        </w:tc>
        <w:tc>
          <w:tcPr>
            <w:tcW w:w="1560" w:type="dxa"/>
            <w:tcBorders>
              <w:top w:val="single" w:sz="2" w:space="0" w:color="8A8A84"/>
              <w:left w:val="single" w:sz="6" w:space="0" w:color="FFFFFF"/>
              <w:bottom w:val="single" w:sz="2" w:space="0" w:color="8A8A84"/>
              <w:right w:val="single" w:sz="6" w:space="0" w:color="000000"/>
            </w:tcBorders>
            <w:shd w:val="solid" w:color="EBE7E2" w:fill="auto"/>
            <w:tcMar>
              <w:top w:w="113" w:type="dxa"/>
              <w:left w:w="113" w:type="dxa"/>
              <w:bottom w:w="113" w:type="dxa"/>
              <w:right w:w="80" w:type="dxa"/>
            </w:tcMar>
          </w:tcPr>
          <w:p w14:paraId="155FE15E" w14:textId="77777777" w:rsidR="006D4CA0" w:rsidRDefault="006D4CA0">
            <w:pPr>
              <w:pStyle w:val="Tabletext"/>
              <w:jc w:val="right"/>
            </w:pPr>
            <w:r>
              <w:t>$250 000</w:t>
            </w:r>
          </w:p>
        </w:tc>
      </w:tr>
      <w:tr w:rsidR="00D303ED" w14:paraId="69C4FD07" w14:textId="77777777" w:rsidTr="00D303ED">
        <w:trPr>
          <w:trHeight w:val="60"/>
        </w:trPr>
        <w:tc>
          <w:tcPr>
            <w:tcW w:w="2064" w:type="dxa"/>
            <w:tcBorders>
              <w:top w:val="single" w:sz="2" w:space="0" w:color="8A8A84"/>
              <w:left w:val="single" w:sz="6" w:space="0" w:color="FFFFFF"/>
              <w:bottom w:val="single" w:sz="2" w:space="0" w:color="8A8A84"/>
              <w:right w:val="single" w:sz="6" w:space="0" w:color="000000"/>
            </w:tcBorders>
            <w:shd w:val="solid" w:color="EBE7E2" w:fill="auto"/>
            <w:tcMar>
              <w:top w:w="113" w:type="dxa"/>
              <w:left w:w="113" w:type="dxa"/>
              <w:bottom w:w="113" w:type="dxa"/>
              <w:right w:w="80" w:type="dxa"/>
            </w:tcMar>
          </w:tcPr>
          <w:p w14:paraId="5DC15DCE" w14:textId="77777777" w:rsidR="006D4CA0" w:rsidRDefault="006D4CA0">
            <w:pPr>
              <w:pStyle w:val="Tabletextbold"/>
            </w:pPr>
            <w:r>
              <w:t>Early Childhood Early Intervention Australia</w:t>
            </w:r>
          </w:p>
        </w:tc>
        <w:tc>
          <w:tcPr>
            <w:tcW w:w="4740" w:type="dxa"/>
            <w:tcBorders>
              <w:top w:val="single" w:sz="2" w:space="0" w:color="8A8A84"/>
              <w:left w:val="single" w:sz="6" w:space="0" w:color="000000"/>
              <w:bottom w:val="single" w:sz="2" w:space="0" w:color="8A8A84"/>
              <w:right w:val="single" w:sz="6" w:space="0" w:color="000000"/>
            </w:tcBorders>
            <w:shd w:val="solid" w:color="EBE7E2" w:fill="auto"/>
            <w:tcMar>
              <w:top w:w="113" w:type="dxa"/>
              <w:left w:w="113" w:type="dxa"/>
              <w:bottom w:w="113" w:type="dxa"/>
              <w:right w:w="80" w:type="dxa"/>
            </w:tcMar>
          </w:tcPr>
          <w:p w14:paraId="5E388DE3" w14:textId="77777777" w:rsidR="006D4CA0" w:rsidRDefault="006D4CA0">
            <w:pPr>
              <w:pStyle w:val="Tabletext"/>
            </w:pPr>
            <w:r>
              <w:t xml:space="preserve">To expand an existing Regional Development Australia project to enable rural and remote families to develop capacity to enhance their child’s learning and development which may delay or prevent the need for ongoing specialist disability funded supports. </w:t>
            </w:r>
          </w:p>
        </w:tc>
        <w:tc>
          <w:tcPr>
            <w:tcW w:w="1134" w:type="dxa"/>
            <w:tcBorders>
              <w:top w:val="single" w:sz="2" w:space="0" w:color="8A8A84"/>
              <w:left w:val="single" w:sz="6" w:space="0" w:color="000000"/>
              <w:bottom w:val="single" w:sz="2" w:space="0" w:color="8A8A84"/>
              <w:right w:val="single" w:sz="6" w:space="0" w:color="FFFFFF"/>
            </w:tcBorders>
            <w:shd w:val="solid" w:color="EBE7E2" w:fill="auto"/>
            <w:tcMar>
              <w:top w:w="113" w:type="dxa"/>
              <w:left w:w="113" w:type="dxa"/>
              <w:bottom w:w="113" w:type="dxa"/>
              <w:right w:w="80" w:type="dxa"/>
            </w:tcMar>
          </w:tcPr>
          <w:p w14:paraId="3AA82671" w14:textId="77777777" w:rsidR="006D4CA0" w:rsidRDefault="006D4CA0">
            <w:pPr>
              <w:pStyle w:val="Tabletext"/>
            </w:pPr>
            <w:r>
              <w:t>CICD</w:t>
            </w:r>
          </w:p>
        </w:tc>
        <w:tc>
          <w:tcPr>
            <w:tcW w:w="1560" w:type="dxa"/>
            <w:tcBorders>
              <w:top w:val="single" w:sz="2" w:space="0" w:color="8A8A84"/>
              <w:left w:val="single" w:sz="6" w:space="0" w:color="FFFFFF"/>
              <w:bottom w:val="single" w:sz="2" w:space="0" w:color="8A8A84"/>
              <w:right w:val="single" w:sz="6" w:space="0" w:color="000000"/>
            </w:tcBorders>
            <w:shd w:val="solid" w:color="EBE7E2" w:fill="auto"/>
            <w:tcMar>
              <w:top w:w="113" w:type="dxa"/>
              <w:left w:w="113" w:type="dxa"/>
              <w:bottom w:w="113" w:type="dxa"/>
              <w:right w:w="80" w:type="dxa"/>
            </w:tcMar>
          </w:tcPr>
          <w:p w14:paraId="5FD782E2" w14:textId="77777777" w:rsidR="006D4CA0" w:rsidRDefault="006D4CA0">
            <w:pPr>
              <w:pStyle w:val="Tabletext"/>
              <w:jc w:val="right"/>
            </w:pPr>
            <w:r>
              <w:t>$100 000</w:t>
            </w:r>
          </w:p>
        </w:tc>
      </w:tr>
      <w:tr w:rsidR="00D303ED" w14:paraId="68499B45" w14:textId="77777777" w:rsidTr="00D303ED">
        <w:trPr>
          <w:trHeight w:val="60"/>
        </w:trPr>
        <w:tc>
          <w:tcPr>
            <w:tcW w:w="2064" w:type="dxa"/>
            <w:tcBorders>
              <w:top w:val="single" w:sz="2" w:space="0" w:color="8A8A84"/>
              <w:left w:val="single" w:sz="6" w:space="0" w:color="FFFFFF"/>
              <w:bottom w:val="single" w:sz="2" w:space="0" w:color="8A8A84"/>
              <w:right w:val="single" w:sz="6" w:space="0" w:color="000000"/>
            </w:tcBorders>
            <w:shd w:val="solid" w:color="EBE7E2" w:fill="auto"/>
            <w:tcMar>
              <w:top w:w="113" w:type="dxa"/>
              <w:left w:w="113" w:type="dxa"/>
              <w:bottom w:w="113" w:type="dxa"/>
              <w:right w:w="80" w:type="dxa"/>
            </w:tcMar>
          </w:tcPr>
          <w:p w14:paraId="452BE915" w14:textId="77777777" w:rsidR="006D4CA0" w:rsidRDefault="006D4CA0">
            <w:pPr>
              <w:pStyle w:val="Tabletextbold"/>
            </w:pPr>
            <w:r>
              <w:t xml:space="preserve">Employers Making a Difference </w:t>
            </w:r>
          </w:p>
        </w:tc>
        <w:tc>
          <w:tcPr>
            <w:tcW w:w="4740" w:type="dxa"/>
            <w:tcBorders>
              <w:top w:val="single" w:sz="2" w:space="0" w:color="8A8A84"/>
              <w:left w:val="single" w:sz="6" w:space="0" w:color="000000"/>
              <w:bottom w:val="single" w:sz="2" w:space="0" w:color="8A8A84"/>
              <w:right w:val="single" w:sz="6" w:space="0" w:color="000000"/>
            </w:tcBorders>
            <w:shd w:val="solid" w:color="EBE7E2" w:fill="auto"/>
            <w:tcMar>
              <w:top w:w="113" w:type="dxa"/>
              <w:left w:w="113" w:type="dxa"/>
              <w:bottom w:w="113" w:type="dxa"/>
              <w:right w:w="80" w:type="dxa"/>
            </w:tcMar>
          </w:tcPr>
          <w:p w14:paraId="4099A7EA" w14:textId="77777777" w:rsidR="006D4CA0" w:rsidRDefault="006D4CA0">
            <w:pPr>
              <w:pStyle w:val="Tabletext"/>
            </w:pPr>
            <w:r>
              <w:t xml:space="preserve">Develop and implement an Access and Inclusion Index that will assist businesses to understand effective access and inclusion for people with disability. </w:t>
            </w:r>
          </w:p>
        </w:tc>
        <w:tc>
          <w:tcPr>
            <w:tcW w:w="1134" w:type="dxa"/>
            <w:tcBorders>
              <w:top w:val="single" w:sz="2" w:space="0" w:color="8A8A84"/>
              <w:left w:val="single" w:sz="6" w:space="0" w:color="000000"/>
              <w:bottom w:val="single" w:sz="2" w:space="0" w:color="8A8A84"/>
              <w:right w:val="single" w:sz="6" w:space="0" w:color="FFFFFF"/>
            </w:tcBorders>
            <w:shd w:val="solid" w:color="EBE7E2" w:fill="auto"/>
            <w:tcMar>
              <w:top w:w="113" w:type="dxa"/>
              <w:left w:w="113" w:type="dxa"/>
              <w:bottom w:w="113" w:type="dxa"/>
              <w:right w:w="80" w:type="dxa"/>
            </w:tcMar>
          </w:tcPr>
          <w:p w14:paraId="61CB9B51" w14:textId="77777777" w:rsidR="006D4CA0" w:rsidRDefault="006D4CA0">
            <w:pPr>
              <w:pStyle w:val="Tabletext"/>
            </w:pPr>
            <w:r>
              <w:t>CICD</w:t>
            </w:r>
          </w:p>
        </w:tc>
        <w:tc>
          <w:tcPr>
            <w:tcW w:w="1560" w:type="dxa"/>
            <w:tcBorders>
              <w:top w:val="single" w:sz="2" w:space="0" w:color="8A8A84"/>
              <w:left w:val="single" w:sz="6" w:space="0" w:color="FFFFFF"/>
              <w:bottom w:val="single" w:sz="2" w:space="0" w:color="8A8A84"/>
              <w:right w:val="single" w:sz="6" w:space="0" w:color="000000"/>
            </w:tcBorders>
            <w:shd w:val="solid" w:color="EBE7E2" w:fill="auto"/>
            <w:tcMar>
              <w:top w:w="113" w:type="dxa"/>
              <w:left w:w="113" w:type="dxa"/>
              <w:bottom w:w="113" w:type="dxa"/>
              <w:right w:w="80" w:type="dxa"/>
            </w:tcMar>
          </w:tcPr>
          <w:p w14:paraId="5B124E10" w14:textId="77777777" w:rsidR="006D4CA0" w:rsidRDefault="006D4CA0">
            <w:pPr>
              <w:pStyle w:val="Tabletext"/>
              <w:jc w:val="right"/>
            </w:pPr>
            <w:r>
              <w:t>$110 000</w:t>
            </w:r>
          </w:p>
        </w:tc>
      </w:tr>
      <w:tr w:rsidR="00D303ED" w14:paraId="47D9BE98" w14:textId="77777777" w:rsidTr="00D303ED">
        <w:trPr>
          <w:trHeight w:val="60"/>
        </w:trPr>
        <w:tc>
          <w:tcPr>
            <w:tcW w:w="2064" w:type="dxa"/>
            <w:tcBorders>
              <w:top w:val="single" w:sz="2" w:space="0" w:color="8A8A84"/>
              <w:left w:val="single" w:sz="6" w:space="0" w:color="FFFFFF"/>
              <w:bottom w:val="single" w:sz="2" w:space="0" w:color="8A8A84"/>
              <w:right w:val="single" w:sz="6" w:space="0" w:color="000000"/>
            </w:tcBorders>
            <w:shd w:val="solid" w:color="EBE7E2" w:fill="auto"/>
            <w:tcMar>
              <w:top w:w="113" w:type="dxa"/>
              <w:left w:w="113" w:type="dxa"/>
              <w:bottom w:w="113" w:type="dxa"/>
              <w:right w:w="80" w:type="dxa"/>
            </w:tcMar>
          </w:tcPr>
          <w:p w14:paraId="6AD68FA3" w14:textId="77777777" w:rsidR="006D4CA0" w:rsidRDefault="006D4CA0">
            <w:pPr>
              <w:pStyle w:val="Tabletextbold"/>
            </w:pPr>
            <w:r>
              <w:t xml:space="preserve">Geelong Ethnic Communities Council (trading as </w:t>
            </w:r>
            <w:proofErr w:type="spellStart"/>
            <w:r>
              <w:t>Diversitat</w:t>
            </w:r>
            <w:proofErr w:type="spellEnd"/>
            <w:r>
              <w:t xml:space="preserve">) </w:t>
            </w:r>
          </w:p>
        </w:tc>
        <w:tc>
          <w:tcPr>
            <w:tcW w:w="4740" w:type="dxa"/>
            <w:tcBorders>
              <w:top w:val="single" w:sz="2" w:space="0" w:color="8A8A84"/>
              <w:left w:val="single" w:sz="6" w:space="0" w:color="000000"/>
              <w:bottom w:val="single" w:sz="2" w:space="0" w:color="8A8A84"/>
              <w:right w:val="single" w:sz="6" w:space="0" w:color="000000"/>
            </w:tcBorders>
            <w:shd w:val="solid" w:color="EBE7E2" w:fill="auto"/>
            <w:tcMar>
              <w:top w:w="113" w:type="dxa"/>
              <w:left w:w="113" w:type="dxa"/>
              <w:bottom w:w="113" w:type="dxa"/>
              <w:right w:w="80" w:type="dxa"/>
            </w:tcMar>
          </w:tcPr>
          <w:p w14:paraId="44515DCB" w14:textId="77777777" w:rsidR="006D4CA0" w:rsidRDefault="006D4CA0">
            <w:pPr>
              <w:pStyle w:val="Tabletext"/>
            </w:pPr>
            <w:r>
              <w:t>Develop an alternate approach to engaging the homeless and those living in Supported Residential Services (including those who do not recognise their own disability or maintain evidence of disability).</w:t>
            </w:r>
          </w:p>
        </w:tc>
        <w:tc>
          <w:tcPr>
            <w:tcW w:w="1134" w:type="dxa"/>
            <w:tcBorders>
              <w:top w:val="single" w:sz="2" w:space="0" w:color="8A8A84"/>
              <w:left w:val="single" w:sz="6" w:space="0" w:color="000000"/>
              <w:bottom w:val="single" w:sz="2" w:space="0" w:color="8A8A84"/>
              <w:right w:val="single" w:sz="6" w:space="0" w:color="FFFFFF"/>
            </w:tcBorders>
            <w:shd w:val="solid" w:color="EBE7E2" w:fill="auto"/>
            <w:tcMar>
              <w:top w:w="113" w:type="dxa"/>
              <w:left w:w="113" w:type="dxa"/>
              <w:bottom w:w="113" w:type="dxa"/>
              <w:right w:w="80" w:type="dxa"/>
            </w:tcMar>
          </w:tcPr>
          <w:p w14:paraId="00881F13" w14:textId="77777777" w:rsidR="006D4CA0" w:rsidRDefault="006D4CA0">
            <w:pPr>
              <w:pStyle w:val="Tabletext"/>
            </w:pPr>
            <w:r>
              <w:t>CICD</w:t>
            </w:r>
          </w:p>
        </w:tc>
        <w:tc>
          <w:tcPr>
            <w:tcW w:w="1560" w:type="dxa"/>
            <w:tcBorders>
              <w:top w:val="single" w:sz="2" w:space="0" w:color="8A8A84"/>
              <w:left w:val="single" w:sz="6" w:space="0" w:color="FFFFFF"/>
              <w:bottom w:val="single" w:sz="2" w:space="0" w:color="8A8A84"/>
              <w:right w:val="single" w:sz="6" w:space="0" w:color="000000"/>
            </w:tcBorders>
            <w:shd w:val="solid" w:color="EBE7E2" w:fill="auto"/>
            <w:tcMar>
              <w:top w:w="113" w:type="dxa"/>
              <w:left w:w="113" w:type="dxa"/>
              <w:bottom w:w="113" w:type="dxa"/>
              <w:right w:w="80" w:type="dxa"/>
            </w:tcMar>
          </w:tcPr>
          <w:p w14:paraId="011CC5B7" w14:textId="77777777" w:rsidR="006D4CA0" w:rsidRDefault="006D4CA0">
            <w:pPr>
              <w:pStyle w:val="Tabletext"/>
              <w:jc w:val="right"/>
            </w:pPr>
            <w:r>
              <w:t>$150 000</w:t>
            </w:r>
          </w:p>
        </w:tc>
      </w:tr>
      <w:tr w:rsidR="00D303ED" w14:paraId="7AA561C8" w14:textId="77777777" w:rsidTr="00D303ED">
        <w:trPr>
          <w:trHeight w:val="60"/>
        </w:trPr>
        <w:tc>
          <w:tcPr>
            <w:tcW w:w="2064" w:type="dxa"/>
            <w:tcBorders>
              <w:top w:val="single" w:sz="2" w:space="0" w:color="8A8A84"/>
              <w:left w:val="single" w:sz="6" w:space="0" w:color="FFFFFF"/>
              <w:bottom w:val="single" w:sz="2" w:space="0" w:color="8A8A84"/>
              <w:right w:val="single" w:sz="6" w:space="0" w:color="000000"/>
            </w:tcBorders>
            <w:shd w:val="solid" w:color="EBE7E2" w:fill="auto"/>
            <w:tcMar>
              <w:top w:w="113" w:type="dxa"/>
              <w:left w:w="113" w:type="dxa"/>
              <w:bottom w:w="113" w:type="dxa"/>
              <w:right w:w="80" w:type="dxa"/>
            </w:tcMar>
          </w:tcPr>
          <w:p w14:paraId="0771ACA4" w14:textId="77777777" w:rsidR="006D4CA0" w:rsidRDefault="006D4CA0">
            <w:pPr>
              <w:pStyle w:val="Tabletextbold"/>
            </w:pPr>
            <w:r>
              <w:t xml:space="preserve">Hawkesbury Early Childhood Intervention Services </w:t>
            </w:r>
            <w:proofErr w:type="spellStart"/>
            <w:r>
              <w:t>Inc</w:t>
            </w:r>
            <w:proofErr w:type="spellEnd"/>
            <w:r>
              <w:t xml:space="preserve"> </w:t>
            </w:r>
          </w:p>
        </w:tc>
        <w:tc>
          <w:tcPr>
            <w:tcW w:w="4740" w:type="dxa"/>
            <w:tcBorders>
              <w:top w:val="single" w:sz="2" w:space="0" w:color="8A8A84"/>
              <w:left w:val="single" w:sz="6" w:space="0" w:color="000000"/>
              <w:bottom w:val="single" w:sz="2" w:space="0" w:color="8A8A84"/>
              <w:right w:val="single" w:sz="6" w:space="0" w:color="000000"/>
            </w:tcBorders>
            <w:shd w:val="solid" w:color="EBE7E2" w:fill="auto"/>
            <w:tcMar>
              <w:top w:w="113" w:type="dxa"/>
              <w:left w:w="113" w:type="dxa"/>
              <w:bottom w:w="113" w:type="dxa"/>
              <w:right w:w="80" w:type="dxa"/>
            </w:tcMar>
          </w:tcPr>
          <w:p w14:paraId="2EF8CB86" w14:textId="77777777" w:rsidR="006D4CA0" w:rsidRDefault="006D4CA0">
            <w:pPr>
              <w:pStyle w:val="Tabletext"/>
            </w:pPr>
            <w:r>
              <w:t>Enable families to develop capacity to enhance their child’s learning and development which may delay or prevent the need for ongoing specialist disability funded supports.</w:t>
            </w:r>
          </w:p>
        </w:tc>
        <w:tc>
          <w:tcPr>
            <w:tcW w:w="1134" w:type="dxa"/>
            <w:tcBorders>
              <w:top w:val="single" w:sz="2" w:space="0" w:color="8A8A84"/>
              <w:left w:val="single" w:sz="6" w:space="0" w:color="000000"/>
              <w:bottom w:val="single" w:sz="2" w:space="0" w:color="8A8A84"/>
              <w:right w:val="single" w:sz="6" w:space="0" w:color="FFFFFF"/>
            </w:tcBorders>
            <w:shd w:val="solid" w:color="EBE7E2" w:fill="auto"/>
            <w:tcMar>
              <w:top w:w="113" w:type="dxa"/>
              <w:left w:w="113" w:type="dxa"/>
              <w:bottom w:w="113" w:type="dxa"/>
              <w:right w:w="80" w:type="dxa"/>
            </w:tcMar>
          </w:tcPr>
          <w:p w14:paraId="19A49326" w14:textId="77777777" w:rsidR="006D4CA0" w:rsidRDefault="006D4CA0">
            <w:pPr>
              <w:pStyle w:val="Tabletext"/>
            </w:pPr>
            <w:r>
              <w:t>CICD</w:t>
            </w:r>
          </w:p>
        </w:tc>
        <w:tc>
          <w:tcPr>
            <w:tcW w:w="1560" w:type="dxa"/>
            <w:tcBorders>
              <w:top w:val="single" w:sz="2" w:space="0" w:color="8A8A84"/>
              <w:left w:val="single" w:sz="6" w:space="0" w:color="FFFFFF"/>
              <w:bottom w:val="single" w:sz="2" w:space="0" w:color="8A8A84"/>
              <w:right w:val="single" w:sz="6" w:space="0" w:color="000000"/>
            </w:tcBorders>
            <w:shd w:val="solid" w:color="EBE7E2" w:fill="auto"/>
            <w:tcMar>
              <w:top w:w="113" w:type="dxa"/>
              <w:left w:w="113" w:type="dxa"/>
              <w:bottom w:w="113" w:type="dxa"/>
              <w:right w:w="80" w:type="dxa"/>
            </w:tcMar>
          </w:tcPr>
          <w:p w14:paraId="59ADC682" w14:textId="77777777" w:rsidR="006D4CA0" w:rsidRDefault="006D4CA0">
            <w:pPr>
              <w:pStyle w:val="Tabletext"/>
              <w:jc w:val="right"/>
            </w:pPr>
            <w:r>
              <w:t>$170 000</w:t>
            </w:r>
          </w:p>
        </w:tc>
      </w:tr>
      <w:tr w:rsidR="00D303ED" w14:paraId="1FF0AF63" w14:textId="77777777" w:rsidTr="00D303ED">
        <w:trPr>
          <w:trHeight w:val="60"/>
        </w:trPr>
        <w:tc>
          <w:tcPr>
            <w:tcW w:w="2064" w:type="dxa"/>
            <w:tcBorders>
              <w:top w:val="single" w:sz="2" w:space="0" w:color="8A8A84"/>
              <w:left w:val="single" w:sz="6" w:space="0" w:color="FFFFFF"/>
              <w:bottom w:val="single" w:sz="2" w:space="0" w:color="8A8A84"/>
              <w:right w:val="single" w:sz="6" w:space="0" w:color="000000"/>
            </w:tcBorders>
            <w:shd w:val="solid" w:color="EBE7E2" w:fill="auto"/>
            <w:tcMar>
              <w:top w:w="113" w:type="dxa"/>
              <w:left w:w="113" w:type="dxa"/>
              <w:bottom w:w="113" w:type="dxa"/>
              <w:right w:w="80" w:type="dxa"/>
            </w:tcMar>
          </w:tcPr>
          <w:p w14:paraId="35A53FD3" w14:textId="77777777" w:rsidR="006D4CA0" w:rsidRDefault="006D4CA0">
            <w:pPr>
              <w:pStyle w:val="Tabletextbold"/>
            </w:pPr>
            <w:r>
              <w:t xml:space="preserve">Independent Living Centres WA </w:t>
            </w:r>
            <w:proofErr w:type="spellStart"/>
            <w:r>
              <w:t>Inc</w:t>
            </w:r>
            <w:proofErr w:type="spellEnd"/>
          </w:p>
        </w:tc>
        <w:tc>
          <w:tcPr>
            <w:tcW w:w="4740" w:type="dxa"/>
            <w:tcBorders>
              <w:top w:val="single" w:sz="2" w:space="0" w:color="8A8A84"/>
              <w:left w:val="single" w:sz="6" w:space="0" w:color="000000"/>
              <w:bottom w:val="single" w:sz="2" w:space="0" w:color="8A8A84"/>
              <w:right w:val="single" w:sz="6" w:space="0" w:color="000000"/>
            </w:tcBorders>
            <w:shd w:val="solid" w:color="EBE7E2" w:fill="auto"/>
            <w:tcMar>
              <w:top w:w="113" w:type="dxa"/>
              <w:left w:w="113" w:type="dxa"/>
              <w:bottom w:w="113" w:type="dxa"/>
              <w:right w:w="80" w:type="dxa"/>
            </w:tcMar>
          </w:tcPr>
          <w:p w14:paraId="1F8E5965" w14:textId="77777777" w:rsidR="006D4CA0" w:rsidRDefault="006D4CA0">
            <w:pPr>
              <w:pStyle w:val="Tabletext"/>
            </w:pPr>
            <w:r>
              <w:t xml:space="preserve">Upgrade and make available to the general public a database providing advice on assistive technology options. </w:t>
            </w:r>
          </w:p>
        </w:tc>
        <w:tc>
          <w:tcPr>
            <w:tcW w:w="1134" w:type="dxa"/>
            <w:tcBorders>
              <w:top w:val="single" w:sz="2" w:space="0" w:color="8A8A84"/>
              <w:left w:val="single" w:sz="6" w:space="0" w:color="000000"/>
              <w:bottom w:val="single" w:sz="2" w:space="0" w:color="8A8A84"/>
              <w:right w:val="single" w:sz="6" w:space="0" w:color="FFFFFF"/>
            </w:tcBorders>
            <w:shd w:val="solid" w:color="EBE7E2" w:fill="auto"/>
            <w:tcMar>
              <w:top w:w="113" w:type="dxa"/>
              <w:left w:w="113" w:type="dxa"/>
              <w:bottom w:w="113" w:type="dxa"/>
              <w:right w:w="80" w:type="dxa"/>
            </w:tcMar>
          </w:tcPr>
          <w:p w14:paraId="33084611" w14:textId="77777777" w:rsidR="006D4CA0" w:rsidRDefault="006D4CA0">
            <w:pPr>
              <w:pStyle w:val="Tabletext"/>
            </w:pPr>
            <w:r>
              <w:t>CICD</w:t>
            </w:r>
          </w:p>
        </w:tc>
        <w:tc>
          <w:tcPr>
            <w:tcW w:w="1560" w:type="dxa"/>
            <w:tcBorders>
              <w:top w:val="single" w:sz="2" w:space="0" w:color="8A8A84"/>
              <w:left w:val="single" w:sz="6" w:space="0" w:color="FFFFFF"/>
              <w:bottom w:val="single" w:sz="2" w:space="0" w:color="8A8A84"/>
              <w:right w:val="single" w:sz="6" w:space="0" w:color="000000"/>
            </w:tcBorders>
            <w:shd w:val="solid" w:color="EBE7E2" w:fill="auto"/>
            <w:tcMar>
              <w:top w:w="113" w:type="dxa"/>
              <w:left w:w="113" w:type="dxa"/>
              <w:bottom w:w="113" w:type="dxa"/>
              <w:right w:w="80" w:type="dxa"/>
            </w:tcMar>
          </w:tcPr>
          <w:p w14:paraId="5F74D3DD" w14:textId="77777777" w:rsidR="006D4CA0" w:rsidRDefault="006D4CA0">
            <w:pPr>
              <w:pStyle w:val="Tabletext"/>
              <w:jc w:val="right"/>
            </w:pPr>
            <w:r>
              <w:t>$122 400</w:t>
            </w:r>
          </w:p>
        </w:tc>
      </w:tr>
      <w:tr w:rsidR="00D303ED" w14:paraId="26F6501C" w14:textId="77777777" w:rsidTr="00D303ED">
        <w:trPr>
          <w:trHeight w:val="60"/>
        </w:trPr>
        <w:tc>
          <w:tcPr>
            <w:tcW w:w="2064" w:type="dxa"/>
            <w:tcBorders>
              <w:top w:val="single" w:sz="2" w:space="0" w:color="8A8A84"/>
              <w:left w:val="single" w:sz="6" w:space="0" w:color="FFFFFF"/>
              <w:bottom w:val="single" w:sz="2" w:space="0" w:color="8A8A84"/>
              <w:right w:val="single" w:sz="6" w:space="0" w:color="000000"/>
            </w:tcBorders>
            <w:shd w:val="solid" w:color="EBE7E2" w:fill="auto"/>
            <w:tcMar>
              <w:top w:w="113" w:type="dxa"/>
              <w:left w:w="113" w:type="dxa"/>
              <w:bottom w:w="113" w:type="dxa"/>
              <w:right w:w="80" w:type="dxa"/>
            </w:tcMar>
          </w:tcPr>
          <w:p w14:paraId="6F85243B" w14:textId="77777777" w:rsidR="006D4CA0" w:rsidRDefault="006D4CA0">
            <w:pPr>
              <w:pStyle w:val="Tabletextbold"/>
            </w:pPr>
            <w:proofErr w:type="spellStart"/>
            <w:r>
              <w:t>Julalikari</w:t>
            </w:r>
            <w:proofErr w:type="spellEnd"/>
            <w:r>
              <w:t xml:space="preserve"> Council Aboriginal Corporation </w:t>
            </w:r>
          </w:p>
        </w:tc>
        <w:tc>
          <w:tcPr>
            <w:tcW w:w="4740" w:type="dxa"/>
            <w:tcBorders>
              <w:top w:val="single" w:sz="2" w:space="0" w:color="8A8A84"/>
              <w:left w:val="single" w:sz="6" w:space="0" w:color="000000"/>
              <w:bottom w:val="single" w:sz="2" w:space="0" w:color="8A8A84"/>
              <w:right w:val="single" w:sz="6" w:space="0" w:color="000000"/>
            </w:tcBorders>
            <w:shd w:val="solid" w:color="EBE7E2" w:fill="auto"/>
            <w:tcMar>
              <w:top w:w="113" w:type="dxa"/>
              <w:left w:w="113" w:type="dxa"/>
              <w:bottom w:w="113" w:type="dxa"/>
              <w:right w:w="80" w:type="dxa"/>
            </w:tcMar>
          </w:tcPr>
          <w:p w14:paraId="61CBDF45" w14:textId="77777777" w:rsidR="006D4CA0" w:rsidRDefault="006D4CA0">
            <w:pPr>
              <w:pStyle w:val="Tabletext"/>
            </w:pPr>
            <w:r>
              <w:t xml:space="preserve">Improve Agency engagement with this remote Indigenous community. </w:t>
            </w:r>
          </w:p>
        </w:tc>
        <w:tc>
          <w:tcPr>
            <w:tcW w:w="1134" w:type="dxa"/>
            <w:tcBorders>
              <w:top w:val="single" w:sz="2" w:space="0" w:color="8A8A84"/>
              <w:left w:val="single" w:sz="6" w:space="0" w:color="000000"/>
              <w:bottom w:val="single" w:sz="2" w:space="0" w:color="8A8A84"/>
              <w:right w:val="single" w:sz="6" w:space="0" w:color="FFFFFF"/>
            </w:tcBorders>
            <w:shd w:val="solid" w:color="EBE7E2" w:fill="auto"/>
            <w:tcMar>
              <w:top w:w="113" w:type="dxa"/>
              <w:left w:w="113" w:type="dxa"/>
              <w:bottom w:w="113" w:type="dxa"/>
              <w:right w:w="80" w:type="dxa"/>
            </w:tcMar>
          </w:tcPr>
          <w:p w14:paraId="65415360" w14:textId="77777777" w:rsidR="006D4CA0" w:rsidRDefault="006D4CA0">
            <w:pPr>
              <w:pStyle w:val="Tabletext"/>
            </w:pPr>
            <w:r>
              <w:t>CICD</w:t>
            </w:r>
          </w:p>
        </w:tc>
        <w:tc>
          <w:tcPr>
            <w:tcW w:w="1560" w:type="dxa"/>
            <w:tcBorders>
              <w:top w:val="single" w:sz="2" w:space="0" w:color="8A8A84"/>
              <w:left w:val="single" w:sz="6" w:space="0" w:color="FFFFFF"/>
              <w:bottom w:val="single" w:sz="2" w:space="0" w:color="8A8A84"/>
              <w:right w:val="single" w:sz="6" w:space="0" w:color="000000"/>
            </w:tcBorders>
            <w:shd w:val="solid" w:color="EBE7E2" w:fill="auto"/>
            <w:tcMar>
              <w:top w:w="113" w:type="dxa"/>
              <w:left w:w="113" w:type="dxa"/>
              <w:bottom w:w="113" w:type="dxa"/>
              <w:right w:w="80" w:type="dxa"/>
            </w:tcMar>
          </w:tcPr>
          <w:p w14:paraId="162866A4" w14:textId="77777777" w:rsidR="006D4CA0" w:rsidRDefault="006D4CA0">
            <w:pPr>
              <w:pStyle w:val="Tabletext"/>
              <w:jc w:val="right"/>
            </w:pPr>
            <w:r>
              <w:t>$90 000</w:t>
            </w:r>
          </w:p>
        </w:tc>
      </w:tr>
      <w:tr w:rsidR="00D303ED" w14:paraId="0905BB38" w14:textId="77777777" w:rsidTr="00D303ED">
        <w:trPr>
          <w:trHeight w:val="60"/>
        </w:trPr>
        <w:tc>
          <w:tcPr>
            <w:tcW w:w="2064" w:type="dxa"/>
            <w:tcBorders>
              <w:top w:val="single" w:sz="2" w:space="0" w:color="8A8A84"/>
              <w:left w:val="single" w:sz="6" w:space="0" w:color="FFFFFF"/>
              <w:bottom w:val="single" w:sz="2" w:space="0" w:color="8A8A84"/>
              <w:right w:val="single" w:sz="6" w:space="0" w:color="000000"/>
            </w:tcBorders>
            <w:shd w:val="solid" w:color="EBE7E2" w:fill="auto"/>
            <w:tcMar>
              <w:top w:w="113" w:type="dxa"/>
              <w:left w:w="113" w:type="dxa"/>
              <w:bottom w:w="113" w:type="dxa"/>
              <w:right w:w="80" w:type="dxa"/>
            </w:tcMar>
          </w:tcPr>
          <w:p w14:paraId="526C144B" w14:textId="77777777" w:rsidR="006D4CA0" w:rsidRDefault="006D4CA0">
            <w:pPr>
              <w:pStyle w:val="Tabletextbold"/>
            </w:pPr>
            <w:r>
              <w:t xml:space="preserve">Julia Farr Association </w:t>
            </w:r>
            <w:proofErr w:type="spellStart"/>
            <w:r>
              <w:t>Inc</w:t>
            </w:r>
            <w:proofErr w:type="spellEnd"/>
            <w:r>
              <w:t xml:space="preserve"> (trading as JFA Purple Orange)</w:t>
            </w:r>
          </w:p>
        </w:tc>
        <w:tc>
          <w:tcPr>
            <w:tcW w:w="4740" w:type="dxa"/>
            <w:tcBorders>
              <w:top w:val="single" w:sz="2" w:space="0" w:color="8A8A84"/>
              <w:left w:val="single" w:sz="6" w:space="0" w:color="000000"/>
              <w:bottom w:val="single" w:sz="2" w:space="0" w:color="8A8A84"/>
              <w:right w:val="single" w:sz="6" w:space="0" w:color="000000"/>
            </w:tcBorders>
            <w:shd w:val="solid" w:color="EBE7E2" w:fill="auto"/>
            <w:tcMar>
              <w:top w:w="113" w:type="dxa"/>
              <w:left w:w="113" w:type="dxa"/>
              <w:bottom w:w="113" w:type="dxa"/>
              <w:right w:w="80" w:type="dxa"/>
            </w:tcMar>
          </w:tcPr>
          <w:p w14:paraId="17535E16" w14:textId="77777777" w:rsidR="006D4CA0" w:rsidRDefault="006D4CA0">
            <w:pPr>
              <w:pStyle w:val="Tabletext"/>
            </w:pPr>
            <w:r>
              <w:t>NDIS capability and confidence workshops.</w:t>
            </w:r>
          </w:p>
        </w:tc>
        <w:tc>
          <w:tcPr>
            <w:tcW w:w="1134" w:type="dxa"/>
            <w:tcBorders>
              <w:top w:val="single" w:sz="2" w:space="0" w:color="8A8A84"/>
              <w:left w:val="single" w:sz="6" w:space="0" w:color="000000"/>
              <w:bottom w:val="single" w:sz="2" w:space="0" w:color="8A8A84"/>
              <w:right w:val="single" w:sz="6" w:space="0" w:color="FFFFFF"/>
            </w:tcBorders>
            <w:shd w:val="solid" w:color="EBE7E2" w:fill="auto"/>
            <w:tcMar>
              <w:top w:w="113" w:type="dxa"/>
              <w:left w:w="113" w:type="dxa"/>
              <w:bottom w:w="113" w:type="dxa"/>
              <w:right w:w="80" w:type="dxa"/>
            </w:tcMar>
          </w:tcPr>
          <w:p w14:paraId="744D277D" w14:textId="77777777" w:rsidR="006D4CA0" w:rsidRDefault="006D4CA0">
            <w:pPr>
              <w:pStyle w:val="Tabletext"/>
            </w:pPr>
            <w:r>
              <w:t xml:space="preserve">CICD </w:t>
            </w:r>
          </w:p>
        </w:tc>
        <w:tc>
          <w:tcPr>
            <w:tcW w:w="1560" w:type="dxa"/>
            <w:tcBorders>
              <w:top w:val="single" w:sz="2" w:space="0" w:color="8A8A84"/>
              <w:left w:val="single" w:sz="6" w:space="0" w:color="FFFFFF"/>
              <w:bottom w:val="single" w:sz="2" w:space="0" w:color="8A8A84"/>
              <w:right w:val="single" w:sz="6" w:space="0" w:color="000000"/>
            </w:tcBorders>
            <w:shd w:val="solid" w:color="EBE7E2" w:fill="auto"/>
            <w:tcMar>
              <w:top w:w="113" w:type="dxa"/>
              <w:left w:w="113" w:type="dxa"/>
              <w:bottom w:w="113" w:type="dxa"/>
              <w:right w:w="80" w:type="dxa"/>
            </w:tcMar>
          </w:tcPr>
          <w:p w14:paraId="4EF0DAC6" w14:textId="77777777" w:rsidR="006D4CA0" w:rsidRDefault="006D4CA0">
            <w:pPr>
              <w:pStyle w:val="Tabletext"/>
              <w:jc w:val="right"/>
            </w:pPr>
            <w:r>
              <w:t>$41 879</w:t>
            </w:r>
          </w:p>
        </w:tc>
      </w:tr>
      <w:tr w:rsidR="00D303ED" w14:paraId="59E1C814" w14:textId="77777777" w:rsidTr="00D303ED">
        <w:trPr>
          <w:trHeight w:val="60"/>
        </w:trPr>
        <w:tc>
          <w:tcPr>
            <w:tcW w:w="2064" w:type="dxa"/>
            <w:tcBorders>
              <w:top w:val="single" w:sz="2" w:space="0" w:color="8A8A84"/>
              <w:left w:val="single" w:sz="6" w:space="0" w:color="FFFFFF"/>
              <w:bottom w:val="single" w:sz="2" w:space="0" w:color="8A8A84"/>
              <w:right w:val="single" w:sz="6" w:space="0" w:color="000000"/>
            </w:tcBorders>
            <w:shd w:val="solid" w:color="EBE7E2" w:fill="auto"/>
            <w:tcMar>
              <w:top w:w="113" w:type="dxa"/>
              <w:left w:w="113" w:type="dxa"/>
              <w:bottom w:w="113" w:type="dxa"/>
              <w:right w:w="80" w:type="dxa"/>
            </w:tcMar>
          </w:tcPr>
          <w:p w14:paraId="3BEC0C4A" w14:textId="77777777" w:rsidR="006D4CA0" w:rsidRDefault="006D4CA0">
            <w:pPr>
              <w:pStyle w:val="Tabletextbold"/>
            </w:pPr>
            <w:r>
              <w:t xml:space="preserve">Julia Farr Housing Association Inc. </w:t>
            </w:r>
          </w:p>
        </w:tc>
        <w:tc>
          <w:tcPr>
            <w:tcW w:w="4740" w:type="dxa"/>
            <w:tcBorders>
              <w:top w:val="single" w:sz="2" w:space="0" w:color="8A8A84"/>
              <w:left w:val="single" w:sz="6" w:space="0" w:color="000000"/>
              <w:bottom w:val="single" w:sz="2" w:space="0" w:color="8A8A84"/>
              <w:right w:val="single" w:sz="6" w:space="0" w:color="000000"/>
            </w:tcBorders>
            <w:shd w:val="solid" w:color="EBE7E2" w:fill="auto"/>
            <w:tcMar>
              <w:top w:w="113" w:type="dxa"/>
              <w:left w:w="113" w:type="dxa"/>
              <w:bottom w:w="113" w:type="dxa"/>
              <w:right w:w="80" w:type="dxa"/>
            </w:tcMar>
          </w:tcPr>
          <w:p w14:paraId="69A04E85" w14:textId="77777777" w:rsidR="006D4CA0" w:rsidRDefault="006D4CA0">
            <w:pPr>
              <w:pStyle w:val="Tabletext"/>
            </w:pPr>
            <w:r>
              <w:t xml:space="preserve">Arrange open-house exhibitions of contemporary housing designed for people with disability so that accommodation options can be considered by people with disability and their families. </w:t>
            </w:r>
          </w:p>
        </w:tc>
        <w:tc>
          <w:tcPr>
            <w:tcW w:w="1134" w:type="dxa"/>
            <w:tcBorders>
              <w:top w:val="single" w:sz="2" w:space="0" w:color="8A8A84"/>
              <w:left w:val="single" w:sz="6" w:space="0" w:color="000000"/>
              <w:bottom w:val="single" w:sz="2" w:space="0" w:color="8A8A84"/>
              <w:right w:val="single" w:sz="6" w:space="0" w:color="FFFFFF"/>
            </w:tcBorders>
            <w:shd w:val="solid" w:color="EBE7E2" w:fill="auto"/>
            <w:tcMar>
              <w:top w:w="113" w:type="dxa"/>
              <w:left w:w="113" w:type="dxa"/>
              <w:bottom w:w="113" w:type="dxa"/>
              <w:right w:w="80" w:type="dxa"/>
            </w:tcMar>
          </w:tcPr>
          <w:p w14:paraId="45F123C6" w14:textId="77777777" w:rsidR="006D4CA0" w:rsidRDefault="006D4CA0">
            <w:pPr>
              <w:pStyle w:val="Tabletext"/>
            </w:pPr>
            <w:r>
              <w:t xml:space="preserve">CICD </w:t>
            </w:r>
          </w:p>
        </w:tc>
        <w:tc>
          <w:tcPr>
            <w:tcW w:w="1560" w:type="dxa"/>
            <w:tcBorders>
              <w:top w:val="single" w:sz="2" w:space="0" w:color="8A8A84"/>
              <w:left w:val="single" w:sz="6" w:space="0" w:color="FFFFFF"/>
              <w:bottom w:val="single" w:sz="2" w:space="0" w:color="8A8A84"/>
              <w:right w:val="single" w:sz="6" w:space="0" w:color="000000"/>
            </w:tcBorders>
            <w:shd w:val="solid" w:color="EBE7E2" w:fill="auto"/>
            <w:tcMar>
              <w:top w:w="113" w:type="dxa"/>
              <w:left w:w="113" w:type="dxa"/>
              <w:bottom w:w="113" w:type="dxa"/>
              <w:right w:w="80" w:type="dxa"/>
            </w:tcMar>
          </w:tcPr>
          <w:p w14:paraId="4EF64C81" w14:textId="77777777" w:rsidR="006D4CA0" w:rsidRDefault="006D4CA0">
            <w:pPr>
              <w:pStyle w:val="Tabletext"/>
              <w:jc w:val="right"/>
            </w:pPr>
            <w:r>
              <w:t>$46 200</w:t>
            </w:r>
          </w:p>
        </w:tc>
      </w:tr>
      <w:tr w:rsidR="00D303ED" w14:paraId="789DA7EB" w14:textId="77777777" w:rsidTr="00D303ED">
        <w:trPr>
          <w:trHeight w:val="60"/>
        </w:trPr>
        <w:tc>
          <w:tcPr>
            <w:tcW w:w="2064" w:type="dxa"/>
            <w:tcBorders>
              <w:top w:val="single" w:sz="2" w:space="0" w:color="8A8A84"/>
              <w:left w:val="single" w:sz="6" w:space="0" w:color="FFFFFF"/>
              <w:bottom w:val="single" w:sz="2" w:space="0" w:color="8A8A84"/>
              <w:right w:val="single" w:sz="6" w:space="0" w:color="000000"/>
            </w:tcBorders>
            <w:shd w:val="solid" w:color="EBE7E2" w:fill="auto"/>
            <w:tcMar>
              <w:top w:w="113" w:type="dxa"/>
              <w:left w:w="113" w:type="dxa"/>
              <w:bottom w:w="113" w:type="dxa"/>
              <w:right w:w="80" w:type="dxa"/>
            </w:tcMar>
          </w:tcPr>
          <w:p w14:paraId="45C59197" w14:textId="77777777" w:rsidR="006D4CA0" w:rsidRDefault="006D4CA0">
            <w:pPr>
              <w:pStyle w:val="Tabletextbold"/>
            </w:pPr>
            <w:proofErr w:type="spellStart"/>
            <w:r>
              <w:lastRenderedPageBreak/>
              <w:t>Lapstone</w:t>
            </w:r>
            <w:proofErr w:type="spellEnd"/>
            <w:r>
              <w:t xml:space="preserve"> Preschool Kindergarten Association </w:t>
            </w:r>
            <w:proofErr w:type="spellStart"/>
            <w:r>
              <w:t>Inc</w:t>
            </w:r>
            <w:proofErr w:type="spellEnd"/>
            <w:r>
              <w:t xml:space="preserve"> </w:t>
            </w:r>
          </w:p>
        </w:tc>
        <w:tc>
          <w:tcPr>
            <w:tcW w:w="4740" w:type="dxa"/>
            <w:tcBorders>
              <w:top w:val="single" w:sz="2" w:space="0" w:color="8A8A84"/>
              <w:left w:val="single" w:sz="6" w:space="0" w:color="000000"/>
              <w:bottom w:val="single" w:sz="2" w:space="0" w:color="8A8A84"/>
              <w:right w:val="single" w:sz="6" w:space="0" w:color="000000"/>
            </w:tcBorders>
            <w:shd w:val="solid" w:color="EBE7E2" w:fill="auto"/>
            <w:tcMar>
              <w:top w:w="113" w:type="dxa"/>
              <w:left w:w="113" w:type="dxa"/>
              <w:bottom w:w="113" w:type="dxa"/>
              <w:right w:w="80" w:type="dxa"/>
            </w:tcMar>
          </w:tcPr>
          <w:p w14:paraId="476F1E07" w14:textId="77777777" w:rsidR="006D4CA0" w:rsidRDefault="006D4CA0">
            <w:pPr>
              <w:pStyle w:val="Tabletext"/>
            </w:pPr>
            <w:r>
              <w:t>Enable families to develop capacity to enhance their child’s learning and development which may delay or prevent the need for ongoing specialist disability funded supports.</w:t>
            </w:r>
          </w:p>
        </w:tc>
        <w:tc>
          <w:tcPr>
            <w:tcW w:w="1134" w:type="dxa"/>
            <w:tcBorders>
              <w:top w:val="single" w:sz="2" w:space="0" w:color="8A8A84"/>
              <w:left w:val="single" w:sz="6" w:space="0" w:color="000000"/>
              <w:bottom w:val="single" w:sz="2" w:space="0" w:color="8A8A84"/>
              <w:right w:val="single" w:sz="6" w:space="0" w:color="FFFFFF"/>
            </w:tcBorders>
            <w:shd w:val="solid" w:color="EBE7E2" w:fill="auto"/>
            <w:tcMar>
              <w:top w:w="113" w:type="dxa"/>
              <w:left w:w="113" w:type="dxa"/>
              <w:bottom w:w="113" w:type="dxa"/>
              <w:right w:w="80" w:type="dxa"/>
            </w:tcMar>
          </w:tcPr>
          <w:p w14:paraId="0CDFDA06" w14:textId="77777777" w:rsidR="006D4CA0" w:rsidRDefault="006D4CA0">
            <w:pPr>
              <w:pStyle w:val="Tabletext"/>
            </w:pPr>
            <w:r>
              <w:t xml:space="preserve">CICD </w:t>
            </w:r>
          </w:p>
        </w:tc>
        <w:tc>
          <w:tcPr>
            <w:tcW w:w="1560" w:type="dxa"/>
            <w:tcBorders>
              <w:top w:val="single" w:sz="2" w:space="0" w:color="8A8A84"/>
              <w:left w:val="single" w:sz="6" w:space="0" w:color="FFFFFF"/>
              <w:bottom w:val="single" w:sz="2" w:space="0" w:color="8A8A84"/>
              <w:right w:val="single" w:sz="6" w:space="0" w:color="000000"/>
            </w:tcBorders>
            <w:shd w:val="solid" w:color="EBE7E2" w:fill="auto"/>
            <w:tcMar>
              <w:top w:w="113" w:type="dxa"/>
              <w:left w:w="113" w:type="dxa"/>
              <w:bottom w:w="113" w:type="dxa"/>
              <w:right w:w="80" w:type="dxa"/>
            </w:tcMar>
          </w:tcPr>
          <w:p w14:paraId="02BBC5BD" w14:textId="77777777" w:rsidR="006D4CA0" w:rsidRDefault="006D4CA0">
            <w:pPr>
              <w:pStyle w:val="Tabletext"/>
              <w:jc w:val="right"/>
            </w:pPr>
            <w:r>
              <w:t>$187 500</w:t>
            </w:r>
          </w:p>
        </w:tc>
      </w:tr>
      <w:tr w:rsidR="00D303ED" w14:paraId="30539DFA" w14:textId="77777777" w:rsidTr="00D303ED">
        <w:trPr>
          <w:trHeight w:val="60"/>
        </w:trPr>
        <w:tc>
          <w:tcPr>
            <w:tcW w:w="2064" w:type="dxa"/>
            <w:tcBorders>
              <w:top w:val="single" w:sz="2" w:space="0" w:color="8A8A84"/>
              <w:left w:val="single" w:sz="6" w:space="0" w:color="FFFFFF"/>
              <w:bottom w:val="single" w:sz="2" w:space="0" w:color="8A8A84"/>
              <w:right w:val="single" w:sz="6" w:space="0" w:color="000000"/>
            </w:tcBorders>
            <w:shd w:val="solid" w:color="EBE7E2" w:fill="auto"/>
            <w:tcMar>
              <w:top w:w="113" w:type="dxa"/>
              <w:left w:w="113" w:type="dxa"/>
              <w:bottom w:w="113" w:type="dxa"/>
              <w:right w:w="80" w:type="dxa"/>
            </w:tcMar>
          </w:tcPr>
          <w:p w14:paraId="533FCE6B" w14:textId="77777777" w:rsidR="006D4CA0" w:rsidRDefault="006D4CA0">
            <w:pPr>
              <w:pStyle w:val="Tabletextbold"/>
            </w:pPr>
            <w:proofErr w:type="spellStart"/>
            <w:r>
              <w:t>Lifestart</w:t>
            </w:r>
            <w:proofErr w:type="spellEnd"/>
            <w:r>
              <w:t xml:space="preserve"> Cooperative Limited </w:t>
            </w:r>
          </w:p>
        </w:tc>
        <w:tc>
          <w:tcPr>
            <w:tcW w:w="4740" w:type="dxa"/>
            <w:tcBorders>
              <w:top w:val="single" w:sz="2" w:space="0" w:color="8A8A84"/>
              <w:left w:val="single" w:sz="6" w:space="0" w:color="000000"/>
              <w:bottom w:val="single" w:sz="2" w:space="0" w:color="8A8A84"/>
              <w:right w:val="single" w:sz="6" w:space="0" w:color="000000"/>
            </w:tcBorders>
            <w:shd w:val="solid" w:color="EBE7E2" w:fill="auto"/>
            <w:tcMar>
              <w:top w:w="113" w:type="dxa"/>
              <w:left w:w="113" w:type="dxa"/>
              <w:bottom w:w="113" w:type="dxa"/>
              <w:right w:w="80" w:type="dxa"/>
            </w:tcMar>
          </w:tcPr>
          <w:p w14:paraId="51DECCF1" w14:textId="77777777" w:rsidR="006D4CA0" w:rsidRDefault="006D4CA0">
            <w:pPr>
              <w:pStyle w:val="Tabletext"/>
            </w:pPr>
            <w:r>
              <w:t>Enable families to develop capacity to enhance their child’s learning and development which may delay or prevent the need for ongoing specialist disability funded supports.</w:t>
            </w:r>
          </w:p>
        </w:tc>
        <w:tc>
          <w:tcPr>
            <w:tcW w:w="1134" w:type="dxa"/>
            <w:tcBorders>
              <w:top w:val="single" w:sz="2" w:space="0" w:color="8A8A84"/>
              <w:left w:val="single" w:sz="6" w:space="0" w:color="000000"/>
              <w:bottom w:val="single" w:sz="2" w:space="0" w:color="8A8A84"/>
              <w:right w:val="single" w:sz="6" w:space="0" w:color="FFFFFF"/>
            </w:tcBorders>
            <w:shd w:val="solid" w:color="EBE7E2" w:fill="auto"/>
            <w:tcMar>
              <w:top w:w="113" w:type="dxa"/>
              <w:left w:w="113" w:type="dxa"/>
              <w:bottom w:w="113" w:type="dxa"/>
              <w:right w:w="80" w:type="dxa"/>
            </w:tcMar>
          </w:tcPr>
          <w:p w14:paraId="6B690CDE" w14:textId="77777777" w:rsidR="006D4CA0" w:rsidRDefault="006D4CA0">
            <w:pPr>
              <w:pStyle w:val="Tabletext"/>
            </w:pPr>
            <w:r>
              <w:t>CICD</w:t>
            </w:r>
          </w:p>
        </w:tc>
        <w:tc>
          <w:tcPr>
            <w:tcW w:w="1560" w:type="dxa"/>
            <w:tcBorders>
              <w:top w:val="single" w:sz="2" w:space="0" w:color="8A8A84"/>
              <w:left w:val="single" w:sz="6" w:space="0" w:color="FFFFFF"/>
              <w:bottom w:val="single" w:sz="2" w:space="0" w:color="8A8A84"/>
              <w:right w:val="single" w:sz="6" w:space="0" w:color="000000"/>
            </w:tcBorders>
            <w:shd w:val="solid" w:color="EBE7E2" w:fill="auto"/>
            <w:tcMar>
              <w:top w:w="113" w:type="dxa"/>
              <w:left w:w="113" w:type="dxa"/>
              <w:bottom w:w="113" w:type="dxa"/>
              <w:right w:w="80" w:type="dxa"/>
            </w:tcMar>
          </w:tcPr>
          <w:p w14:paraId="381FA041" w14:textId="77777777" w:rsidR="006D4CA0" w:rsidRDefault="006D4CA0">
            <w:pPr>
              <w:pStyle w:val="Tabletext"/>
              <w:jc w:val="right"/>
            </w:pPr>
            <w:r>
              <w:t>$187 500</w:t>
            </w:r>
          </w:p>
        </w:tc>
      </w:tr>
      <w:tr w:rsidR="00D303ED" w14:paraId="129D1F49" w14:textId="77777777" w:rsidTr="00D303ED">
        <w:trPr>
          <w:trHeight w:val="60"/>
        </w:trPr>
        <w:tc>
          <w:tcPr>
            <w:tcW w:w="2064" w:type="dxa"/>
            <w:tcBorders>
              <w:top w:val="single" w:sz="2" w:space="0" w:color="8A8A84"/>
              <w:left w:val="single" w:sz="6" w:space="0" w:color="FFFFFF"/>
              <w:bottom w:val="single" w:sz="2" w:space="0" w:color="8A8A84"/>
              <w:right w:val="single" w:sz="6" w:space="0" w:color="000000"/>
            </w:tcBorders>
            <w:shd w:val="solid" w:color="EBE7E2" w:fill="auto"/>
            <w:tcMar>
              <w:top w:w="113" w:type="dxa"/>
              <w:left w:w="113" w:type="dxa"/>
              <w:bottom w:w="113" w:type="dxa"/>
              <w:right w:w="80" w:type="dxa"/>
            </w:tcMar>
          </w:tcPr>
          <w:p w14:paraId="12E05AC9" w14:textId="77777777" w:rsidR="006D4CA0" w:rsidRDefault="006D4CA0">
            <w:pPr>
              <w:pStyle w:val="Tabletextbold"/>
            </w:pPr>
            <w:proofErr w:type="spellStart"/>
            <w:r>
              <w:t>Mundaring</w:t>
            </w:r>
            <w:proofErr w:type="spellEnd"/>
            <w:r>
              <w:t xml:space="preserve"> Arts Centre </w:t>
            </w:r>
          </w:p>
        </w:tc>
        <w:tc>
          <w:tcPr>
            <w:tcW w:w="4740" w:type="dxa"/>
            <w:tcBorders>
              <w:top w:val="single" w:sz="2" w:space="0" w:color="8A8A84"/>
              <w:left w:val="single" w:sz="6" w:space="0" w:color="000000"/>
              <w:bottom w:val="single" w:sz="2" w:space="0" w:color="8A8A84"/>
              <w:right w:val="single" w:sz="6" w:space="0" w:color="000000"/>
            </w:tcBorders>
            <w:shd w:val="solid" w:color="EBE7E2" w:fill="auto"/>
            <w:tcMar>
              <w:top w:w="113" w:type="dxa"/>
              <w:left w:w="113" w:type="dxa"/>
              <w:bottom w:w="113" w:type="dxa"/>
              <w:right w:w="80" w:type="dxa"/>
            </w:tcMar>
          </w:tcPr>
          <w:p w14:paraId="44079820" w14:textId="77777777" w:rsidR="006D4CA0" w:rsidRDefault="006D4CA0">
            <w:pPr>
              <w:pStyle w:val="Tabletext"/>
            </w:pPr>
            <w:r>
              <w:t xml:space="preserve">Promote community inclusion and access for people with disability into mainstream community based creative activities. </w:t>
            </w:r>
          </w:p>
        </w:tc>
        <w:tc>
          <w:tcPr>
            <w:tcW w:w="1134" w:type="dxa"/>
            <w:tcBorders>
              <w:top w:val="single" w:sz="2" w:space="0" w:color="8A8A84"/>
              <w:left w:val="single" w:sz="6" w:space="0" w:color="000000"/>
              <w:bottom w:val="single" w:sz="2" w:space="0" w:color="8A8A84"/>
              <w:right w:val="single" w:sz="6" w:space="0" w:color="FFFFFF"/>
            </w:tcBorders>
            <w:shd w:val="solid" w:color="EBE7E2" w:fill="auto"/>
            <w:tcMar>
              <w:top w:w="113" w:type="dxa"/>
              <w:left w:w="113" w:type="dxa"/>
              <w:bottom w:w="113" w:type="dxa"/>
              <w:right w:w="80" w:type="dxa"/>
            </w:tcMar>
          </w:tcPr>
          <w:p w14:paraId="7263EBEC" w14:textId="77777777" w:rsidR="006D4CA0" w:rsidRDefault="006D4CA0">
            <w:pPr>
              <w:pStyle w:val="Tabletext"/>
            </w:pPr>
            <w:r>
              <w:t xml:space="preserve">CICD </w:t>
            </w:r>
          </w:p>
        </w:tc>
        <w:tc>
          <w:tcPr>
            <w:tcW w:w="1560" w:type="dxa"/>
            <w:tcBorders>
              <w:top w:val="single" w:sz="2" w:space="0" w:color="8A8A84"/>
              <w:left w:val="single" w:sz="6" w:space="0" w:color="FFFFFF"/>
              <w:bottom w:val="single" w:sz="2" w:space="0" w:color="8A8A84"/>
              <w:right w:val="single" w:sz="6" w:space="0" w:color="000000"/>
            </w:tcBorders>
            <w:shd w:val="solid" w:color="EBE7E2" w:fill="auto"/>
            <w:tcMar>
              <w:top w:w="113" w:type="dxa"/>
              <w:left w:w="113" w:type="dxa"/>
              <w:bottom w:w="113" w:type="dxa"/>
              <w:right w:w="80" w:type="dxa"/>
            </w:tcMar>
          </w:tcPr>
          <w:p w14:paraId="7E5EB6F0" w14:textId="77777777" w:rsidR="006D4CA0" w:rsidRDefault="006D4CA0">
            <w:pPr>
              <w:pStyle w:val="Tabletext"/>
              <w:jc w:val="right"/>
            </w:pPr>
            <w:r>
              <w:t>$61 850</w:t>
            </w:r>
          </w:p>
        </w:tc>
      </w:tr>
      <w:tr w:rsidR="00D303ED" w14:paraId="3DD1899A" w14:textId="77777777" w:rsidTr="00D303ED">
        <w:trPr>
          <w:trHeight w:val="60"/>
        </w:trPr>
        <w:tc>
          <w:tcPr>
            <w:tcW w:w="2064" w:type="dxa"/>
            <w:tcBorders>
              <w:top w:val="single" w:sz="2" w:space="0" w:color="8A8A84"/>
              <w:left w:val="single" w:sz="6" w:space="0" w:color="FFFFFF"/>
              <w:bottom w:val="single" w:sz="2" w:space="0" w:color="8A8A84"/>
              <w:right w:val="single" w:sz="6" w:space="0" w:color="000000"/>
            </w:tcBorders>
            <w:shd w:val="solid" w:color="EBE7E2" w:fill="auto"/>
            <w:tcMar>
              <w:top w:w="113" w:type="dxa"/>
              <w:left w:w="113" w:type="dxa"/>
              <w:bottom w:w="113" w:type="dxa"/>
              <w:right w:w="80" w:type="dxa"/>
            </w:tcMar>
          </w:tcPr>
          <w:p w14:paraId="30C5DE01" w14:textId="77777777" w:rsidR="006D4CA0" w:rsidRDefault="006D4CA0">
            <w:pPr>
              <w:pStyle w:val="Tabletextbold"/>
            </w:pPr>
            <w:r>
              <w:t>National Disability Services Ltd</w:t>
            </w:r>
          </w:p>
        </w:tc>
        <w:tc>
          <w:tcPr>
            <w:tcW w:w="4740" w:type="dxa"/>
            <w:tcBorders>
              <w:top w:val="single" w:sz="2" w:space="0" w:color="8A8A84"/>
              <w:left w:val="single" w:sz="6" w:space="0" w:color="000000"/>
              <w:bottom w:val="single" w:sz="2" w:space="0" w:color="8A8A84"/>
              <w:right w:val="single" w:sz="6" w:space="0" w:color="000000"/>
            </w:tcBorders>
            <w:shd w:val="solid" w:color="EBE7E2" w:fill="auto"/>
            <w:tcMar>
              <w:top w:w="113" w:type="dxa"/>
              <w:left w:w="113" w:type="dxa"/>
              <w:bottom w:w="113" w:type="dxa"/>
              <w:right w:w="80" w:type="dxa"/>
            </w:tcMar>
          </w:tcPr>
          <w:p w14:paraId="31E2A5D4" w14:textId="77777777" w:rsidR="006D4CA0" w:rsidRDefault="006D4CA0">
            <w:pPr>
              <w:pStyle w:val="Tabletext"/>
            </w:pPr>
            <w:r>
              <w:t>Establish Ticket-to-Work employment network and resources to support the employment aspirations of school leavers with disability.</w:t>
            </w:r>
          </w:p>
        </w:tc>
        <w:tc>
          <w:tcPr>
            <w:tcW w:w="1134" w:type="dxa"/>
            <w:tcBorders>
              <w:top w:val="single" w:sz="2" w:space="0" w:color="8A8A84"/>
              <w:left w:val="single" w:sz="6" w:space="0" w:color="000000"/>
              <w:bottom w:val="single" w:sz="2" w:space="0" w:color="8A8A84"/>
              <w:right w:val="single" w:sz="6" w:space="0" w:color="FFFFFF"/>
            </w:tcBorders>
            <w:shd w:val="solid" w:color="EBE7E2" w:fill="auto"/>
            <w:tcMar>
              <w:top w:w="113" w:type="dxa"/>
              <w:left w:w="113" w:type="dxa"/>
              <w:bottom w:w="113" w:type="dxa"/>
              <w:right w:w="80" w:type="dxa"/>
            </w:tcMar>
          </w:tcPr>
          <w:p w14:paraId="5F008B35" w14:textId="77777777" w:rsidR="006D4CA0" w:rsidRDefault="006D4CA0">
            <w:pPr>
              <w:pStyle w:val="Tabletext"/>
            </w:pPr>
            <w:r>
              <w:t>CICD</w:t>
            </w:r>
          </w:p>
        </w:tc>
        <w:tc>
          <w:tcPr>
            <w:tcW w:w="1560" w:type="dxa"/>
            <w:tcBorders>
              <w:top w:val="single" w:sz="2" w:space="0" w:color="8A8A84"/>
              <w:left w:val="single" w:sz="6" w:space="0" w:color="FFFFFF"/>
              <w:bottom w:val="single" w:sz="2" w:space="0" w:color="8A8A84"/>
              <w:right w:val="single" w:sz="6" w:space="0" w:color="000000"/>
            </w:tcBorders>
            <w:shd w:val="solid" w:color="EBE7E2" w:fill="auto"/>
            <w:tcMar>
              <w:top w:w="113" w:type="dxa"/>
              <w:left w:w="113" w:type="dxa"/>
              <w:bottom w:w="113" w:type="dxa"/>
              <w:right w:w="80" w:type="dxa"/>
            </w:tcMar>
          </w:tcPr>
          <w:p w14:paraId="32E95E40" w14:textId="77777777" w:rsidR="006D4CA0" w:rsidRDefault="006D4CA0">
            <w:pPr>
              <w:pStyle w:val="Tabletext"/>
              <w:jc w:val="right"/>
            </w:pPr>
            <w:r>
              <w:t>$50 000</w:t>
            </w:r>
          </w:p>
        </w:tc>
      </w:tr>
      <w:tr w:rsidR="00D303ED" w14:paraId="2414AE24" w14:textId="77777777" w:rsidTr="00D303ED">
        <w:trPr>
          <w:trHeight w:val="60"/>
        </w:trPr>
        <w:tc>
          <w:tcPr>
            <w:tcW w:w="2064" w:type="dxa"/>
            <w:tcBorders>
              <w:top w:val="single" w:sz="2" w:space="0" w:color="8A8A84"/>
              <w:left w:val="single" w:sz="6" w:space="0" w:color="FFFFFF"/>
              <w:bottom w:val="single" w:sz="2" w:space="0" w:color="8A8A84"/>
              <w:right w:val="single" w:sz="6" w:space="0" w:color="000000"/>
            </w:tcBorders>
            <w:shd w:val="solid" w:color="EBE7E2" w:fill="auto"/>
            <w:tcMar>
              <w:top w:w="113" w:type="dxa"/>
              <w:left w:w="113" w:type="dxa"/>
              <w:bottom w:w="113" w:type="dxa"/>
              <w:right w:w="80" w:type="dxa"/>
            </w:tcMar>
          </w:tcPr>
          <w:p w14:paraId="2A98B64F" w14:textId="77777777" w:rsidR="006D4CA0" w:rsidRDefault="006D4CA0">
            <w:pPr>
              <w:pStyle w:val="Tabletextbold"/>
            </w:pPr>
            <w:proofErr w:type="spellStart"/>
            <w:r>
              <w:t>Papulu</w:t>
            </w:r>
            <w:proofErr w:type="spellEnd"/>
            <w:r>
              <w:t xml:space="preserve"> </w:t>
            </w:r>
            <w:proofErr w:type="spellStart"/>
            <w:r>
              <w:t>Apparr</w:t>
            </w:r>
            <w:proofErr w:type="spellEnd"/>
            <w:r>
              <w:t>-Kari Aboriginal Corporation</w:t>
            </w:r>
          </w:p>
        </w:tc>
        <w:tc>
          <w:tcPr>
            <w:tcW w:w="4740" w:type="dxa"/>
            <w:tcBorders>
              <w:top w:val="single" w:sz="2" w:space="0" w:color="8A8A84"/>
              <w:left w:val="single" w:sz="6" w:space="0" w:color="000000"/>
              <w:bottom w:val="single" w:sz="2" w:space="0" w:color="8A8A84"/>
              <w:right w:val="single" w:sz="6" w:space="0" w:color="000000"/>
            </w:tcBorders>
            <w:shd w:val="solid" w:color="EBE7E2" w:fill="auto"/>
            <w:tcMar>
              <w:top w:w="113" w:type="dxa"/>
              <w:left w:w="113" w:type="dxa"/>
              <w:bottom w:w="113" w:type="dxa"/>
              <w:right w:w="80" w:type="dxa"/>
            </w:tcMar>
          </w:tcPr>
          <w:p w14:paraId="3F96B49D" w14:textId="77777777" w:rsidR="006D4CA0" w:rsidRDefault="006D4CA0">
            <w:pPr>
              <w:pStyle w:val="Tabletext"/>
            </w:pPr>
            <w:r>
              <w:t xml:space="preserve">Development of Scheme engagement tools. </w:t>
            </w:r>
          </w:p>
        </w:tc>
        <w:tc>
          <w:tcPr>
            <w:tcW w:w="1134" w:type="dxa"/>
            <w:tcBorders>
              <w:top w:val="single" w:sz="2" w:space="0" w:color="8A8A84"/>
              <w:left w:val="single" w:sz="6" w:space="0" w:color="000000"/>
              <w:bottom w:val="single" w:sz="2" w:space="0" w:color="8A8A84"/>
              <w:right w:val="single" w:sz="6" w:space="0" w:color="FFFFFF"/>
            </w:tcBorders>
            <w:shd w:val="solid" w:color="EBE7E2" w:fill="auto"/>
            <w:tcMar>
              <w:top w:w="113" w:type="dxa"/>
              <w:left w:w="113" w:type="dxa"/>
              <w:bottom w:w="113" w:type="dxa"/>
              <w:right w:w="80" w:type="dxa"/>
            </w:tcMar>
          </w:tcPr>
          <w:p w14:paraId="139BC28E" w14:textId="77777777" w:rsidR="006D4CA0" w:rsidRDefault="006D4CA0">
            <w:pPr>
              <w:pStyle w:val="Tabletext"/>
            </w:pPr>
            <w:r>
              <w:t>CICD</w:t>
            </w:r>
          </w:p>
        </w:tc>
        <w:tc>
          <w:tcPr>
            <w:tcW w:w="1560" w:type="dxa"/>
            <w:tcBorders>
              <w:top w:val="single" w:sz="2" w:space="0" w:color="8A8A84"/>
              <w:left w:val="single" w:sz="6" w:space="0" w:color="FFFFFF"/>
              <w:bottom w:val="single" w:sz="2" w:space="0" w:color="8A8A84"/>
              <w:right w:val="single" w:sz="6" w:space="0" w:color="000000"/>
            </w:tcBorders>
            <w:shd w:val="solid" w:color="EBE7E2" w:fill="auto"/>
            <w:tcMar>
              <w:top w:w="113" w:type="dxa"/>
              <w:left w:w="113" w:type="dxa"/>
              <w:bottom w:w="113" w:type="dxa"/>
              <w:right w:w="80" w:type="dxa"/>
            </w:tcMar>
          </w:tcPr>
          <w:p w14:paraId="59837B0E" w14:textId="77777777" w:rsidR="006D4CA0" w:rsidRDefault="006D4CA0">
            <w:pPr>
              <w:pStyle w:val="Tabletext"/>
              <w:jc w:val="right"/>
            </w:pPr>
            <w:r>
              <w:t>$90 000</w:t>
            </w:r>
          </w:p>
        </w:tc>
      </w:tr>
      <w:tr w:rsidR="00D303ED" w14:paraId="4092832A" w14:textId="77777777" w:rsidTr="00D303ED">
        <w:trPr>
          <w:trHeight w:val="60"/>
        </w:trPr>
        <w:tc>
          <w:tcPr>
            <w:tcW w:w="2064" w:type="dxa"/>
            <w:tcBorders>
              <w:top w:val="single" w:sz="2" w:space="0" w:color="8A8A84"/>
              <w:left w:val="single" w:sz="6" w:space="0" w:color="FFFFFF"/>
              <w:bottom w:val="single" w:sz="2" w:space="0" w:color="8A8A84"/>
              <w:right w:val="single" w:sz="6" w:space="0" w:color="000000"/>
            </w:tcBorders>
            <w:shd w:val="solid" w:color="EBE7E2" w:fill="auto"/>
            <w:tcMar>
              <w:top w:w="113" w:type="dxa"/>
              <w:left w:w="113" w:type="dxa"/>
              <w:bottom w:w="113" w:type="dxa"/>
              <w:right w:w="80" w:type="dxa"/>
            </w:tcMar>
          </w:tcPr>
          <w:p w14:paraId="48695DB0" w14:textId="77777777" w:rsidR="006D4CA0" w:rsidRDefault="006D4CA0">
            <w:pPr>
              <w:pStyle w:val="Tabletextbold"/>
            </w:pPr>
            <w:proofErr w:type="spellStart"/>
            <w:r>
              <w:t>Peedac</w:t>
            </w:r>
            <w:proofErr w:type="spellEnd"/>
            <w:r>
              <w:t xml:space="preserve"> Pty Ltd</w:t>
            </w:r>
          </w:p>
        </w:tc>
        <w:tc>
          <w:tcPr>
            <w:tcW w:w="4740" w:type="dxa"/>
            <w:tcBorders>
              <w:top w:val="single" w:sz="2" w:space="0" w:color="8A8A84"/>
              <w:left w:val="single" w:sz="6" w:space="0" w:color="000000"/>
              <w:bottom w:val="single" w:sz="2" w:space="0" w:color="8A8A84"/>
              <w:right w:val="single" w:sz="6" w:space="0" w:color="000000"/>
            </w:tcBorders>
            <w:shd w:val="solid" w:color="EBE7E2" w:fill="auto"/>
            <w:tcMar>
              <w:top w:w="113" w:type="dxa"/>
              <w:left w:w="113" w:type="dxa"/>
              <w:bottom w:w="113" w:type="dxa"/>
              <w:right w:w="80" w:type="dxa"/>
            </w:tcMar>
          </w:tcPr>
          <w:p w14:paraId="0D3C1523" w14:textId="77777777" w:rsidR="006D4CA0" w:rsidRDefault="006D4CA0">
            <w:pPr>
              <w:pStyle w:val="Tabletext"/>
            </w:pPr>
            <w:r>
              <w:t xml:space="preserve">Increase the engagement and registration of people with disability in the Perth Hills trial site with a focus on the Aboriginal and Torres Strait Islander community. </w:t>
            </w:r>
          </w:p>
        </w:tc>
        <w:tc>
          <w:tcPr>
            <w:tcW w:w="1134" w:type="dxa"/>
            <w:tcBorders>
              <w:top w:val="single" w:sz="2" w:space="0" w:color="8A8A84"/>
              <w:left w:val="single" w:sz="6" w:space="0" w:color="000000"/>
              <w:bottom w:val="single" w:sz="2" w:space="0" w:color="8A8A84"/>
              <w:right w:val="single" w:sz="6" w:space="0" w:color="FFFFFF"/>
            </w:tcBorders>
            <w:shd w:val="solid" w:color="EBE7E2" w:fill="auto"/>
            <w:tcMar>
              <w:top w:w="113" w:type="dxa"/>
              <w:left w:w="113" w:type="dxa"/>
              <w:bottom w:w="113" w:type="dxa"/>
              <w:right w:w="80" w:type="dxa"/>
            </w:tcMar>
          </w:tcPr>
          <w:p w14:paraId="55039E47" w14:textId="77777777" w:rsidR="006D4CA0" w:rsidRDefault="006D4CA0">
            <w:pPr>
              <w:pStyle w:val="Tabletext"/>
            </w:pPr>
            <w:r>
              <w:t>CICD</w:t>
            </w:r>
          </w:p>
        </w:tc>
        <w:tc>
          <w:tcPr>
            <w:tcW w:w="1560" w:type="dxa"/>
            <w:tcBorders>
              <w:top w:val="single" w:sz="2" w:space="0" w:color="8A8A84"/>
              <w:left w:val="single" w:sz="6" w:space="0" w:color="FFFFFF"/>
              <w:bottom w:val="single" w:sz="2" w:space="0" w:color="8A8A84"/>
              <w:right w:val="single" w:sz="6" w:space="0" w:color="000000"/>
            </w:tcBorders>
            <w:shd w:val="solid" w:color="EBE7E2" w:fill="auto"/>
            <w:tcMar>
              <w:top w:w="113" w:type="dxa"/>
              <w:left w:w="113" w:type="dxa"/>
              <w:bottom w:w="113" w:type="dxa"/>
              <w:right w:w="80" w:type="dxa"/>
            </w:tcMar>
          </w:tcPr>
          <w:p w14:paraId="06DBFD56" w14:textId="77777777" w:rsidR="006D4CA0" w:rsidRDefault="006D4CA0">
            <w:pPr>
              <w:pStyle w:val="Tabletext"/>
              <w:jc w:val="right"/>
            </w:pPr>
            <w:r>
              <w:t>$50 000</w:t>
            </w:r>
          </w:p>
        </w:tc>
      </w:tr>
      <w:tr w:rsidR="00D303ED" w14:paraId="4437580B" w14:textId="77777777" w:rsidTr="00D303ED">
        <w:trPr>
          <w:trHeight w:val="60"/>
        </w:trPr>
        <w:tc>
          <w:tcPr>
            <w:tcW w:w="2064" w:type="dxa"/>
            <w:tcBorders>
              <w:top w:val="single" w:sz="2" w:space="0" w:color="8A8A84"/>
              <w:left w:val="single" w:sz="6" w:space="0" w:color="FFFFFF"/>
              <w:bottom w:val="single" w:sz="2" w:space="0" w:color="8A8A84"/>
              <w:right w:val="single" w:sz="6" w:space="0" w:color="000000"/>
            </w:tcBorders>
            <w:shd w:val="solid" w:color="EBE7E2" w:fill="auto"/>
            <w:tcMar>
              <w:top w:w="113" w:type="dxa"/>
              <w:left w:w="113" w:type="dxa"/>
              <w:bottom w:w="113" w:type="dxa"/>
              <w:right w:w="80" w:type="dxa"/>
            </w:tcMar>
          </w:tcPr>
          <w:p w14:paraId="4FBEC191" w14:textId="77777777" w:rsidR="006D4CA0" w:rsidRDefault="006D4CA0">
            <w:pPr>
              <w:pStyle w:val="Tabletextbold"/>
            </w:pPr>
            <w:proofErr w:type="spellStart"/>
            <w:r>
              <w:t>Prader</w:t>
            </w:r>
            <w:proofErr w:type="spellEnd"/>
            <w:r>
              <w:t>-Willi Syndrome Association of Australia (Inc. in Victoria)</w:t>
            </w:r>
          </w:p>
        </w:tc>
        <w:tc>
          <w:tcPr>
            <w:tcW w:w="4740" w:type="dxa"/>
            <w:tcBorders>
              <w:top w:val="single" w:sz="2" w:space="0" w:color="8A8A84"/>
              <w:left w:val="single" w:sz="6" w:space="0" w:color="000000"/>
              <w:bottom w:val="single" w:sz="2" w:space="0" w:color="8A8A84"/>
              <w:right w:val="single" w:sz="6" w:space="0" w:color="000000"/>
            </w:tcBorders>
            <w:shd w:val="solid" w:color="EBE7E2" w:fill="auto"/>
            <w:tcMar>
              <w:top w:w="113" w:type="dxa"/>
              <w:left w:w="113" w:type="dxa"/>
              <w:bottom w:w="113" w:type="dxa"/>
              <w:right w:w="80" w:type="dxa"/>
            </w:tcMar>
          </w:tcPr>
          <w:p w14:paraId="6414B350" w14:textId="77777777" w:rsidR="006D4CA0" w:rsidRDefault="006D4CA0">
            <w:pPr>
              <w:pStyle w:val="Tabletext"/>
            </w:pPr>
            <w:r>
              <w:t xml:space="preserve">Develop a community resource to assist in the better understanding, responses and management of people with </w:t>
            </w:r>
            <w:proofErr w:type="spellStart"/>
            <w:r>
              <w:t>Prader</w:t>
            </w:r>
            <w:proofErr w:type="spellEnd"/>
            <w:r>
              <w:t xml:space="preserve"> Willi Syndrome.</w:t>
            </w:r>
          </w:p>
        </w:tc>
        <w:tc>
          <w:tcPr>
            <w:tcW w:w="1134" w:type="dxa"/>
            <w:tcBorders>
              <w:top w:val="single" w:sz="2" w:space="0" w:color="8A8A84"/>
              <w:left w:val="single" w:sz="6" w:space="0" w:color="000000"/>
              <w:bottom w:val="single" w:sz="2" w:space="0" w:color="8A8A84"/>
              <w:right w:val="single" w:sz="6" w:space="0" w:color="FFFFFF"/>
            </w:tcBorders>
            <w:shd w:val="solid" w:color="EBE7E2" w:fill="auto"/>
            <w:tcMar>
              <w:top w:w="113" w:type="dxa"/>
              <w:left w:w="113" w:type="dxa"/>
              <w:bottom w:w="113" w:type="dxa"/>
              <w:right w:w="80" w:type="dxa"/>
            </w:tcMar>
          </w:tcPr>
          <w:p w14:paraId="092FE386" w14:textId="77777777" w:rsidR="006D4CA0" w:rsidRDefault="006D4CA0">
            <w:pPr>
              <w:pStyle w:val="Tabletext"/>
            </w:pPr>
            <w:r>
              <w:t>CICD</w:t>
            </w:r>
          </w:p>
        </w:tc>
        <w:tc>
          <w:tcPr>
            <w:tcW w:w="1560" w:type="dxa"/>
            <w:tcBorders>
              <w:top w:val="single" w:sz="2" w:space="0" w:color="8A8A84"/>
              <w:left w:val="single" w:sz="6" w:space="0" w:color="FFFFFF"/>
              <w:bottom w:val="single" w:sz="2" w:space="0" w:color="8A8A84"/>
              <w:right w:val="single" w:sz="6" w:space="0" w:color="000000"/>
            </w:tcBorders>
            <w:shd w:val="solid" w:color="EBE7E2" w:fill="auto"/>
            <w:tcMar>
              <w:top w:w="113" w:type="dxa"/>
              <w:left w:w="113" w:type="dxa"/>
              <w:bottom w:w="113" w:type="dxa"/>
              <w:right w:w="80" w:type="dxa"/>
            </w:tcMar>
          </w:tcPr>
          <w:p w14:paraId="0D384EE5" w14:textId="77777777" w:rsidR="006D4CA0" w:rsidRDefault="006D4CA0">
            <w:pPr>
              <w:pStyle w:val="Tabletext"/>
              <w:jc w:val="right"/>
            </w:pPr>
            <w:r>
              <w:t>$30 000</w:t>
            </w:r>
          </w:p>
        </w:tc>
      </w:tr>
      <w:tr w:rsidR="00D303ED" w14:paraId="506F5396" w14:textId="77777777" w:rsidTr="00D303ED">
        <w:trPr>
          <w:trHeight w:val="60"/>
        </w:trPr>
        <w:tc>
          <w:tcPr>
            <w:tcW w:w="2064" w:type="dxa"/>
            <w:tcBorders>
              <w:top w:val="single" w:sz="2" w:space="0" w:color="8A8A84"/>
              <w:left w:val="single" w:sz="6" w:space="0" w:color="FFFFFF"/>
              <w:bottom w:val="single" w:sz="2" w:space="0" w:color="8A8A84"/>
              <w:right w:val="single" w:sz="6" w:space="0" w:color="000000"/>
            </w:tcBorders>
            <w:shd w:val="solid" w:color="EBE7E2" w:fill="auto"/>
            <w:tcMar>
              <w:top w:w="113" w:type="dxa"/>
              <w:left w:w="113" w:type="dxa"/>
              <w:bottom w:w="113" w:type="dxa"/>
              <w:right w:w="80" w:type="dxa"/>
            </w:tcMar>
          </w:tcPr>
          <w:p w14:paraId="1A398852" w14:textId="77777777" w:rsidR="006D4CA0" w:rsidRDefault="006D4CA0">
            <w:pPr>
              <w:pStyle w:val="Tabletextbold"/>
            </w:pPr>
            <w:r>
              <w:t xml:space="preserve">Print Handicapped Radio </w:t>
            </w:r>
          </w:p>
        </w:tc>
        <w:tc>
          <w:tcPr>
            <w:tcW w:w="4740" w:type="dxa"/>
            <w:tcBorders>
              <w:top w:val="single" w:sz="2" w:space="0" w:color="8A8A84"/>
              <w:left w:val="single" w:sz="6" w:space="0" w:color="000000"/>
              <w:bottom w:val="single" w:sz="2" w:space="0" w:color="8A8A84"/>
              <w:right w:val="single" w:sz="6" w:space="0" w:color="000000"/>
            </w:tcBorders>
            <w:shd w:val="solid" w:color="EBE7E2" w:fill="auto"/>
            <w:tcMar>
              <w:top w:w="113" w:type="dxa"/>
              <w:left w:w="113" w:type="dxa"/>
              <w:bottom w:w="113" w:type="dxa"/>
              <w:right w:w="80" w:type="dxa"/>
            </w:tcMar>
          </w:tcPr>
          <w:p w14:paraId="2C2F81F7" w14:textId="77777777" w:rsidR="006D4CA0" w:rsidRDefault="006D4CA0">
            <w:pPr>
              <w:pStyle w:val="Tabletext"/>
            </w:pPr>
            <w:r>
              <w:t>Broadcast information about the Scheme to people who are unable to use printed materials.</w:t>
            </w:r>
          </w:p>
        </w:tc>
        <w:tc>
          <w:tcPr>
            <w:tcW w:w="1134" w:type="dxa"/>
            <w:tcBorders>
              <w:top w:val="single" w:sz="2" w:space="0" w:color="8A8A84"/>
              <w:left w:val="single" w:sz="6" w:space="0" w:color="000000"/>
              <w:bottom w:val="single" w:sz="2" w:space="0" w:color="8A8A84"/>
              <w:right w:val="single" w:sz="6" w:space="0" w:color="FFFFFF"/>
            </w:tcBorders>
            <w:shd w:val="solid" w:color="EBE7E2" w:fill="auto"/>
            <w:tcMar>
              <w:top w:w="113" w:type="dxa"/>
              <w:left w:w="113" w:type="dxa"/>
              <w:bottom w:w="113" w:type="dxa"/>
              <w:right w:w="80" w:type="dxa"/>
            </w:tcMar>
          </w:tcPr>
          <w:p w14:paraId="3599A1D8" w14:textId="77777777" w:rsidR="006D4CA0" w:rsidRDefault="006D4CA0">
            <w:pPr>
              <w:pStyle w:val="Tabletext"/>
            </w:pPr>
            <w:r>
              <w:t>CICD</w:t>
            </w:r>
          </w:p>
        </w:tc>
        <w:tc>
          <w:tcPr>
            <w:tcW w:w="1560" w:type="dxa"/>
            <w:tcBorders>
              <w:top w:val="single" w:sz="2" w:space="0" w:color="8A8A84"/>
              <w:left w:val="single" w:sz="6" w:space="0" w:color="FFFFFF"/>
              <w:bottom w:val="single" w:sz="2" w:space="0" w:color="8A8A84"/>
              <w:right w:val="single" w:sz="6" w:space="0" w:color="000000"/>
            </w:tcBorders>
            <w:shd w:val="solid" w:color="EBE7E2" w:fill="auto"/>
            <w:tcMar>
              <w:top w:w="113" w:type="dxa"/>
              <w:left w:w="113" w:type="dxa"/>
              <w:bottom w:w="113" w:type="dxa"/>
              <w:right w:w="80" w:type="dxa"/>
            </w:tcMar>
          </w:tcPr>
          <w:p w14:paraId="61E2AF63" w14:textId="77777777" w:rsidR="006D4CA0" w:rsidRDefault="006D4CA0">
            <w:pPr>
              <w:pStyle w:val="Tabletext"/>
              <w:jc w:val="right"/>
            </w:pPr>
            <w:r>
              <w:t>$39 340</w:t>
            </w:r>
          </w:p>
        </w:tc>
      </w:tr>
      <w:tr w:rsidR="00D303ED" w14:paraId="18EAA0D6" w14:textId="77777777" w:rsidTr="00D303ED">
        <w:trPr>
          <w:trHeight w:val="60"/>
        </w:trPr>
        <w:tc>
          <w:tcPr>
            <w:tcW w:w="2064" w:type="dxa"/>
            <w:tcBorders>
              <w:top w:val="single" w:sz="2" w:space="0" w:color="8A8A84"/>
              <w:left w:val="single" w:sz="6" w:space="0" w:color="FFFFFF"/>
              <w:bottom w:val="single" w:sz="2" w:space="0" w:color="8A8A84"/>
              <w:right w:val="single" w:sz="6" w:space="0" w:color="000000"/>
            </w:tcBorders>
            <w:shd w:val="solid" w:color="EBE7E2" w:fill="auto"/>
            <w:tcMar>
              <w:top w:w="113" w:type="dxa"/>
              <w:left w:w="113" w:type="dxa"/>
              <w:bottom w:w="113" w:type="dxa"/>
              <w:right w:w="80" w:type="dxa"/>
            </w:tcMar>
          </w:tcPr>
          <w:p w14:paraId="59E68D8A" w14:textId="77777777" w:rsidR="006D4CA0" w:rsidRDefault="006D4CA0">
            <w:pPr>
              <w:pStyle w:val="Tabletextbold"/>
            </w:pPr>
            <w:r>
              <w:t xml:space="preserve">SDN Child and Family Services Pty Ltd </w:t>
            </w:r>
          </w:p>
        </w:tc>
        <w:tc>
          <w:tcPr>
            <w:tcW w:w="4740" w:type="dxa"/>
            <w:tcBorders>
              <w:top w:val="single" w:sz="2" w:space="0" w:color="8A8A84"/>
              <w:left w:val="single" w:sz="6" w:space="0" w:color="000000"/>
              <w:bottom w:val="single" w:sz="2" w:space="0" w:color="8A8A84"/>
              <w:right w:val="single" w:sz="6" w:space="0" w:color="000000"/>
            </w:tcBorders>
            <w:shd w:val="solid" w:color="EBE7E2" w:fill="auto"/>
            <w:tcMar>
              <w:top w:w="113" w:type="dxa"/>
              <w:left w:w="113" w:type="dxa"/>
              <w:bottom w:w="113" w:type="dxa"/>
              <w:right w:w="80" w:type="dxa"/>
            </w:tcMar>
          </w:tcPr>
          <w:p w14:paraId="7CD0BE1F" w14:textId="77777777" w:rsidR="006D4CA0" w:rsidRDefault="006D4CA0">
            <w:pPr>
              <w:pStyle w:val="Tabletext"/>
            </w:pPr>
            <w:r>
              <w:t>Enable families to develop capacity to enhance their child’s learning and development which may delay or prevent the need for ongoing specialist disability funded supports.</w:t>
            </w:r>
          </w:p>
        </w:tc>
        <w:tc>
          <w:tcPr>
            <w:tcW w:w="1134" w:type="dxa"/>
            <w:tcBorders>
              <w:top w:val="single" w:sz="2" w:space="0" w:color="8A8A84"/>
              <w:left w:val="single" w:sz="6" w:space="0" w:color="000000"/>
              <w:bottom w:val="single" w:sz="2" w:space="0" w:color="8A8A84"/>
              <w:right w:val="single" w:sz="6" w:space="0" w:color="FFFFFF"/>
            </w:tcBorders>
            <w:shd w:val="solid" w:color="EBE7E2" w:fill="auto"/>
            <w:tcMar>
              <w:top w:w="113" w:type="dxa"/>
              <w:left w:w="113" w:type="dxa"/>
              <w:bottom w:w="113" w:type="dxa"/>
              <w:right w:w="80" w:type="dxa"/>
            </w:tcMar>
          </w:tcPr>
          <w:p w14:paraId="6F1AA70A" w14:textId="77777777" w:rsidR="006D4CA0" w:rsidRDefault="006D4CA0">
            <w:pPr>
              <w:pStyle w:val="Tabletext"/>
            </w:pPr>
            <w:r>
              <w:t>CICD</w:t>
            </w:r>
          </w:p>
        </w:tc>
        <w:tc>
          <w:tcPr>
            <w:tcW w:w="1560" w:type="dxa"/>
            <w:tcBorders>
              <w:top w:val="single" w:sz="2" w:space="0" w:color="8A8A84"/>
              <w:left w:val="single" w:sz="6" w:space="0" w:color="FFFFFF"/>
              <w:bottom w:val="single" w:sz="2" w:space="0" w:color="8A8A84"/>
              <w:right w:val="single" w:sz="6" w:space="0" w:color="000000"/>
            </w:tcBorders>
            <w:shd w:val="solid" w:color="EBE7E2" w:fill="auto"/>
            <w:tcMar>
              <w:top w:w="113" w:type="dxa"/>
              <w:left w:w="113" w:type="dxa"/>
              <w:bottom w:w="113" w:type="dxa"/>
              <w:right w:w="80" w:type="dxa"/>
            </w:tcMar>
          </w:tcPr>
          <w:p w14:paraId="6C872D88" w14:textId="77777777" w:rsidR="006D4CA0" w:rsidRDefault="006D4CA0">
            <w:pPr>
              <w:pStyle w:val="Tabletext"/>
              <w:jc w:val="right"/>
            </w:pPr>
            <w:r>
              <w:t>$55 000</w:t>
            </w:r>
          </w:p>
        </w:tc>
      </w:tr>
      <w:tr w:rsidR="00D303ED" w14:paraId="5B810AC3" w14:textId="77777777" w:rsidTr="00D303ED">
        <w:trPr>
          <w:trHeight w:val="60"/>
        </w:trPr>
        <w:tc>
          <w:tcPr>
            <w:tcW w:w="2064" w:type="dxa"/>
            <w:tcBorders>
              <w:top w:val="single" w:sz="2" w:space="0" w:color="8A8A84"/>
              <w:left w:val="single" w:sz="6" w:space="0" w:color="FFFFFF"/>
              <w:bottom w:val="single" w:sz="2" w:space="0" w:color="8A8A84"/>
              <w:right w:val="single" w:sz="6" w:space="0" w:color="000000"/>
            </w:tcBorders>
            <w:shd w:val="solid" w:color="EBE7E2" w:fill="auto"/>
            <w:tcMar>
              <w:top w:w="113" w:type="dxa"/>
              <w:left w:w="113" w:type="dxa"/>
              <w:bottom w:w="113" w:type="dxa"/>
              <w:right w:w="80" w:type="dxa"/>
            </w:tcMar>
          </w:tcPr>
          <w:p w14:paraId="7C28F0E7" w14:textId="77777777" w:rsidR="006D4CA0" w:rsidRDefault="006D4CA0">
            <w:pPr>
              <w:pStyle w:val="Tabletextbold"/>
            </w:pPr>
            <w:r>
              <w:t xml:space="preserve">Social Ventures Australia Ltd </w:t>
            </w:r>
          </w:p>
        </w:tc>
        <w:tc>
          <w:tcPr>
            <w:tcW w:w="4740" w:type="dxa"/>
            <w:tcBorders>
              <w:top w:val="single" w:sz="2" w:space="0" w:color="8A8A84"/>
              <w:left w:val="single" w:sz="6" w:space="0" w:color="000000"/>
              <w:bottom w:val="single" w:sz="2" w:space="0" w:color="8A8A84"/>
              <w:right w:val="single" w:sz="6" w:space="0" w:color="000000"/>
            </w:tcBorders>
            <w:shd w:val="solid" w:color="EBE7E2" w:fill="auto"/>
            <w:tcMar>
              <w:top w:w="113" w:type="dxa"/>
              <w:left w:w="113" w:type="dxa"/>
              <w:bottom w:w="113" w:type="dxa"/>
              <w:right w:w="80" w:type="dxa"/>
            </w:tcMar>
          </w:tcPr>
          <w:p w14:paraId="49AED2D7" w14:textId="77777777" w:rsidR="006D4CA0" w:rsidRDefault="006D4CA0">
            <w:pPr>
              <w:pStyle w:val="Tabletext"/>
            </w:pPr>
            <w:r>
              <w:t xml:space="preserve">Development of a capacity building toolkit to support the transformation of the disability sector to the new disability services environment including a National Disability Insurance Scheme. </w:t>
            </w:r>
          </w:p>
        </w:tc>
        <w:tc>
          <w:tcPr>
            <w:tcW w:w="1134" w:type="dxa"/>
            <w:tcBorders>
              <w:top w:val="single" w:sz="2" w:space="0" w:color="8A8A84"/>
              <w:left w:val="single" w:sz="6" w:space="0" w:color="000000"/>
              <w:bottom w:val="single" w:sz="2" w:space="0" w:color="8A8A84"/>
              <w:right w:val="single" w:sz="6" w:space="0" w:color="FFFFFF"/>
            </w:tcBorders>
            <w:shd w:val="solid" w:color="EBE7E2" w:fill="auto"/>
            <w:tcMar>
              <w:top w:w="113" w:type="dxa"/>
              <w:left w:w="113" w:type="dxa"/>
              <w:bottom w:w="113" w:type="dxa"/>
              <w:right w:w="80" w:type="dxa"/>
            </w:tcMar>
          </w:tcPr>
          <w:p w14:paraId="52DB64EF" w14:textId="77777777" w:rsidR="006D4CA0" w:rsidRDefault="006D4CA0">
            <w:pPr>
              <w:pStyle w:val="Tabletext"/>
            </w:pPr>
            <w:r>
              <w:t>CICD</w:t>
            </w:r>
          </w:p>
        </w:tc>
        <w:tc>
          <w:tcPr>
            <w:tcW w:w="1560" w:type="dxa"/>
            <w:tcBorders>
              <w:top w:val="single" w:sz="2" w:space="0" w:color="8A8A84"/>
              <w:left w:val="single" w:sz="6" w:space="0" w:color="FFFFFF"/>
              <w:bottom w:val="single" w:sz="2" w:space="0" w:color="8A8A84"/>
              <w:right w:val="single" w:sz="6" w:space="0" w:color="000000"/>
            </w:tcBorders>
            <w:shd w:val="solid" w:color="EBE7E2" w:fill="auto"/>
            <w:tcMar>
              <w:top w:w="113" w:type="dxa"/>
              <w:left w:w="113" w:type="dxa"/>
              <w:bottom w:w="113" w:type="dxa"/>
              <w:right w:w="80" w:type="dxa"/>
            </w:tcMar>
          </w:tcPr>
          <w:p w14:paraId="45BC1511" w14:textId="77777777" w:rsidR="006D4CA0" w:rsidRDefault="006D4CA0">
            <w:pPr>
              <w:pStyle w:val="Tabletext"/>
              <w:jc w:val="right"/>
            </w:pPr>
            <w:r>
              <w:t>$450 000</w:t>
            </w:r>
          </w:p>
        </w:tc>
      </w:tr>
      <w:tr w:rsidR="00D303ED" w14:paraId="435F413E" w14:textId="77777777" w:rsidTr="00D303ED">
        <w:trPr>
          <w:trHeight w:val="60"/>
        </w:trPr>
        <w:tc>
          <w:tcPr>
            <w:tcW w:w="2064" w:type="dxa"/>
            <w:tcBorders>
              <w:top w:val="single" w:sz="2" w:space="0" w:color="8A8A84"/>
              <w:left w:val="single" w:sz="6" w:space="0" w:color="FFFFFF"/>
              <w:bottom w:val="single" w:sz="2" w:space="0" w:color="8A8A84"/>
              <w:right w:val="single" w:sz="6" w:space="0" w:color="000000"/>
            </w:tcBorders>
            <w:shd w:val="solid" w:color="EBE7E2" w:fill="auto"/>
            <w:tcMar>
              <w:top w:w="113" w:type="dxa"/>
              <w:left w:w="113" w:type="dxa"/>
              <w:bottom w:w="113" w:type="dxa"/>
              <w:right w:w="80" w:type="dxa"/>
            </w:tcMar>
          </w:tcPr>
          <w:p w14:paraId="0086AFAA" w14:textId="77777777" w:rsidR="006D4CA0" w:rsidRDefault="006D4CA0">
            <w:pPr>
              <w:pStyle w:val="Tabletextbold"/>
            </w:pPr>
            <w:r>
              <w:t xml:space="preserve">Summer Foundation Ltd </w:t>
            </w:r>
          </w:p>
        </w:tc>
        <w:tc>
          <w:tcPr>
            <w:tcW w:w="4740" w:type="dxa"/>
            <w:tcBorders>
              <w:top w:val="single" w:sz="2" w:space="0" w:color="8A8A84"/>
              <w:left w:val="single" w:sz="6" w:space="0" w:color="000000"/>
              <w:bottom w:val="single" w:sz="2" w:space="0" w:color="8A8A84"/>
              <w:right w:val="single" w:sz="6" w:space="0" w:color="000000"/>
            </w:tcBorders>
            <w:shd w:val="solid" w:color="EBE7E2" w:fill="auto"/>
            <w:tcMar>
              <w:top w:w="113" w:type="dxa"/>
              <w:left w:w="113" w:type="dxa"/>
              <w:bottom w:w="113" w:type="dxa"/>
              <w:right w:w="80" w:type="dxa"/>
            </w:tcMar>
          </w:tcPr>
          <w:p w14:paraId="4A0DB18C" w14:textId="77777777" w:rsidR="006D4CA0" w:rsidRDefault="006D4CA0">
            <w:pPr>
              <w:pStyle w:val="Tabletext"/>
            </w:pPr>
            <w:r>
              <w:t xml:space="preserve">Research best practice in the provision of housing that meets the needs of people with complex support needs to provide options for young people currently residing in </w:t>
            </w:r>
            <w:r>
              <w:lastRenderedPageBreak/>
              <w:t>residential aged care facilities.</w:t>
            </w:r>
          </w:p>
        </w:tc>
        <w:tc>
          <w:tcPr>
            <w:tcW w:w="1134" w:type="dxa"/>
            <w:tcBorders>
              <w:top w:val="single" w:sz="2" w:space="0" w:color="8A8A84"/>
              <w:left w:val="single" w:sz="6" w:space="0" w:color="000000"/>
              <w:bottom w:val="single" w:sz="2" w:space="0" w:color="8A8A84"/>
              <w:right w:val="single" w:sz="6" w:space="0" w:color="FFFFFF"/>
            </w:tcBorders>
            <w:shd w:val="solid" w:color="EBE7E2" w:fill="auto"/>
            <w:tcMar>
              <w:top w:w="113" w:type="dxa"/>
              <w:left w:w="113" w:type="dxa"/>
              <w:bottom w:w="113" w:type="dxa"/>
              <w:right w:w="80" w:type="dxa"/>
            </w:tcMar>
          </w:tcPr>
          <w:p w14:paraId="0A6128D2" w14:textId="77777777" w:rsidR="006D4CA0" w:rsidRDefault="006D4CA0">
            <w:pPr>
              <w:pStyle w:val="Tabletext"/>
            </w:pPr>
            <w:r>
              <w:lastRenderedPageBreak/>
              <w:t>CICD</w:t>
            </w:r>
          </w:p>
        </w:tc>
        <w:tc>
          <w:tcPr>
            <w:tcW w:w="1560" w:type="dxa"/>
            <w:tcBorders>
              <w:top w:val="single" w:sz="2" w:space="0" w:color="8A8A84"/>
              <w:left w:val="single" w:sz="6" w:space="0" w:color="FFFFFF"/>
              <w:bottom w:val="single" w:sz="2" w:space="0" w:color="8A8A84"/>
              <w:right w:val="single" w:sz="6" w:space="0" w:color="000000"/>
            </w:tcBorders>
            <w:shd w:val="solid" w:color="EBE7E2" w:fill="auto"/>
            <w:tcMar>
              <w:top w:w="113" w:type="dxa"/>
              <w:left w:w="113" w:type="dxa"/>
              <w:bottom w:w="113" w:type="dxa"/>
              <w:right w:w="80" w:type="dxa"/>
            </w:tcMar>
          </w:tcPr>
          <w:p w14:paraId="4C67C0E0" w14:textId="77777777" w:rsidR="006D4CA0" w:rsidRDefault="006D4CA0">
            <w:pPr>
              <w:pStyle w:val="Tabletext"/>
              <w:jc w:val="right"/>
            </w:pPr>
            <w:r>
              <w:t>$76 873</w:t>
            </w:r>
          </w:p>
        </w:tc>
      </w:tr>
      <w:tr w:rsidR="00D303ED" w14:paraId="1C0BF13C" w14:textId="77777777" w:rsidTr="00D303ED">
        <w:trPr>
          <w:trHeight w:val="60"/>
        </w:trPr>
        <w:tc>
          <w:tcPr>
            <w:tcW w:w="2064" w:type="dxa"/>
            <w:tcBorders>
              <w:top w:val="single" w:sz="2" w:space="0" w:color="8A8A84"/>
              <w:left w:val="single" w:sz="6" w:space="0" w:color="FFFFFF"/>
              <w:bottom w:val="single" w:sz="2" w:space="0" w:color="8A8A84"/>
              <w:right w:val="single" w:sz="6" w:space="0" w:color="000000"/>
            </w:tcBorders>
            <w:shd w:val="solid" w:color="EBE7E2" w:fill="auto"/>
            <w:tcMar>
              <w:top w:w="113" w:type="dxa"/>
              <w:left w:w="113" w:type="dxa"/>
              <w:bottom w:w="113" w:type="dxa"/>
              <w:right w:w="80" w:type="dxa"/>
            </w:tcMar>
          </w:tcPr>
          <w:p w14:paraId="3856C8A2" w14:textId="77777777" w:rsidR="006D4CA0" w:rsidRDefault="006D4CA0">
            <w:pPr>
              <w:pStyle w:val="Tabletextbold"/>
            </w:pPr>
            <w:r>
              <w:lastRenderedPageBreak/>
              <w:t xml:space="preserve">Therapy Focus </w:t>
            </w:r>
          </w:p>
        </w:tc>
        <w:tc>
          <w:tcPr>
            <w:tcW w:w="4740" w:type="dxa"/>
            <w:tcBorders>
              <w:top w:val="single" w:sz="2" w:space="0" w:color="8A8A84"/>
              <w:left w:val="single" w:sz="6" w:space="0" w:color="000000"/>
              <w:bottom w:val="single" w:sz="2" w:space="0" w:color="8A8A84"/>
              <w:right w:val="single" w:sz="6" w:space="0" w:color="000000"/>
            </w:tcBorders>
            <w:shd w:val="solid" w:color="EBE7E2" w:fill="auto"/>
            <w:tcMar>
              <w:top w:w="113" w:type="dxa"/>
              <w:left w:w="113" w:type="dxa"/>
              <w:bottom w:w="113" w:type="dxa"/>
              <w:right w:w="80" w:type="dxa"/>
            </w:tcMar>
          </w:tcPr>
          <w:p w14:paraId="745BB1E9" w14:textId="77777777" w:rsidR="006D4CA0" w:rsidRDefault="006D4CA0">
            <w:pPr>
              <w:pStyle w:val="Tabletext"/>
            </w:pPr>
            <w:r>
              <w:t>Develop and implement training program to therapists and Allied Health professionals in the disability sector to improve toilet training and associated skills.</w:t>
            </w:r>
          </w:p>
        </w:tc>
        <w:tc>
          <w:tcPr>
            <w:tcW w:w="1134" w:type="dxa"/>
            <w:tcBorders>
              <w:top w:val="single" w:sz="2" w:space="0" w:color="8A8A84"/>
              <w:left w:val="single" w:sz="6" w:space="0" w:color="000000"/>
              <w:bottom w:val="single" w:sz="2" w:space="0" w:color="8A8A84"/>
              <w:right w:val="single" w:sz="6" w:space="0" w:color="FFFFFF"/>
            </w:tcBorders>
            <w:shd w:val="solid" w:color="EBE7E2" w:fill="auto"/>
            <w:tcMar>
              <w:top w:w="113" w:type="dxa"/>
              <w:left w:w="113" w:type="dxa"/>
              <w:bottom w:w="113" w:type="dxa"/>
              <w:right w:w="80" w:type="dxa"/>
            </w:tcMar>
          </w:tcPr>
          <w:p w14:paraId="7CC52749" w14:textId="77777777" w:rsidR="006D4CA0" w:rsidRDefault="006D4CA0">
            <w:pPr>
              <w:pStyle w:val="Tabletext"/>
            </w:pPr>
            <w:r>
              <w:t xml:space="preserve">CICD </w:t>
            </w:r>
          </w:p>
        </w:tc>
        <w:tc>
          <w:tcPr>
            <w:tcW w:w="1560" w:type="dxa"/>
            <w:tcBorders>
              <w:top w:val="single" w:sz="2" w:space="0" w:color="8A8A84"/>
              <w:left w:val="single" w:sz="6" w:space="0" w:color="FFFFFF"/>
              <w:bottom w:val="single" w:sz="2" w:space="0" w:color="8A8A84"/>
              <w:right w:val="single" w:sz="6" w:space="0" w:color="000000"/>
            </w:tcBorders>
            <w:shd w:val="solid" w:color="EBE7E2" w:fill="auto"/>
            <w:tcMar>
              <w:top w:w="113" w:type="dxa"/>
              <w:left w:w="113" w:type="dxa"/>
              <w:bottom w:w="113" w:type="dxa"/>
              <w:right w:w="80" w:type="dxa"/>
            </w:tcMar>
          </w:tcPr>
          <w:p w14:paraId="32810E3C" w14:textId="77777777" w:rsidR="006D4CA0" w:rsidRDefault="006D4CA0">
            <w:pPr>
              <w:pStyle w:val="Tabletext"/>
              <w:jc w:val="right"/>
            </w:pPr>
            <w:r>
              <w:t>$36 026</w:t>
            </w:r>
          </w:p>
        </w:tc>
      </w:tr>
      <w:tr w:rsidR="00D303ED" w14:paraId="11E1346B" w14:textId="77777777" w:rsidTr="00D303ED">
        <w:trPr>
          <w:trHeight w:val="60"/>
        </w:trPr>
        <w:tc>
          <w:tcPr>
            <w:tcW w:w="2064" w:type="dxa"/>
            <w:tcBorders>
              <w:top w:val="single" w:sz="2" w:space="0" w:color="8A8A84"/>
              <w:left w:val="single" w:sz="6" w:space="0" w:color="FFFFFF"/>
              <w:bottom w:val="single" w:sz="2" w:space="0" w:color="8A8A84"/>
              <w:right w:val="single" w:sz="6" w:space="0" w:color="000000"/>
            </w:tcBorders>
            <w:shd w:val="solid" w:color="EBE7E2" w:fill="auto"/>
            <w:tcMar>
              <w:top w:w="113" w:type="dxa"/>
              <w:left w:w="113" w:type="dxa"/>
              <w:bottom w:w="113" w:type="dxa"/>
              <w:right w:w="80" w:type="dxa"/>
            </w:tcMar>
          </w:tcPr>
          <w:p w14:paraId="113251AF" w14:textId="77777777" w:rsidR="006D4CA0" w:rsidRDefault="006D4CA0">
            <w:pPr>
              <w:pStyle w:val="Tabletextbold"/>
            </w:pPr>
            <w:proofErr w:type="spellStart"/>
            <w:r>
              <w:t>Tullawon</w:t>
            </w:r>
            <w:proofErr w:type="spellEnd"/>
            <w:r>
              <w:t xml:space="preserve"> Health Service </w:t>
            </w:r>
            <w:proofErr w:type="spellStart"/>
            <w:r>
              <w:t>Inc</w:t>
            </w:r>
            <w:proofErr w:type="spellEnd"/>
          </w:p>
        </w:tc>
        <w:tc>
          <w:tcPr>
            <w:tcW w:w="4740" w:type="dxa"/>
            <w:tcBorders>
              <w:top w:val="single" w:sz="2" w:space="0" w:color="8A8A84"/>
              <w:left w:val="single" w:sz="6" w:space="0" w:color="000000"/>
              <w:bottom w:val="single" w:sz="2" w:space="0" w:color="8A8A84"/>
              <w:right w:val="single" w:sz="6" w:space="0" w:color="000000"/>
            </w:tcBorders>
            <w:shd w:val="solid" w:color="EBE7E2" w:fill="auto"/>
            <w:tcMar>
              <w:top w:w="113" w:type="dxa"/>
              <w:left w:w="113" w:type="dxa"/>
              <w:bottom w:w="113" w:type="dxa"/>
              <w:right w:w="80" w:type="dxa"/>
            </w:tcMar>
          </w:tcPr>
          <w:p w14:paraId="5274539B" w14:textId="77777777" w:rsidR="006D4CA0" w:rsidRDefault="006D4CA0">
            <w:pPr>
              <w:pStyle w:val="Tabletext"/>
            </w:pPr>
            <w:r>
              <w:t xml:space="preserve">To promote the Scheme in remote Indigenous communities to encourage increased NDIS access and pre-planning by Indigenous children in remote communities. </w:t>
            </w:r>
          </w:p>
        </w:tc>
        <w:tc>
          <w:tcPr>
            <w:tcW w:w="1134" w:type="dxa"/>
            <w:tcBorders>
              <w:top w:val="single" w:sz="2" w:space="0" w:color="8A8A84"/>
              <w:left w:val="single" w:sz="6" w:space="0" w:color="000000"/>
              <w:bottom w:val="single" w:sz="2" w:space="0" w:color="8A8A84"/>
              <w:right w:val="single" w:sz="6" w:space="0" w:color="FFFFFF"/>
            </w:tcBorders>
            <w:shd w:val="solid" w:color="EBE7E2" w:fill="auto"/>
            <w:tcMar>
              <w:top w:w="113" w:type="dxa"/>
              <w:left w:w="113" w:type="dxa"/>
              <w:bottom w:w="113" w:type="dxa"/>
              <w:right w:w="80" w:type="dxa"/>
            </w:tcMar>
          </w:tcPr>
          <w:p w14:paraId="53B84184" w14:textId="77777777" w:rsidR="006D4CA0" w:rsidRDefault="006D4CA0">
            <w:pPr>
              <w:pStyle w:val="Tabletext"/>
            </w:pPr>
            <w:r>
              <w:t>CICD</w:t>
            </w:r>
          </w:p>
        </w:tc>
        <w:tc>
          <w:tcPr>
            <w:tcW w:w="1560" w:type="dxa"/>
            <w:tcBorders>
              <w:top w:val="single" w:sz="2" w:space="0" w:color="8A8A84"/>
              <w:left w:val="single" w:sz="6" w:space="0" w:color="FFFFFF"/>
              <w:bottom w:val="single" w:sz="2" w:space="0" w:color="8A8A84"/>
              <w:right w:val="single" w:sz="6" w:space="0" w:color="000000"/>
            </w:tcBorders>
            <w:shd w:val="solid" w:color="EBE7E2" w:fill="auto"/>
            <w:tcMar>
              <w:top w:w="113" w:type="dxa"/>
              <w:left w:w="113" w:type="dxa"/>
              <w:bottom w:w="113" w:type="dxa"/>
              <w:right w:w="80" w:type="dxa"/>
            </w:tcMar>
          </w:tcPr>
          <w:p w14:paraId="5EB6477B" w14:textId="77777777" w:rsidR="006D4CA0" w:rsidRDefault="006D4CA0">
            <w:pPr>
              <w:pStyle w:val="Tabletext"/>
              <w:jc w:val="right"/>
            </w:pPr>
            <w:r>
              <w:t>$80 000</w:t>
            </w:r>
          </w:p>
        </w:tc>
      </w:tr>
      <w:tr w:rsidR="00D303ED" w14:paraId="27822BFD" w14:textId="77777777" w:rsidTr="00D303ED">
        <w:trPr>
          <w:trHeight w:val="60"/>
        </w:trPr>
        <w:tc>
          <w:tcPr>
            <w:tcW w:w="2064" w:type="dxa"/>
            <w:tcBorders>
              <w:top w:val="single" w:sz="2" w:space="0" w:color="8A8A84"/>
              <w:left w:val="single" w:sz="6" w:space="0" w:color="FFFFFF"/>
              <w:bottom w:val="single" w:sz="2" w:space="0" w:color="8A8A84"/>
              <w:right w:val="single" w:sz="6" w:space="0" w:color="000000"/>
            </w:tcBorders>
            <w:shd w:val="solid" w:color="EBE7E2" w:fill="auto"/>
            <w:tcMar>
              <w:top w:w="113" w:type="dxa"/>
              <w:left w:w="113" w:type="dxa"/>
              <w:bottom w:w="113" w:type="dxa"/>
              <w:right w:w="80" w:type="dxa"/>
            </w:tcMar>
          </w:tcPr>
          <w:p w14:paraId="07A4B495" w14:textId="77777777" w:rsidR="006D4CA0" w:rsidRDefault="006D4CA0">
            <w:pPr>
              <w:pStyle w:val="Tabletextbold"/>
            </w:pPr>
            <w:r>
              <w:t>Uniting NSW.ACT trading as Uniting Church in Australia Property Trust (NSW)</w:t>
            </w:r>
          </w:p>
        </w:tc>
        <w:tc>
          <w:tcPr>
            <w:tcW w:w="4740" w:type="dxa"/>
            <w:tcBorders>
              <w:top w:val="single" w:sz="2" w:space="0" w:color="8A8A84"/>
              <w:left w:val="single" w:sz="6" w:space="0" w:color="000000"/>
              <w:bottom w:val="single" w:sz="2" w:space="0" w:color="8A8A84"/>
              <w:right w:val="single" w:sz="6" w:space="0" w:color="000000"/>
            </w:tcBorders>
            <w:shd w:val="solid" w:color="EBE7E2" w:fill="auto"/>
            <w:tcMar>
              <w:top w:w="113" w:type="dxa"/>
              <w:left w:w="113" w:type="dxa"/>
              <w:bottom w:w="113" w:type="dxa"/>
              <w:right w:w="80" w:type="dxa"/>
            </w:tcMar>
          </w:tcPr>
          <w:p w14:paraId="54B06516" w14:textId="77777777" w:rsidR="006D4CA0" w:rsidRDefault="006D4CA0">
            <w:pPr>
              <w:pStyle w:val="Tabletext"/>
            </w:pPr>
            <w:r>
              <w:t xml:space="preserve">Provide housing facilitation and matching service for people with disability. </w:t>
            </w:r>
          </w:p>
        </w:tc>
        <w:tc>
          <w:tcPr>
            <w:tcW w:w="1134" w:type="dxa"/>
            <w:tcBorders>
              <w:top w:val="single" w:sz="2" w:space="0" w:color="8A8A84"/>
              <w:left w:val="single" w:sz="6" w:space="0" w:color="000000"/>
              <w:bottom w:val="single" w:sz="2" w:space="0" w:color="8A8A84"/>
              <w:right w:val="single" w:sz="6" w:space="0" w:color="FFFFFF"/>
            </w:tcBorders>
            <w:shd w:val="solid" w:color="EBE7E2" w:fill="auto"/>
            <w:tcMar>
              <w:top w:w="113" w:type="dxa"/>
              <w:left w:w="113" w:type="dxa"/>
              <w:bottom w:w="113" w:type="dxa"/>
              <w:right w:w="80" w:type="dxa"/>
            </w:tcMar>
          </w:tcPr>
          <w:p w14:paraId="0E22D63C" w14:textId="77777777" w:rsidR="006D4CA0" w:rsidRDefault="006D4CA0">
            <w:pPr>
              <w:pStyle w:val="Tabletext"/>
            </w:pPr>
            <w:r>
              <w:t>CICD</w:t>
            </w:r>
          </w:p>
        </w:tc>
        <w:tc>
          <w:tcPr>
            <w:tcW w:w="1560" w:type="dxa"/>
            <w:tcBorders>
              <w:top w:val="single" w:sz="2" w:space="0" w:color="8A8A84"/>
              <w:left w:val="single" w:sz="6" w:space="0" w:color="FFFFFF"/>
              <w:bottom w:val="single" w:sz="2" w:space="0" w:color="8A8A84"/>
              <w:right w:val="single" w:sz="6" w:space="0" w:color="000000"/>
            </w:tcBorders>
            <w:shd w:val="solid" w:color="EBE7E2" w:fill="auto"/>
            <w:tcMar>
              <w:top w:w="113" w:type="dxa"/>
              <w:left w:w="113" w:type="dxa"/>
              <w:bottom w:w="113" w:type="dxa"/>
              <w:right w:w="80" w:type="dxa"/>
            </w:tcMar>
          </w:tcPr>
          <w:p w14:paraId="69817C15" w14:textId="77777777" w:rsidR="006D4CA0" w:rsidRDefault="006D4CA0">
            <w:pPr>
              <w:pStyle w:val="Tabletext"/>
              <w:jc w:val="right"/>
            </w:pPr>
            <w:r>
              <w:t>$100 000</w:t>
            </w:r>
          </w:p>
        </w:tc>
      </w:tr>
      <w:tr w:rsidR="00D303ED" w14:paraId="721A207E" w14:textId="77777777" w:rsidTr="00D303ED">
        <w:trPr>
          <w:trHeight w:val="60"/>
        </w:trPr>
        <w:tc>
          <w:tcPr>
            <w:tcW w:w="2064" w:type="dxa"/>
            <w:tcBorders>
              <w:top w:val="single" w:sz="2" w:space="0" w:color="8A8A84"/>
              <w:left w:val="single" w:sz="6" w:space="0" w:color="FFFFFF"/>
              <w:bottom w:val="single" w:sz="2" w:space="0" w:color="8A8A84"/>
              <w:right w:val="single" w:sz="6" w:space="0" w:color="000000"/>
            </w:tcBorders>
            <w:shd w:val="solid" w:color="EBE7E2" w:fill="auto"/>
            <w:tcMar>
              <w:top w:w="113" w:type="dxa"/>
              <w:left w:w="113" w:type="dxa"/>
              <w:bottom w:w="113" w:type="dxa"/>
              <w:right w:w="80" w:type="dxa"/>
            </w:tcMar>
          </w:tcPr>
          <w:p w14:paraId="47DE5423" w14:textId="77777777" w:rsidR="006D4CA0" w:rsidRDefault="006D4CA0">
            <w:pPr>
              <w:pStyle w:val="Tabletextbold"/>
            </w:pPr>
            <w:r>
              <w:t xml:space="preserve">The Uniting Church in Australia Property Trust (Q.) trading as </w:t>
            </w:r>
            <w:proofErr w:type="spellStart"/>
            <w:r>
              <w:t>UnitingCare</w:t>
            </w:r>
            <w:proofErr w:type="spellEnd"/>
            <w:r>
              <w:t xml:space="preserve"> Community</w:t>
            </w:r>
          </w:p>
        </w:tc>
        <w:tc>
          <w:tcPr>
            <w:tcW w:w="4740" w:type="dxa"/>
            <w:tcBorders>
              <w:top w:val="single" w:sz="2" w:space="0" w:color="8A8A84"/>
              <w:left w:val="single" w:sz="6" w:space="0" w:color="000000"/>
              <w:bottom w:val="single" w:sz="2" w:space="0" w:color="8A8A84"/>
              <w:right w:val="single" w:sz="6" w:space="0" w:color="000000"/>
            </w:tcBorders>
            <w:shd w:val="solid" w:color="EBE7E2" w:fill="auto"/>
            <w:tcMar>
              <w:top w:w="113" w:type="dxa"/>
              <w:left w:w="113" w:type="dxa"/>
              <w:bottom w:w="113" w:type="dxa"/>
              <w:right w:w="80" w:type="dxa"/>
            </w:tcMar>
          </w:tcPr>
          <w:p w14:paraId="374EAAA4" w14:textId="77777777" w:rsidR="006D4CA0" w:rsidRDefault="006D4CA0">
            <w:pPr>
              <w:pStyle w:val="Tabletext"/>
            </w:pPr>
            <w:r>
              <w:t xml:space="preserve">Early Childhood Intervention services in Townsville and Charters Towers. </w:t>
            </w:r>
          </w:p>
        </w:tc>
        <w:tc>
          <w:tcPr>
            <w:tcW w:w="1134" w:type="dxa"/>
            <w:tcBorders>
              <w:top w:val="single" w:sz="2" w:space="0" w:color="8A8A84"/>
              <w:left w:val="single" w:sz="6" w:space="0" w:color="000000"/>
              <w:bottom w:val="single" w:sz="2" w:space="0" w:color="8A8A84"/>
              <w:right w:val="single" w:sz="6" w:space="0" w:color="FFFFFF"/>
            </w:tcBorders>
            <w:shd w:val="solid" w:color="EBE7E2" w:fill="auto"/>
            <w:tcMar>
              <w:top w:w="113" w:type="dxa"/>
              <w:left w:w="113" w:type="dxa"/>
              <w:bottom w:w="113" w:type="dxa"/>
              <w:right w:w="80" w:type="dxa"/>
            </w:tcMar>
          </w:tcPr>
          <w:p w14:paraId="5FF52CF1" w14:textId="77777777" w:rsidR="006D4CA0" w:rsidRDefault="006D4CA0">
            <w:pPr>
              <w:pStyle w:val="Tabletext"/>
            </w:pPr>
            <w:r>
              <w:t>CICD</w:t>
            </w:r>
          </w:p>
        </w:tc>
        <w:tc>
          <w:tcPr>
            <w:tcW w:w="1560" w:type="dxa"/>
            <w:tcBorders>
              <w:top w:val="single" w:sz="2" w:space="0" w:color="8A8A84"/>
              <w:left w:val="single" w:sz="6" w:space="0" w:color="FFFFFF"/>
              <w:bottom w:val="single" w:sz="2" w:space="0" w:color="8A8A84"/>
              <w:right w:val="single" w:sz="6" w:space="0" w:color="000000"/>
            </w:tcBorders>
            <w:shd w:val="solid" w:color="EBE7E2" w:fill="auto"/>
            <w:tcMar>
              <w:top w:w="113" w:type="dxa"/>
              <w:left w:w="113" w:type="dxa"/>
              <w:bottom w:w="113" w:type="dxa"/>
              <w:right w:w="80" w:type="dxa"/>
            </w:tcMar>
          </w:tcPr>
          <w:p w14:paraId="5BCA11CF" w14:textId="77777777" w:rsidR="006D4CA0" w:rsidRDefault="006D4CA0">
            <w:pPr>
              <w:pStyle w:val="Tabletext"/>
              <w:jc w:val="right"/>
            </w:pPr>
            <w:r>
              <w:t>$270 774</w:t>
            </w:r>
          </w:p>
        </w:tc>
      </w:tr>
      <w:tr w:rsidR="00D303ED" w14:paraId="7FBF65AE" w14:textId="77777777" w:rsidTr="00D303ED">
        <w:trPr>
          <w:trHeight w:val="60"/>
        </w:trPr>
        <w:tc>
          <w:tcPr>
            <w:tcW w:w="2064" w:type="dxa"/>
            <w:tcBorders>
              <w:top w:val="single" w:sz="2" w:space="0" w:color="8A8A84"/>
              <w:left w:val="single" w:sz="6" w:space="0" w:color="FFFFFF"/>
              <w:bottom w:val="single" w:sz="2" w:space="0" w:color="8A8A84"/>
              <w:right w:val="single" w:sz="6" w:space="0" w:color="000000"/>
            </w:tcBorders>
            <w:shd w:val="solid" w:color="EBE7E2" w:fill="auto"/>
            <w:tcMar>
              <w:top w:w="113" w:type="dxa"/>
              <w:left w:w="113" w:type="dxa"/>
              <w:bottom w:w="113" w:type="dxa"/>
              <w:right w:w="80" w:type="dxa"/>
            </w:tcMar>
          </w:tcPr>
          <w:p w14:paraId="6F5D69FF" w14:textId="77777777" w:rsidR="006D4CA0" w:rsidRDefault="006D4CA0">
            <w:pPr>
              <w:pStyle w:val="Tabletextbold"/>
            </w:pPr>
            <w:proofErr w:type="spellStart"/>
            <w:r>
              <w:t>Urapuntja</w:t>
            </w:r>
            <w:proofErr w:type="spellEnd"/>
            <w:r>
              <w:t xml:space="preserve"> Aboriginal Corporation </w:t>
            </w:r>
          </w:p>
        </w:tc>
        <w:tc>
          <w:tcPr>
            <w:tcW w:w="4740" w:type="dxa"/>
            <w:tcBorders>
              <w:top w:val="single" w:sz="2" w:space="0" w:color="8A8A84"/>
              <w:left w:val="single" w:sz="6" w:space="0" w:color="000000"/>
              <w:bottom w:val="single" w:sz="2" w:space="0" w:color="8A8A84"/>
              <w:right w:val="single" w:sz="6" w:space="0" w:color="000000"/>
            </w:tcBorders>
            <w:shd w:val="solid" w:color="EBE7E2" w:fill="auto"/>
            <w:tcMar>
              <w:top w:w="113" w:type="dxa"/>
              <w:left w:w="113" w:type="dxa"/>
              <w:bottom w:w="113" w:type="dxa"/>
              <w:right w:w="80" w:type="dxa"/>
            </w:tcMar>
          </w:tcPr>
          <w:p w14:paraId="6DB84EF3" w14:textId="77777777" w:rsidR="006D4CA0" w:rsidRDefault="006D4CA0">
            <w:pPr>
              <w:pStyle w:val="Tabletext"/>
            </w:pPr>
            <w:r>
              <w:t>Development of NDIS engagement tools.</w:t>
            </w:r>
          </w:p>
        </w:tc>
        <w:tc>
          <w:tcPr>
            <w:tcW w:w="1134" w:type="dxa"/>
            <w:tcBorders>
              <w:top w:val="single" w:sz="2" w:space="0" w:color="8A8A84"/>
              <w:left w:val="single" w:sz="6" w:space="0" w:color="000000"/>
              <w:bottom w:val="single" w:sz="2" w:space="0" w:color="8A8A84"/>
              <w:right w:val="single" w:sz="6" w:space="0" w:color="FFFFFF"/>
            </w:tcBorders>
            <w:shd w:val="solid" w:color="EBE7E2" w:fill="auto"/>
            <w:tcMar>
              <w:top w:w="113" w:type="dxa"/>
              <w:left w:w="113" w:type="dxa"/>
              <w:bottom w:w="113" w:type="dxa"/>
              <w:right w:w="80" w:type="dxa"/>
            </w:tcMar>
          </w:tcPr>
          <w:p w14:paraId="52B9AF18" w14:textId="77777777" w:rsidR="006D4CA0" w:rsidRDefault="006D4CA0">
            <w:pPr>
              <w:pStyle w:val="Tabletext"/>
            </w:pPr>
            <w:r>
              <w:t>CICD</w:t>
            </w:r>
          </w:p>
        </w:tc>
        <w:tc>
          <w:tcPr>
            <w:tcW w:w="1560" w:type="dxa"/>
            <w:tcBorders>
              <w:top w:val="single" w:sz="2" w:space="0" w:color="8A8A84"/>
              <w:left w:val="single" w:sz="6" w:space="0" w:color="FFFFFF"/>
              <w:bottom w:val="single" w:sz="2" w:space="0" w:color="8A8A84"/>
              <w:right w:val="single" w:sz="6" w:space="0" w:color="000000"/>
            </w:tcBorders>
            <w:shd w:val="solid" w:color="EBE7E2" w:fill="auto"/>
            <w:tcMar>
              <w:top w:w="113" w:type="dxa"/>
              <w:left w:w="113" w:type="dxa"/>
              <w:bottom w:w="113" w:type="dxa"/>
              <w:right w:w="80" w:type="dxa"/>
            </w:tcMar>
          </w:tcPr>
          <w:p w14:paraId="387F1E6F" w14:textId="77777777" w:rsidR="006D4CA0" w:rsidRDefault="006D4CA0">
            <w:pPr>
              <w:pStyle w:val="Tabletext"/>
              <w:jc w:val="right"/>
            </w:pPr>
            <w:r>
              <w:t>$25 000</w:t>
            </w:r>
          </w:p>
        </w:tc>
      </w:tr>
      <w:tr w:rsidR="00D303ED" w14:paraId="4C85B095" w14:textId="77777777" w:rsidTr="00D303ED">
        <w:trPr>
          <w:trHeight w:val="60"/>
        </w:trPr>
        <w:tc>
          <w:tcPr>
            <w:tcW w:w="2064" w:type="dxa"/>
            <w:tcBorders>
              <w:top w:val="single" w:sz="2" w:space="0" w:color="8A8A84"/>
              <w:left w:val="single" w:sz="6" w:space="0" w:color="FFFFFF"/>
              <w:bottom w:val="single" w:sz="2" w:space="0" w:color="8A8A84"/>
              <w:right w:val="single" w:sz="6" w:space="0" w:color="000000"/>
            </w:tcBorders>
            <w:shd w:val="solid" w:color="EBE7E2" w:fill="auto"/>
            <w:tcMar>
              <w:top w:w="113" w:type="dxa"/>
              <w:left w:w="113" w:type="dxa"/>
              <w:bottom w:w="113" w:type="dxa"/>
              <w:right w:w="80" w:type="dxa"/>
            </w:tcMar>
          </w:tcPr>
          <w:p w14:paraId="6CACD0D9" w14:textId="77777777" w:rsidR="006D4CA0" w:rsidRDefault="006D4CA0">
            <w:pPr>
              <w:pStyle w:val="Tabletextbold"/>
            </w:pPr>
            <w:r>
              <w:t xml:space="preserve">VALID–The Victorian Advocacy League for individuals with Disability Incorporated </w:t>
            </w:r>
          </w:p>
        </w:tc>
        <w:tc>
          <w:tcPr>
            <w:tcW w:w="4740" w:type="dxa"/>
            <w:tcBorders>
              <w:top w:val="single" w:sz="2" w:space="0" w:color="8A8A84"/>
              <w:left w:val="single" w:sz="6" w:space="0" w:color="000000"/>
              <w:bottom w:val="single" w:sz="2" w:space="0" w:color="8A8A84"/>
              <w:right w:val="single" w:sz="6" w:space="0" w:color="000000"/>
            </w:tcBorders>
            <w:shd w:val="solid" w:color="EBE7E2" w:fill="auto"/>
            <w:tcMar>
              <w:top w:w="113" w:type="dxa"/>
              <w:left w:w="113" w:type="dxa"/>
              <w:bottom w:w="113" w:type="dxa"/>
              <w:right w:w="80" w:type="dxa"/>
            </w:tcMar>
          </w:tcPr>
          <w:p w14:paraId="3CD512C9" w14:textId="77777777" w:rsidR="006D4CA0" w:rsidRDefault="006D4CA0">
            <w:pPr>
              <w:pStyle w:val="Tabletext"/>
            </w:pPr>
            <w:r>
              <w:t xml:space="preserve">Determine best practice for the supporters of people with disability to support decision making by people with impaired decision making. </w:t>
            </w:r>
          </w:p>
        </w:tc>
        <w:tc>
          <w:tcPr>
            <w:tcW w:w="1134" w:type="dxa"/>
            <w:tcBorders>
              <w:top w:val="single" w:sz="2" w:space="0" w:color="8A8A84"/>
              <w:left w:val="single" w:sz="6" w:space="0" w:color="000000"/>
              <w:bottom w:val="single" w:sz="2" w:space="0" w:color="8A8A84"/>
              <w:right w:val="single" w:sz="6" w:space="0" w:color="FFFFFF"/>
            </w:tcBorders>
            <w:shd w:val="solid" w:color="EBE7E2" w:fill="auto"/>
            <w:tcMar>
              <w:top w:w="113" w:type="dxa"/>
              <w:left w:w="113" w:type="dxa"/>
              <w:bottom w:w="113" w:type="dxa"/>
              <w:right w:w="80" w:type="dxa"/>
            </w:tcMar>
          </w:tcPr>
          <w:p w14:paraId="553E8FE5" w14:textId="77777777" w:rsidR="006D4CA0" w:rsidRDefault="006D4CA0">
            <w:pPr>
              <w:pStyle w:val="Tabletext"/>
            </w:pPr>
            <w:r>
              <w:t>CICD</w:t>
            </w:r>
          </w:p>
        </w:tc>
        <w:tc>
          <w:tcPr>
            <w:tcW w:w="1560" w:type="dxa"/>
            <w:tcBorders>
              <w:top w:val="single" w:sz="2" w:space="0" w:color="8A8A84"/>
              <w:left w:val="single" w:sz="6" w:space="0" w:color="FFFFFF"/>
              <w:bottom w:val="single" w:sz="2" w:space="0" w:color="8A8A84"/>
              <w:right w:val="single" w:sz="6" w:space="0" w:color="000000"/>
            </w:tcBorders>
            <w:shd w:val="solid" w:color="EBE7E2" w:fill="auto"/>
            <w:tcMar>
              <w:top w:w="113" w:type="dxa"/>
              <w:left w:w="113" w:type="dxa"/>
              <w:bottom w:w="113" w:type="dxa"/>
              <w:right w:w="80" w:type="dxa"/>
            </w:tcMar>
          </w:tcPr>
          <w:p w14:paraId="5C232D17" w14:textId="77777777" w:rsidR="006D4CA0" w:rsidRDefault="006D4CA0">
            <w:pPr>
              <w:pStyle w:val="Tabletext"/>
              <w:jc w:val="right"/>
            </w:pPr>
            <w:r>
              <w:t>$446 132</w:t>
            </w:r>
          </w:p>
        </w:tc>
      </w:tr>
      <w:tr w:rsidR="00D303ED" w14:paraId="511A5612" w14:textId="77777777" w:rsidTr="00D303ED">
        <w:trPr>
          <w:trHeight w:val="60"/>
        </w:trPr>
        <w:tc>
          <w:tcPr>
            <w:tcW w:w="2064" w:type="dxa"/>
            <w:tcBorders>
              <w:top w:val="single" w:sz="2" w:space="0" w:color="8A8A84"/>
              <w:left w:val="single" w:sz="6" w:space="0" w:color="FFFFFF"/>
              <w:bottom w:val="single" w:sz="2" w:space="0" w:color="8A8A84"/>
              <w:right w:val="single" w:sz="6" w:space="0" w:color="000000"/>
            </w:tcBorders>
            <w:shd w:val="solid" w:color="EBE7E2" w:fill="auto"/>
            <w:tcMar>
              <w:top w:w="113" w:type="dxa"/>
              <w:left w:w="113" w:type="dxa"/>
              <w:bottom w:w="113" w:type="dxa"/>
              <w:right w:w="80" w:type="dxa"/>
            </w:tcMar>
          </w:tcPr>
          <w:p w14:paraId="3FD42D2E" w14:textId="77777777" w:rsidR="006D4CA0" w:rsidRDefault="006D4CA0">
            <w:pPr>
              <w:pStyle w:val="Tabletextbold"/>
            </w:pPr>
            <w:r>
              <w:t xml:space="preserve">Young People in Nursing Homes Alliance </w:t>
            </w:r>
          </w:p>
        </w:tc>
        <w:tc>
          <w:tcPr>
            <w:tcW w:w="4740" w:type="dxa"/>
            <w:tcBorders>
              <w:top w:val="single" w:sz="2" w:space="0" w:color="8A8A84"/>
              <w:left w:val="single" w:sz="6" w:space="0" w:color="000000"/>
              <w:bottom w:val="single" w:sz="2" w:space="0" w:color="8A8A84"/>
              <w:right w:val="single" w:sz="6" w:space="0" w:color="000000"/>
            </w:tcBorders>
            <w:shd w:val="solid" w:color="EBE7E2" w:fill="auto"/>
            <w:tcMar>
              <w:top w:w="113" w:type="dxa"/>
              <w:left w:w="113" w:type="dxa"/>
              <w:bottom w:w="113" w:type="dxa"/>
              <w:right w:w="80" w:type="dxa"/>
            </w:tcMar>
          </w:tcPr>
          <w:p w14:paraId="49D60A83" w14:textId="77777777" w:rsidR="006D4CA0" w:rsidRDefault="006D4CA0">
            <w:pPr>
              <w:pStyle w:val="Tabletext"/>
            </w:pPr>
            <w:r>
              <w:t>Establish a mechanism for formal engagement with mainstream service providers (Health, Housing, Aged Care, Education and Justice) to work collaboratively with the National Disability Insurance Agency and improve their member provider’s capacity to include people with disability.</w:t>
            </w:r>
          </w:p>
        </w:tc>
        <w:tc>
          <w:tcPr>
            <w:tcW w:w="1134" w:type="dxa"/>
            <w:tcBorders>
              <w:top w:val="single" w:sz="2" w:space="0" w:color="8A8A84"/>
              <w:left w:val="single" w:sz="6" w:space="0" w:color="000000"/>
              <w:bottom w:val="single" w:sz="2" w:space="0" w:color="8A8A84"/>
              <w:right w:val="single" w:sz="6" w:space="0" w:color="FFFFFF"/>
            </w:tcBorders>
            <w:shd w:val="solid" w:color="EBE7E2" w:fill="auto"/>
            <w:tcMar>
              <w:top w:w="113" w:type="dxa"/>
              <w:left w:w="113" w:type="dxa"/>
              <w:bottom w:w="113" w:type="dxa"/>
              <w:right w:w="80" w:type="dxa"/>
            </w:tcMar>
          </w:tcPr>
          <w:p w14:paraId="335E2466" w14:textId="77777777" w:rsidR="006D4CA0" w:rsidRDefault="006D4CA0">
            <w:pPr>
              <w:pStyle w:val="Tabletext"/>
            </w:pPr>
            <w:r>
              <w:t>CICD</w:t>
            </w:r>
          </w:p>
        </w:tc>
        <w:tc>
          <w:tcPr>
            <w:tcW w:w="1560" w:type="dxa"/>
            <w:tcBorders>
              <w:top w:val="single" w:sz="2" w:space="0" w:color="8A8A84"/>
              <w:left w:val="single" w:sz="6" w:space="0" w:color="FFFFFF"/>
              <w:bottom w:val="single" w:sz="2" w:space="0" w:color="8A8A84"/>
              <w:right w:val="single" w:sz="6" w:space="0" w:color="000000"/>
            </w:tcBorders>
            <w:shd w:val="solid" w:color="EBE7E2" w:fill="auto"/>
            <w:tcMar>
              <w:top w:w="113" w:type="dxa"/>
              <w:left w:w="113" w:type="dxa"/>
              <w:bottom w:w="113" w:type="dxa"/>
              <w:right w:w="80" w:type="dxa"/>
            </w:tcMar>
          </w:tcPr>
          <w:p w14:paraId="3DA72A9B" w14:textId="77777777" w:rsidR="006D4CA0" w:rsidRDefault="006D4CA0">
            <w:pPr>
              <w:pStyle w:val="Tabletext"/>
              <w:jc w:val="right"/>
            </w:pPr>
            <w:r>
              <w:t>$77 033</w:t>
            </w:r>
          </w:p>
        </w:tc>
      </w:tr>
      <w:tr w:rsidR="00D303ED" w14:paraId="356F5B47" w14:textId="77777777" w:rsidTr="00D303ED">
        <w:trPr>
          <w:trHeight w:val="60"/>
        </w:trPr>
        <w:tc>
          <w:tcPr>
            <w:tcW w:w="2064" w:type="dxa"/>
            <w:tcBorders>
              <w:top w:val="single" w:sz="2" w:space="0" w:color="8A8A84"/>
              <w:left w:val="single" w:sz="6" w:space="0" w:color="FFFFFF"/>
              <w:bottom w:val="single" w:sz="2" w:space="0" w:color="8A8A84"/>
              <w:right w:val="single" w:sz="6" w:space="0" w:color="000000"/>
            </w:tcBorders>
            <w:shd w:val="solid" w:color="EBE7E2" w:fill="auto"/>
            <w:tcMar>
              <w:top w:w="113" w:type="dxa"/>
              <w:left w:w="113" w:type="dxa"/>
              <w:bottom w:w="113" w:type="dxa"/>
              <w:right w:w="80" w:type="dxa"/>
            </w:tcMar>
          </w:tcPr>
          <w:p w14:paraId="7A64E19A" w14:textId="77777777" w:rsidR="006D4CA0" w:rsidRDefault="006D4CA0">
            <w:pPr>
              <w:pStyle w:val="Tabletextbold"/>
            </w:pPr>
            <w:r>
              <w:t xml:space="preserve">Youth Network of Tasmania </w:t>
            </w:r>
          </w:p>
        </w:tc>
        <w:tc>
          <w:tcPr>
            <w:tcW w:w="4740" w:type="dxa"/>
            <w:tcBorders>
              <w:top w:val="single" w:sz="2" w:space="0" w:color="8A8A84"/>
              <w:left w:val="single" w:sz="6" w:space="0" w:color="000000"/>
              <w:bottom w:val="single" w:sz="2" w:space="0" w:color="8A8A84"/>
              <w:right w:val="single" w:sz="6" w:space="0" w:color="000000"/>
            </w:tcBorders>
            <w:shd w:val="solid" w:color="EBE7E2" w:fill="auto"/>
            <w:tcMar>
              <w:top w:w="113" w:type="dxa"/>
              <w:left w:w="113" w:type="dxa"/>
              <w:bottom w:w="113" w:type="dxa"/>
              <w:right w:w="80" w:type="dxa"/>
            </w:tcMar>
          </w:tcPr>
          <w:p w14:paraId="0B2FD4D3" w14:textId="77777777" w:rsidR="006D4CA0" w:rsidRDefault="006D4CA0">
            <w:pPr>
              <w:pStyle w:val="Tabletext"/>
            </w:pPr>
            <w:r>
              <w:t>Development of youth advisory network framework.</w:t>
            </w:r>
          </w:p>
        </w:tc>
        <w:tc>
          <w:tcPr>
            <w:tcW w:w="1134" w:type="dxa"/>
            <w:tcBorders>
              <w:top w:val="single" w:sz="2" w:space="0" w:color="8A8A84"/>
              <w:left w:val="single" w:sz="6" w:space="0" w:color="000000"/>
              <w:bottom w:val="single" w:sz="2" w:space="0" w:color="8A8A84"/>
              <w:right w:val="single" w:sz="6" w:space="0" w:color="FFFFFF"/>
            </w:tcBorders>
            <w:shd w:val="solid" w:color="EBE7E2" w:fill="auto"/>
            <w:tcMar>
              <w:top w:w="113" w:type="dxa"/>
              <w:left w:w="113" w:type="dxa"/>
              <w:bottom w:w="113" w:type="dxa"/>
              <w:right w:w="80" w:type="dxa"/>
            </w:tcMar>
          </w:tcPr>
          <w:p w14:paraId="45044A24" w14:textId="77777777" w:rsidR="006D4CA0" w:rsidRDefault="006D4CA0">
            <w:pPr>
              <w:pStyle w:val="Tabletext"/>
            </w:pPr>
            <w:r>
              <w:t>CICD</w:t>
            </w:r>
          </w:p>
        </w:tc>
        <w:tc>
          <w:tcPr>
            <w:tcW w:w="1560" w:type="dxa"/>
            <w:tcBorders>
              <w:top w:val="single" w:sz="2" w:space="0" w:color="8A8A84"/>
              <w:left w:val="single" w:sz="6" w:space="0" w:color="FFFFFF"/>
              <w:bottom w:val="single" w:sz="2" w:space="0" w:color="8A8A84"/>
              <w:right w:val="single" w:sz="6" w:space="0" w:color="000000"/>
            </w:tcBorders>
            <w:shd w:val="solid" w:color="EBE7E2" w:fill="auto"/>
            <w:tcMar>
              <w:top w:w="113" w:type="dxa"/>
              <w:left w:w="113" w:type="dxa"/>
              <w:bottom w:w="113" w:type="dxa"/>
              <w:right w:w="80" w:type="dxa"/>
            </w:tcMar>
          </w:tcPr>
          <w:p w14:paraId="509D165A" w14:textId="77777777" w:rsidR="006D4CA0" w:rsidRDefault="006D4CA0">
            <w:pPr>
              <w:pStyle w:val="Tabletext"/>
              <w:jc w:val="right"/>
            </w:pPr>
            <w:r>
              <w:t>$23 930</w:t>
            </w:r>
          </w:p>
        </w:tc>
      </w:tr>
    </w:tbl>
    <w:p w14:paraId="59858985" w14:textId="32125287" w:rsidR="008167BE" w:rsidRDefault="008167BE" w:rsidP="008167BE">
      <w:pPr>
        <w:pStyle w:val="Heading2"/>
      </w:pPr>
      <w:bookmarkStart w:id="64" w:name="_Toc464482116"/>
      <w:r w:rsidRPr="008167BE">
        <w:lastRenderedPageBreak/>
        <w:t>Program 1.3 Agency costs</w:t>
      </w:r>
      <w:bookmarkEnd w:id="64"/>
    </w:p>
    <w:p w14:paraId="4EBC3CE5" w14:textId="79FA2813" w:rsidR="00C61FD7" w:rsidRDefault="00C61FD7" w:rsidP="00C61FD7">
      <w:pPr>
        <w:pStyle w:val="Heading3"/>
      </w:pPr>
      <w:r>
        <w:t>Agency costs program</w:t>
      </w:r>
    </w:p>
    <w:p w14:paraId="2678EC9E" w14:textId="77777777" w:rsidR="00C61FD7" w:rsidRDefault="00C61FD7" w:rsidP="00C61FD7">
      <w:pPr>
        <w:pStyle w:val="BodyCopy"/>
      </w:pPr>
      <w:r>
        <w:t>Ongoing financial sustainability is vital to the Agency’s long term ability to deliver the Scheme to people with disability around Australia. For the Scheme to remain economically viable it is governed using strict insurance principles.</w:t>
      </w:r>
    </w:p>
    <w:p w14:paraId="081A318F" w14:textId="77777777" w:rsidR="00C61FD7" w:rsidRDefault="00C61FD7" w:rsidP="00C61FD7">
      <w:pPr>
        <w:pStyle w:val="BodyCopy"/>
      </w:pPr>
      <w:r>
        <w:t xml:space="preserve">Management of cost drivers is a key component of the insurance approach, requiring strong monitoring of Scheme experience, including actuarial analysis, which compares actual experience with expected experience. This comparison allows cost pressures to be identified and addressed in a timely manner. </w:t>
      </w:r>
    </w:p>
    <w:p w14:paraId="6FEBEB5A" w14:textId="77777777" w:rsidR="00C61FD7" w:rsidRDefault="00C61FD7" w:rsidP="00C61FD7">
      <w:pPr>
        <w:pStyle w:val="BodyCopy"/>
      </w:pPr>
      <w:r>
        <w:t>The Agency costs program ensures efficient and effective use of the operating resources to implement the outcomes of the Agency.</w:t>
      </w:r>
    </w:p>
    <w:p w14:paraId="48B0C292" w14:textId="77777777" w:rsidR="00C61FD7" w:rsidRDefault="00C61FD7" w:rsidP="00C61FD7">
      <w:pPr>
        <w:pStyle w:val="BodyCopy"/>
      </w:pPr>
      <w:r>
        <w:t>The Agency costs program contributes to the outcome as it is the primary delivery mechanism for the implementation of the Scheme. The Agency is responsible for assessing applicants to the Scheme and developing plans for those who are eligible in a manner that is based on insurance principles. The Agency administers the payments made under Program 1.1. to provide funding for reasonable and necessary care and support to eligible people with disability, and to ensure they are in control and have choices to appropriately support their independence and social and economic participation.</w:t>
      </w:r>
    </w:p>
    <w:p w14:paraId="40254404" w14:textId="77777777" w:rsidR="00C61FD7" w:rsidRDefault="00C61FD7" w:rsidP="00C61FD7">
      <w:pPr>
        <w:pStyle w:val="BodyCopy"/>
      </w:pPr>
      <w:r>
        <w:t xml:space="preserve">The Agency develops and maintains the strategies and frameworks to be used in the transition of the Scheme from trial to full Scheme. These strategies and frameworks include the process for assessment and planning, disability services market development and community engagement and communications. The actions of the Agency are expected to impact all Australians with a particular focus on people with a disability, their </w:t>
      </w:r>
      <w:proofErr w:type="spellStart"/>
      <w:r>
        <w:t>carers</w:t>
      </w:r>
      <w:proofErr w:type="spellEnd"/>
      <w:r>
        <w:t xml:space="preserve"> and families.</w:t>
      </w:r>
    </w:p>
    <w:p w14:paraId="70AF1349" w14:textId="2D5C98D5" w:rsidR="00C61FD7" w:rsidRDefault="00C61FD7" w:rsidP="00C61FD7">
      <w:pPr>
        <w:pStyle w:val="Heading3"/>
      </w:pPr>
      <w:r>
        <w:t>A note on Agency costs during launch</w:t>
      </w:r>
    </w:p>
    <w:p w14:paraId="0783BC74" w14:textId="77777777" w:rsidR="00C61FD7" w:rsidRDefault="00C61FD7" w:rsidP="00C61FD7">
      <w:pPr>
        <w:pStyle w:val="BodyCopy"/>
      </w:pPr>
      <w:r>
        <w:t xml:space="preserve">The Agency’s resourcing during the early years of the Scheme’s full launch includes a significant investment in infrastructure, including the development of a national ICT system and the establishment of service delivery </w:t>
      </w:r>
      <w:proofErr w:type="spellStart"/>
      <w:r>
        <w:t>centres</w:t>
      </w:r>
      <w:proofErr w:type="spellEnd"/>
      <w:r>
        <w:t xml:space="preserve"> in line with bilateral agreements. </w:t>
      </w:r>
    </w:p>
    <w:p w14:paraId="63E15507" w14:textId="77777777" w:rsidR="00C61FD7" w:rsidRDefault="00C61FD7" w:rsidP="00C61FD7">
      <w:pPr>
        <w:pStyle w:val="BodyCopy"/>
      </w:pPr>
      <w:r>
        <w:t>The Agency has made, and will continue to make, significant investment in project management capability and capacity to support the rollout of full Scheme and avoid cost overruns. This includes the establishment of an Enterprise Program Management Office to support project delivery across the Agency.</w:t>
      </w:r>
    </w:p>
    <w:p w14:paraId="5687D1CC" w14:textId="77777777" w:rsidR="00C61FD7" w:rsidRDefault="00C61FD7" w:rsidP="00C61FD7">
      <w:pPr>
        <w:pStyle w:val="BodyCopy"/>
      </w:pPr>
      <w:r>
        <w:t>To deliver the full Scheme rollout, the Agency has increased staffing and other resources progressively in line with a significant increase in participant numbers and geographical expansion of the Scheme. The Agency is committed to delivering these resources in line with bilateral agreements.</w:t>
      </w:r>
    </w:p>
    <w:p w14:paraId="33885A4C" w14:textId="77777777" w:rsidR="00C61FD7" w:rsidRDefault="00C61FD7" w:rsidP="00C61FD7">
      <w:pPr>
        <w:pStyle w:val="BodyCopy"/>
      </w:pPr>
      <w:r>
        <w:t>A number of mechanisms are in place to manage this growth including:</w:t>
      </w:r>
    </w:p>
    <w:p w14:paraId="10FCF1A0" w14:textId="77777777" w:rsidR="00C61FD7" w:rsidRDefault="00C61FD7" w:rsidP="00C61FD7">
      <w:pPr>
        <w:pStyle w:val="BodyBullets"/>
      </w:pPr>
      <w:r>
        <w:t xml:space="preserve">a </w:t>
      </w:r>
      <w:proofErr w:type="spellStart"/>
      <w:r>
        <w:t>prioritised</w:t>
      </w:r>
      <w:proofErr w:type="spellEnd"/>
      <w:r>
        <w:t xml:space="preserve"> resource allocation model in line with Agency strategy (including early investment in critical Agency functions)</w:t>
      </w:r>
    </w:p>
    <w:p w14:paraId="52CE3CB3" w14:textId="77777777" w:rsidR="00C61FD7" w:rsidRDefault="00C61FD7" w:rsidP="00C61FD7">
      <w:pPr>
        <w:pStyle w:val="BodyBullets"/>
      </w:pPr>
      <w:r>
        <w:t>comprehensive and nationally consistent financial policies and processes</w:t>
      </w:r>
    </w:p>
    <w:p w14:paraId="4CFB73FF" w14:textId="77777777" w:rsidR="00C61FD7" w:rsidRDefault="00C61FD7" w:rsidP="00C61FD7">
      <w:pPr>
        <w:pStyle w:val="BodyBullets"/>
      </w:pPr>
      <w:r>
        <w:t>regular internal reporting and analysis of financial results and non-financial indicators</w:t>
      </w:r>
    </w:p>
    <w:p w14:paraId="659DD6B9" w14:textId="77777777" w:rsidR="00C61FD7" w:rsidRDefault="00C61FD7" w:rsidP="00C61FD7">
      <w:pPr>
        <w:pStyle w:val="BodyBullets-last"/>
      </w:pPr>
      <w:r>
        <w:rPr>
          <w:spacing w:val="-4"/>
        </w:rPr>
        <w:t>a formal approach to financial risk mitigation, with oversight from the CEO and the Board.</w:t>
      </w:r>
    </w:p>
    <w:p w14:paraId="73437648" w14:textId="20A606F1" w:rsidR="00C61FD7" w:rsidRDefault="00C61FD7" w:rsidP="00C61FD7">
      <w:pPr>
        <w:pStyle w:val="Heading3"/>
      </w:pPr>
      <w:r>
        <w:lastRenderedPageBreak/>
        <w:t>Objective</w:t>
      </w:r>
    </w:p>
    <w:p w14:paraId="7E1DAAC1" w14:textId="77777777" w:rsidR="00C61FD7" w:rsidRDefault="00C61FD7" w:rsidP="00C61FD7">
      <w:pPr>
        <w:pStyle w:val="BodyCopy"/>
      </w:pPr>
      <w:r>
        <w:t xml:space="preserve">To ensure efficient and effective use of the Agency operating resources to implement </w:t>
      </w:r>
      <w:r>
        <w:br/>
        <w:t>the outcomes of the Agency.</w:t>
      </w:r>
    </w:p>
    <w:p w14:paraId="532C9F08" w14:textId="7EC30D71" w:rsidR="00C61FD7" w:rsidRDefault="00C61FD7" w:rsidP="00C61FD7">
      <w:pPr>
        <w:pStyle w:val="Heading3"/>
      </w:pPr>
      <w:r>
        <w:t>Deliverables</w:t>
      </w:r>
    </w:p>
    <w:p w14:paraId="71DDC58D" w14:textId="3486E0D7" w:rsidR="00C61FD7" w:rsidRDefault="00C61FD7" w:rsidP="00165190">
      <w:pPr>
        <w:pStyle w:val="BodyBullets"/>
      </w:pPr>
      <w:r>
        <w:t>Eligible people with disability are supported to transition into the Scheme.</w:t>
      </w:r>
      <w:r w:rsidR="00013870" w:rsidRPr="00013870">
        <w:rPr>
          <w:b/>
          <w:color w:val="6B2976" w:themeColor="text2"/>
        </w:rPr>
        <w:t xml:space="preserve"> </w:t>
      </w:r>
      <w:r w:rsidR="00013870" w:rsidRPr="00A0445B">
        <w:rPr>
          <w:b/>
          <w:color w:val="6B2976" w:themeColor="text2"/>
        </w:rPr>
        <w:t>Achieved</w:t>
      </w:r>
    </w:p>
    <w:p w14:paraId="63F0B5A5" w14:textId="21215AC1" w:rsidR="00C61FD7" w:rsidRDefault="00C61FD7" w:rsidP="00165190">
      <w:pPr>
        <w:pStyle w:val="BodyBullets"/>
      </w:pPr>
      <w:r>
        <w:t>Implementation of intergovernmental agreements and bilateral agreements between the Commonwealth and the states and territories for transition to the Scheme.</w:t>
      </w:r>
      <w:r w:rsidR="00013870" w:rsidRPr="00013870">
        <w:rPr>
          <w:b/>
          <w:color w:val="6B2976" w:themeColor="text2"/>
        </w:rPr>
        <w:t xml:space="preserve"> </w:t>
      </w:r>
      <w:r w:rsidR="00590765">
        <w:rPr>
          <w:b/>
          <w:color w:val="6B2976" w:themeColor="text2"/>
        </w:rPr>
        <w:t>Partially a</w:t>
      </w:r>
      <w:r w:rsidR="00013870" w:rsidRPr="00A0445B">
        <w:rPr>
          <w:b/>
          <w:color w:val="6B2976" w:themeColor="text2"/>
        </w:rPr>
        <w:t>chieved</w:t>
      </w:r>
    </w:p>
    <w:p w14:paraId="24756BDC" w14:textId="65963EC8" w:rsidR="00C61FD7" w:rsidRDefault="00C61FD7" w:rsidP="00165190">
      <w:pPr>
        <w:pStyle w:val="BodyBullets"/>
      </w:pPr>
      <w:r>
        <w:t>Monitoring of and refinements to the Agency’s service delivery model to reflect experience with trial sites.</w:t>
      </w:r>
      <w:r w:rsidR="00013870" w:rsidRPr="00013870">
        <w:rPr>
          <w:b/>
          <w:color w:val="6B2976" w:themeColor="text2"/>
        </w:rPr>
        <w:t xml:space="preserve"> </w:t>
      </w:r>
      <w:r w:rsidR="00013870" w:rsidRPr="00A0445B">
        <w:rPr>
          <w:b/>
          <w:color w:val="6B2976" w:themeColor="text2"/>
        </w:rPr>
        <w:t>Achieved</w:t>
      </w:r>
    </w:p>
    <w:p w14:paraId="47B7A67F" w14:textId="4776DC36" w:rsidR="00C61FD7" w:rsidRDefault="00C61FD7" w:rsidP="00165190">
      <w:pPr>
        <w:pStyle w:val="BodyBullets"/>
      </w:pPr>
      <w:r>
        <w:t>Estimation and management of short-term and long-term Scheme costs.</w:t>
      </w:r>
      <w:r w:rsidR="00013870" w:rsidRPr="00013870">
        <w:rPr>
          <w:b/>
          <w:color w:val="6B2976" w:themeColor="text2"/>
        </w:rPr>
        <w:t xml:space="preserve"> </w:t>
      </w:r>
      <w:r w:rsidR="00013870" w:rsidRPr="00A0445B">
        <w:rPr>
          <w:b/>
          <w:color w:val="6B2976" w:themeColor="text2"/>
        </w:rPr>
        <w:t>Achieved</w:t>
      </w:r>
    </w:p>
    <w:p w14:paraId="6B7B2C3A" w14:textId="02CF631B" w:rsidR="00C61FD7" w:rsidRDefault="00C61FD7" w:rsidP="00C61FD7">
      <w:pPr>
        <w:pStyle w:val="Heading3"/>
      </w:pPr>
      <w:r>
        <w:t>Key performance indicator summary</w:t>
      </w:r>
    </w:p>
    <w:p w14:paraId="6F5CA1F5" w14:textId="17367C12" w:rsidR="00C61FD7" w:rsidRDefault="00C61FD7" w:rsidP="00165190">
      <w:pPr>
        <w:pStyle w:val="BodyBullets"/>
      </w:pPr>
      <w:r>
        <w:t>Participant/</w:t>
      </w:r>
      <w:proofErr w:type="spellStart"/>
      <w:r>
        <w:t>carer</w:t>
      </w:r>
      <w:proofErr w:type="spellEnd"/>
      <w:r>
        <w:t>/family satisfaction with the Agency</w:t>
      </w:r>
      <w:r w:rsidR="00013870">
        <w:t xml:space="preserve"> –</w:t>
      </w:r>
      <w:r w:rsidR="00013870" w:rsidRPr="00013870">
        <w:rPr>
          <w:b/>
          <w:color w:val="6B2976" w:themeColor="text2"/>
        </w:rPr>
        <w:t xml:space="preserve"> </w:t>
      </w:r>
      <w:r w:rsidR="00013870" w:rsidRPr="00A0445B">
        <w:rPr>
          <w:b/>
          <w:color w:val="6B2976" w:themeColor="text2"/>
        </w:rPr>
        <w:t>Achieved</w:t>
      </w:r>
    </w:p>
    <w:p w14:paraId="4FBE1BA1" w14:textId="5A660764" w:rsidR="00C61FD7" w:rsidRDefault="00C61FD7" w:rsidP="00165190">
      <w:pPr>
        <w:pStyle w:val="BodyBullets"/>
      </w:pPr>
      <w:r>
        <w:t>Number of participants transitioned into the Scheme and progress against targets from bilateral agreements</w:t>
      </w:r>
      <w:r w:rsidR="00013870">
        <w:t xml:space="preserve"> –</w:t>
      </w:r>
      <w:r w:rsidR="00013870" w:rsidRPr="00013870">
        <w:rPr>
          <w:b/>
          <w:color w:val="6B2976" w:themeColor="text2"/>
        </w:rPr>
        <w:t xml:space="preserve"> </w:t>
      </w:r>
      <w:r w:rsidR="00013870">
        <w:rPr>
          <w:b/>
          <w:color w:val="6B2976" w:themeColor="text2"/>
        </w:rPr>
        <w:t>On track</w:t>
      </w:r>
    </w:p>
    <w:p w14:paraId="4B36D16B" w14:textId="7F71E1E5" w:rsidR="00C61FD7" w:rsidRDefault="00C61FD7" w:rsidP="00165190">
      <w:pPr>
        <w:pStyle w:val="BodyBullets"/>
      </w:pPr>
      <w:r>
        <w:t>Transition Operational Plans are agreed with all jurisdictions transitioning to full scheme</w:t>
      </w:r>
      <w:r w:rsidR="00013870">
        <w:t xml:space="preserve"> –</w:t>
      </w:r>
      <w:r w:rsidR="00013870" w:rsidRPr="00013870">
        <w:rPr>
          <w:b/>
          <w:color w:val="6B2976" w:themeColor="text2"/>
        </w:rPr>
        <w:t xml:space="preserve"> </w:t>
      </w:r>
      <w:r w:rsidR="00013870">
        <w:rPr>
          <w:b/>
          <w:color w:val="6B2976" w:themeColor="text2"/>
        </w:rPr>
        <w:t>Partially a</w:t>
      </w:r>
      <w:r w:rsidR="00013870" w:rsidRPr="00A0445B">
        <w:rPr>
          <w:b/>
          <w:color w:val="6B2976" w:themeColor="text2"/>
        </w:rPr>
        <w:t>chieved</w:t>
      </w:r>
    </w:p>
    <w:p w14:paraId="110CDF39" w14:textId="085EE1AF" w:rsidR="00C61FD7" w:rsidRDefault="00C61FD7" w:rsidP="00165190">
      <w:pPr>
        <w:pStyle w:val="BodyBullets"/>
      </w:pPr>
      <w:r>
        <w:t>Ratio of operating expenses to expenses</w:t>
      </w:r>
      <w:r w:rsidR="00013870">
        <w:t xml:space="preserve"> –</w:t>
      </w:r>
      <w:r w:rsidR="00013870" w:rsidRPr="00013870">
        <w:rPr>
          <w:b/>
          <w:color w:val="6B2976" w:themeColor="text2"/>
        </w:rPr>
        <w:t xml:space="preserve"> </w:t>
      </w:r>
      <w:r w:rsidR="00013870" w:rsidRPr="00A0445B">
        <w:rPr>
          <w:b/>
          <w:color w:val="6B2976" w:themeColor="text2"/>
        </w:rPr>
        <w:t>Achieved</w:t>
      </w:r>
    </w:p>
    <w:p w14:paraId="35DC5005" w14:textId="3E4710FE" w:rsidR="00C61FD7" w:rsidRDefault="00C61FD7" w:rsidP="00C61FD7">
      <w:pPr>
        <w:pStyle w:val="Heading3"/>
      </w:pPr>
      <w:r>
        <w:t>Expenses</w:t>
      </w:r>
    </w:p>
    <w:p w14:paraId="5FF6A023" w14:textId="77777777" w:rsidR="00C61FD7" w:rsidRDefault="00C61FD7" w:rsidP="00C61FD7">
      <w:pPr>
        <w:pStyle w:val="BodyCopy"/>
      </w:pPr>
      <w:r>
        <w:t xml:space="preserve">Expenses for agency costs increased in 2015-16 due to the expansion of existing trial sites and the establishment of a new site in the Nepean Blue Mountains area of Western Sydney which will provide early access to transition to the Scheme to 2000 individuals aged 0 to 17 years old. To meet this increased </w:t>
      </w:r>
      <w:proofErr w:type="gramStart"/>
      <w:r>
        <w:t>demand</w:t>
      </w:r>
      <w:proofErr w:type="gramEnd"/>
      <w:r>
        <w:t xml:space="preserve"> the Agency will need to expand its service delivery operations and as such will incur additional expenses.</w:t>
      </w:r>
    </w:p>
    <w:p w14:paraId="136A5421" w14:textId="77777777" w:rsidR="00C61FD7" w:rsidRDefault="00C61FD7" w:rsidP="00C61FD7">
      <w:pPr>
        <w:pStyle w:val="BodyCopy"/>
      </w:pPr>
      <w:r>
        <w:rPr>
          <w:spacing w:val="-5"/>
        </w:rPr>
        <w:t>From 2016-17 onwards the Agency will be transitioning to full Scheme which will see a significant increase in the eligible cohorts and the geographic coverage of the Scheme. Expenses for Agency costs over the forward estimates will increase in line with the expansion of the Scheme as the Agency engages additional service delivery staff and establishes a national service delivery footprint.</w:t>
      </w:r>
    </w:p>
    <w:p w14:paraId="712A41AA" w14:textId="43528BB1" w:rsidR="00C61FD7" w:rsidRDefault="00C61FD7" w:rsidP="00C61FD7">
      <w:pPr>
        <w:pStyle w:val="Heading3"/>
      </w:pPr>
      <w:r>
        <w:t>Key performance indicator detail</w:t>
      </w:r>
    </w:p>
    <w:p w14:paraId="7D260220" w14:textId="77777777" w:rsidR="00C61FD7" w:rsidRDefault="00C61FD7" w:rsidP="001918E5">
      <w:pPr>
        <w:pStyle w:val="Heading4"/>
      </w:pPr>
      <w:r>
        <w:t>Key performance measure</w:t>
      </w:r>
    </w:p>
    <w:p w14:paraId="362C9111" w14:textId="77777777" w:rsidR="00C61FD7" w:rsidRDefault="00C61FD7" w:rsidP="00C61FD7">
      <w:pPr>
        <w:pStyle w:val="IntroPara"/>
      </w:pPr>
      <w:r>
        <w:t>Participant/</w:t>
      </w:r>
      <w:proofErr w:type="spellStart"/>
      <w:r>
        <w:t>carer</w:t>
      </w:r>
      <w:proofErr w:type="spellEnd"/>
      <w:r>
        <w:t>/family satisfaction with the Agency.</w:t>
      </w:r>
    </w:p>
    <w:p w14:paraId="2EDA4508" w14:textId="069722C5" w:rsidR="00E106BB" w:rsidRDefault="00E106BB" w:rsidP="00C61FD7">
      <w:pPr>
        <w:pStyle w:val="IntroPara"/>
      </w:pPr>
      <w:r w:rsidRPr="00A0445B">
        <w:rPr>
          <w:b/>
          <w:color w:val="6B2976" w:themeColor="text2"/>
        </w:rPr>
        <w:t>Achieved</w:t>
      </w:r>
    </w:p>
    <w:p w14:paraId="58080FCC" w14:textId="77777777" w:rsidR="00C61FD7" w:rsidRDefault="00C61FD7" w:rsidP="00C61FD7">
      <w:pPr>
        <w:pStyle w:val="BodyBulletscopy"/>
      </w:pPr>
      <w:r>
        <w:t>Participant satisfaction remains high, with 95 per cent of participants rating their planning process as ‘good’ or ‘very good’ as at 30 June 2016</w:t>
      </w:r>
    </w:p>
    <w:p w14:paraId="4852E10C" w14:textId="77777777" w:rsidR="00C61FD7" w:rsidRDefault="00C61FD7" w:rsidP="00C61FD7">
      <w:pPr>
        <w:pStyle w:val="BodyBullets-last"/>
      </w:pPr>
      <w:r>
        <w:lastRenderedPageBreak/>
        <w:t>Participant satisfaction is rated on a scale of very poor (-2) to very good (+2), with neutral being 0. Participant satisfaction remains high at 1.62. This is consistent with previous years.</w:t>
      </w:r>
    </w:p>
    <w:p w14:paraId="2E905E54" w14:textId="77777777" w:rsidR="00C61FD7" w:rsidRDefault="00C61FD7" w:rsidP="001D01C3">
      <w:pPr>
        <w:pStyle w:val="Heading4"/>
      </w:pPr>
      <w:r>
        <w:t>Key performance measure</w:t>
      </w:r>
    </w:p>
    <w:p w14:paraId="737F959A" w14:textId="77777777" w:rsidR="00C61FD7" w:rsidRDefault="00C61FD7" w:rsidP="00C61FD7">
      <w:pPr>
        <w:pStyle w:val="IntroPara"/>
      </w:pPr>
      <w:r>
        <w:t>Number of participants transitioned into the Scheme and progress against targets from bilateral agreements.</w:t>
      </w:r>
    </w:p>
    <w:p w14:paraId="6F1D9164" w14:textId="6A5DECD0" w:rsidR="00E106BB" w:rsidRDefault="00E106BB" w:rsidP="00C61FD7">
      <w:pPr>
        <w:pStyle w:val="IntroPara"/>
      </w:pPr>
      <w:r>
        <w:rPr>
          <w:b/>
          <w:color w:val="6B2976" w:themeColor="text2"/>
        </w:rPr>
        <w:t>On track</w:t>
      </w:r>
    </w:p>
    <w:p w14:paraId="5D27A66A" w14:textId="77777777" w:rsidR="00C61FD7" w:rsidRDefault="00C61FD7" w:rsidP="00C61FD7">
      <w:pPr>
        <w:pStyle w:val="BodyBullets-last"/>
      </w:pPr>
      <w:r>
        <w:t>35 695 participants were eligible for the Scheme (98 per cent of the combined bilateral agreements expectations).</w:t>
      </w:r>
    </w:p>
    <w:p w14:paraId="5528215A" w14:textId="77777777" w:rsidR="00C61FD7" w:rsidRDefault="00C61FD7" w:rsidP="001D01C3">
      <w:pPr>
        <w:pStyle w:val="Heading4"/>
      </w:pPr>
      <w:r>
        <w:t>Key performance measure</w:t>
      </w:r>
    </w:p>
    <w:p w14:paraId="7F944DC3" w14:textId="77777777" w:rsidR="00C61FD7" w:rsidRDefault="00C61FD7" w:rsidP="00C61FD7">
      <w:pPr>
        <w:pStyle w:val="IntroPara"/>
      </w:pPr>
      <w:r>
        <w:t>Transition Operational Plans are agreed with all jurisdictions transitioning to full Scheme.</w:t>
      </w:r>
    </w:p>
    <w:p w14:paraId="6CE4C613" w14:textId="073E1260" w:rsidR="00E106BB" w:rsidRDefault="00E106BB" w:rsidP="00C61FD7">
      <w:pPr>
        <w:pStyle w:val="IntroPara"/>
      </w:pPr>
      <w:r>
        <w:rPr>
          <w:b/>
          <w:color w:val="6B2976" w:themeColor="text2"/>
        </w:rPr>
        <w:t>Partially a</w:t>
      </w:r>
      <w:r w:rsidRPr="00A0445B">
        <w:rPr>
          <w:b/>
          <w:color w:val="6B2976" w:themeColor="text2"/>
        </w:rPr>
        <w:t>chieved</w:t>
      </w:r>
    </w:p>
    <w:p w14:paraId="57FF6EEF" w14:textId="77777777" w:rsidR="00C61FD7" w:rsidRDefault="00C61FD7" w:rsidP="00C61FD7">
      <w:pPr>
        <w:pStyle w:val="BodyBullets-last"/>
        <w:spacing w:before="0"/>
      </w:pPr>
      <w:r>
        <w:t>Operational Plans detailing implementation activities, roles and responsibilities have been signed with NSW, Victoria, SA and Tasmania. The Commonwealth, Queensland and Northern Territory governments continue to work collaboratively to progress planning towards Scheme rollout. There is more information on bilateral agreements on page 40.</w:t>
      </w:r>
    </w:p>
    <w:p w14:paraId="7D4FA59B" w14:textId="77777777" w:rsidR="00C61FD7" w:rsidRDefault="00C61FD7" w:rsidP="001D01C3">
      <w:pPr>
        <w:pStyle w:val="Heading4"/>
      </w:pPr>
      <w:r>
        <w:t>Key performance measure</w:t>
      </w:r>
    </w:p>
    <w:p w14:paraId="739122E4" w14:textId="77777777" w:rsidR="00C61FD7" w:rsidRDefault="00C61FD7" w:rsidP="00C61FD7">
      <w:pPr>
        <w:pStyle w:val="IntroPara"/>
        <w:spacing w:after="0"/>
      </w:pPr>
      <w:r>
        <w:t xml:space="preserve">Ratio of operating expenses to Scheme costs. </w:t>
      </w:r>
    </w:p>
    <w:p w14:paraId="64F980A0" w14:textId="52C87528" w:rsidR="00E106BB" w:rsidRDefault="00E106BB" w:rsidP="00C61FD7">
      <w:pPr>
        <w:pStyle w:val="IntroPara"/>
        <w:spacing w:after="0"/>
      </w:pPr>
      <w:r w:rsidRPr="00A0445B">
        <w:rPr>
          <w:b/>
          <w:color w:val="6B2976" w:themeColor="text2"/>
        </w:rPr>
        <w:t>Achieved</w:t>
      </w:r>
    </w:p>
    <w:p w14:paraId="3C0ADC61" w14:textId="77777777" w:rsidR="00C61FD7" w:rsidRDefault="00C61FD7" w:rsidP="00984D9F">
      <w:pPr>
        <w:pStyle w:val="BodyBullets"/>
      </w:pPr>
      <w:r>
        <w:t>Based on budgets and projections in the forward estimates the ratio of operating expenses to Scheme costs is trending downwards.</w:t>
      </w:r>
    </w:p>
    <w:p w14:paraId="7E320670" w14:textId="3D6BAF6C" w:rsidR="0099633C" w:rsidRPr="007C3EEE" w:rsidRDefault="0099633C" w:rsidP="007C3EEE">
      <w:pPr>
        <w:pStyle w:val="Heading2"/>
      </w:pPr>
      <w:bookmarkStart w:id="65" w:name="_Toc464482117"/>
      <w:r w:rsidRPr="007C3EEE">
        <w:lastRenderedPageBreak/>
        <w:t>Goal 1</w:t>
      </w:r>
      <w:r w:rsidR="007C3EEE" w:rsidRPr="007C3EEE">
        <w:t xml:space="preserve">: </w:t>
      </w:r>
      <w:r w:rsidRPr="007C3EEE">
        <w:t>The National Disability Insurance Scheme is financially sustainable and governed using insurance principles</w:t>
      </w:r>
      <w:bookmarkEnd w:id="65"/>
    </w:p>
    <w:p w14:paraId="602DEFC5" w14:textId="5B107C2E" w:rsidR="0099633C" w:rsidRDefault="0099633C" w:rsidP="00AC758F">
      <w:pPr>
        <w:pStyle w:val="Heading3"/>
      </w:pPr>
      <w:r>
        <w:t>Delivery strategy</w:t>
      </w:r>
    </w:p>
    <w:p w14:paraId="5D5446C9" w14:textId="77777777" w:rsidR="0099633C" w:rsidRDefault="0099633C" w:rsidP="0099633C">
      <w:pPr>
        <w:pStyle w:val="BodyBullets"/>
      </w:pPr>
      <w:r>
        <w:rPr>
          <w:rStyle w:val="Bold"/>
        </w:rPr>
        <w:t>Base</w:t>
      </w:r>
      <w:r>
        <w:t xml:space="preserve"> governance and operations on strong insurance principles using comprehensive and reliable data.</w:t>
      </w:r>
    </w:p>
    <w:p w14:paraId="052C6E48" w14:textId="77777777" w:rsidR="0099633C" w:rsidRDefault="0099633C" w:rsidP="0099633C">
      <w:pPr>
        <w:pStyle w:val="BodyBullets"/>
      </w:pPr>
      <w:r>
        <w:rPr>
          <w:rStyle w:val="Bold"/>
        </w:rPr>
        <w:t>Invest</w:t>
      </w:r>
      <w:r>
        <w:t>, including early intervention in a lifetime approach.</w:t>
      </w:r>
    </w:p>
    <w:p w14:paraId="148F6ACB" w14:textId="77777777" w:rsidR="0099633C" w:rsidRDefault="0099633C" w:rsidP="0099633C">
      <w:pPr>
        <w:pStyle w:val="BodyBullets-last"/>
      </w:pPr>
      <w:r>
        <w:rPr>
          <w:rStyle w:val="Bold"/>
        </w:rPr>
        <w:t>Drive</w:t>
      </w:r>
      <w:r>
        <w:t xml:space="preserve"> support services and workforce to be high quality, effective, efficient and responsive to the diversity of Scheme participants, so as to create a new dynamic and non-inflationary market for disability supports.</w:t>
      </w:r>
    </w:p>
    <w:p w14:paraId="5D00AEC8" w14:textId="772B9131" w:rsidR="0099633C" w:rsidRDefault="0099633C" w:rsidP="00E54D29">
      <w:pPr>
        <w:pStyle w:val="Heading3"/>
      </w:pPr>
      <w:r>
        <w:t>Goal 1 overview</w:t>
      </w:r>
    </w:p>
    <w:p w14:paraId="7E3E21F8" w14:textId="77777777" w:rsidR="0099633C" w:rsidRDefault="0099633C" w:rsidP="0099633C">
      <w:pPr>
        <w:pStyle w:val="BodyCopy"/>
      </w:pPr>
      <w:r>
        <w:t>The experience from the trial sites has helped to inform the financial sustainability of the full Scheme once it begins rollout from 1 July 2016. Four of the Scheme trial sites have operated for three full years (1 July 2013 to 30 June 2016), providing the Agency with a reliable base from which to make accurate projections for full Scheme participant numbers and costs, ultimately helping to assess financial sustainability.</w:t>
      </w:r>
    </w:p>
    <w:p w14:paraId="30AA15D7" w14:textId="77777777" w:rsidR="0099633C" w:rsidRDefault="0099633C" w:rsidP="0099633C">
      <w:pPr>
        <w:pStyle w:val="BodyCopy"/>
      </w:pPr>
      <w:r>
        <w:t>Factors contributing to the financial sustainability of the Scheme include:</w:t>
      </w:r>
    </w:p>
    <w:p w14:paraId="08149E91" w14:textId="77777777" w:rsidR="0099633C" w:rsidRDefault="0099633C" w:rsidP="0099633C">
      <w:pPr>
        <w:pStyle w:val="BodyBullets"/>
      </w:pPr>
      <w:r>
        <w:t>participant numbers</w:t>
      </w:r>
    </w:p>
    <w:p w14:paraId="1A13E2C4" w14:textId="77777777" w:rsidR="0099633C" w:rsidRDefault="0099633C" w:rsidP="0099633C">
      <w:pPr>
        <w:pStyle w:val="BodyBullets"/>
      </w:pPr>
      <w:r>
        <w:t xml:space="preserve">the distribution of packages committed to participants </w:t>
      </w:r>
    </w:p>
    <w:p w14:paraId="07EF34A0" w14:textId="77777777" w:rsidR="0099633C" w:rsidRDefault="0099633C" w:rsidP="0099633C">
      <w:pPr>
        <w:pStyle w:val="BodyBullets-last"/>
      </w:pPr>
      <w:r>
        <w:t>the actual payments for supports provided.</w:t>
      </w:r>
    </w:p>
    <w:p w14:paraId="7EC2932C" w14:textId="77777777" w:rsidR="0099633C" w:rsidRDefault="0099633C" w:rsidP="0099633C">
      <w:pPr>
        <w:pStyle w:val="BodyCopy"/>
      </w:pPr>
      <w:r>
        <w:t xml:space="preserve">The Agency conducted a detailed analysis of the </w:t>
      </w:r>
      <w:proofErr w:type="spellStart"/>
      <w:r>
        <w:t>Barwon</w:t>
      </w:r>
      <w:proofErr w:type="spellEnd"/>
      <w:r>
        <w:t xml:space="preserve"> trial site in Victoria and the Hunter trial site in NSW (as at 30 June 2016), including estimates of the eventual participant numbers and cost for these sites.</w:t>
      </w:r>
    </w:p>
    <w:p w14:paraId="0994EFE8" w14:textId="77777777" w:rsidR="0099633C" w:rsidRDefault="0099633C" w:rsidP="0099633C">
      <w:pPr>
        <w:pStyle w:val="BodyCopy"/>
      </w:pPr>
      <w:r>
        <w:t xml:space="preserve">The analysis suggests that costs to date will be close to the expected full Scheme cost for the trial sites, based on the original Productivity Commission report. </w:t>
      </w:r>
    </w:p>
    <w:p w14:paraId="31C44091" w14:textId="77777777" w:rsidR="0099633C" w:rsidRDefault="0099633C" w:rsidP="0099633C">
      <w:pPr>
        <w:pStyle w:val="BodyCopy"/>
      </w:pPr>
      <w:r>
        <w:t>There are two areas that require further investigation in the future to enable a more accurate understanding of financial impact. These are:</w:t>
      </w:r>
    </w:p>
    <w:p w14:paraId="50EDD7BC" w14:textId="77777777" w:rsidR="0099633C" w:rsidRDefault="0099633C" w:rsidP="0099633C">
      <w:pPr>
        <w:pStyle w:val="BodyBullets"/>
      </w:pPr>
      <w:r>
        <w:t>the rate at which new participants will enter the Scheme</w:t>
      </w:r>
    </w:p>
    <w:p w14:paraId="4F7A3810" w14:textId="77777777" w:rsidR="0099633C" w:rsidRDefault="0099633C" w:rsidP="0099633C">
      <w:pPr>
        <w:pStyle w:val="BodyBullets-last"/>
      </w:pPr>
      <w:r>
        <w:t xml:space="preserve">the level of functional impairment within some disability cohorts. </w:t>
      </w:r>
    </w:p>
    <w:p w14:paraId="1EC5A5D1" w14:textId="77777777" w:rsidR="0099633C" w:rsidRDefault="0099633C" w:rsidP="0099633C">
      <w:pPr>
        <w:pStyle w:val="BodyCopy"/>
      </w:pPr>
      <w:r>
        <w:t>These will be discussed in further detail in future annual reports.</w:t>
      </w:r>
    </w:p>
    <w:p w14:paraId="1F76FAE6" w14:textId="52A6731A" w:rsidR="0099633C" w:rsidRDefault="0099633C" w:rsidP="00B00284">
      <w:pPr>
        <w:pStyle w:val="Heading3"/>
      </w:pPr>
      <w:r>
        <w:t>Key performance indicators</w:t>
      </w:r>
    </w:p>
    <w:p w14:paraId="32841755" w14:textId="77777777" w:rsidR="0099633C" w:rsidRDefault="0099633C" w:rsidP="0099633C">
      <w:pPr>
        <w:pStyle w:val="BodyCopy"/>
      </w:pPr>
      <w:r>
        <w:t>These indicators are measured against the Agency’s 2015-19 Corporate Plan.</w:t>
      </w:r>
    </w:p>
    <w:p w14:paraId="107FE030" w14:textId="77777777" w:rsidR="0099633C" w:rsidRDefault="0099633C" w:rsidP="00B00284">
      <w:pPr>
        <w:pStyle w:val="Heading4"/>
      </w:pPr>
      <w:r>
        <w:lastRenderedPageBreak/>
        <w:t>Key performance measure</w:t>
      </w:r>
    </w:p>
    <w:p w14:paraId="14C84FC8" w14:textId="77777777" w:rsidR="0099633C" w:rsidRDefault="0099633C" w:rsidP="0099633C">
      <w:pPr>
        <w:pStyle w:val="IntroPara"/>
      </w:pPr>
      <w:r>
        <w:t>Participants achieve outcomes in line with goals and aspirations specified in their approved plans – as measured through the Outcomes Framework</w:t>
      </w:r>
    </w:p>
    <w:p w14:paraId="3D2455C4" w14:textId="7CB2CEB5" w:rsidR="009C6F01" w:rsidRPr="009C6F01" w:rsidRDefault="009C6F01" w:rsidP="009C6F01">
      <w:pPr>
        <w:pStyle w:val="IntroPara"/>
        <w:spacing w:after="0"/>
        <w:rPr>
          <w:rStyle w:val="Purpleregular"/>
          <w:rFonts w:asciiTheme="minorHAnsi" w:hAnsiTheme="minorHAnsi" w:cstheme="minorBidi"/>
        </w:rPr>
      </w:pPr>
      <w:r w:rsidRPr="00A0445B">
        <w:rPr>
          <w:b/>
          <w:color w:val="6B2976" w:themeColor="text2"/>
        </w:rPr>
        <w:t>Achieved</w:t>
      </w:r>
    </w:p>
    <w:p w14:paraId="63A963ED" w14:textId="77777777" w:rsidR="0099633C" w:rsidRDefault="0099633C" w:rsidP="00B00284">
      <w:pPr>
        <w:pStyle w:val="Heading4"/>
      </w:pPr>
      <w:r>
        <w:t>Results</w:t>
      </w:r>
    </w:p>
    <w:p w14:paraId="5704D192" w14:textId="77777777" w:rsidR="0099633C" w:rsidRDefault="0099633C" w:rsidP="0099633C">
      <w:pPr>
        <w:pStyle w:val="BodyBullets"/>
      </w:pPr>
      <w:r>
        <w:t>Successfully introduced the Outcomes Framework pilot.</w:t>
      </w:r>
    </w:p>
    <w:p w14:paraId="6EE8B450" w14:textId="77777777" w:rsidR="0099633C" w:rsidRDefault="0099633C" w:rsidP="0099633C">
      <w:pPr>
        <w:pStyle w:val="BodyBullets"/>
      </w:pPr>
      <w:r>
        <w:t>The first wave of benchmarking of the long form survey has commenced, with participants being engaged as they enter the Scheme from transitioning disability programs.</w:t>
      </w:r>
    </w:p>
    <w:p w14:paraId="705A5EF0" w14:textId="77777777" w:rsidR="0099633C" w:rsidRDefault="0099633C" w:rsidP="0099633C">
      <w:pPr>
        <w:pStyle w:val="BodyBullets"/>
      </w:pPr>
      <w:r>
        <w:t>Collection of the short form Outcomes Framework for all participants commenced in November 2015 and as at 26 June 2016, 13 290 questionnaires had been received for participants and 10 566 for family members/</w:t>
      </w:r>
      <w:proofErr w:type="spellStart"/>
      <w:r>
        <w:t>carers</w:t>
      </w:r>
      <w:proofErr w:type="spellEnd"/>
      <w:r>
        <w:t>.</w:t>
      </w:r>
    </w:p>
    <w:p w14:paraId="55F92362" w14:textId="77777777" w:rsidR="0099633C" w:rsidRDefault="0099633C" w:rsidP="0099633C">
      <w:pPr>
        <w:pStyle w:val="BodyBullets"/>
      </w:pPr>
      <w:r>
        <w:t>At 30 June 2016, 199 675 individual goals were recorded against active participants with approved plans. At 30 June 2016, of goals that had been reviewed with participants:</w:t>
      </w:r>
    </w:p>
    <w:p w14:paraId="18BF6B84" w14:textId="77777777" w:rsidR="0099633C" w:rsidRPr="0099633C" w:rsidRDefault="0099633C" w:rsidP="00126252">
      <w:pPr>
        <w:pStyle w:val="BodyBullets"/>
        <w:numPr>
          <w:ilvl w:val="1"/>
          <w:numId w:val="3"/>
        </w:numPr>
      </w:pPr>
      <w:r w:rsidRPr="0099633C">
        <w:t>36% met expectations</w:t>
      </w:r>
    </w:p>
    <w:p w14:paraId="028C68AB" w14:textId="77777777" w:rsidR="0099633C" w:rsidRPr="0099633C" w:rsidRDefault="0099633C" w:rsidP="00126252">
      <w:pPr>
        <w:pStyle w:val="BodyBullets"/>
        <w:numPr>
          <w:ilvl w:val="1"/>
          <w:numId w:val="3"/>
        </w:numPr>
      </w:pPr>
      <w:r w:rsidRPr="0099633C">
        <w:t>47% of goals were partly met</w:t>
      </w:r>
    </w:p>
    <w:p w14:paraId="5F98270F" w14:textId="77777777" w:rsidR="0099633C" w:rsidRPr="0099633C" w:rsidRDefault="0099633C" w:rsidP="00126252">
      <w:pPr>
        <w:pStyle w:val="BodyBullets"/>
        <w:numPr>
          <w:ilvl w:val="1"/>
          <w:numId w:val="3"/>
        </w:numPr>
      </w:pPr>
      <w:r w:rsidRPr="0099633C">
        <w:t>3% exceeded expectations.</w:t>
      </w:r>
    </w:p>
    <w:p w14:paraId="6B1F5A78" w14:textId="77777777" w:rsidR="0099633C" w:rsidRDefault="0099633C" w:rsidP="00CA1003">
      <w:pPr>
        <w:pStyle w:val="Heading4"/>
      </w:pPr>
      <w:r>
        <w:t>Key performance measure</w:t>
      </w:r>
    </w:p>
    <w:p w14:paraId="2CDE8D47" w14:textId="77777777" w:rsidR="0099633C" w:rsidRDefault="0099633C" w:rsidP="0099633C">
      <w:pPr>
        <w:pStyle w:val="IntroPara"/>
      </w:pPr>
      <w:r>
        <w:t xml:space="preserve">The Scheme effects positive change on the lives of families and </w:t>
      </w:r>
      <w:proofErr w:type="spellStart"/>
      <w:r>
        <w:t>carers</w:t>
      </w:r>
      <w:proofErr w:type="spellEnd"/>
      <w:r>
        <w:t xml:space="preserve"> of people with disability, as measured through the Outcomes Framework, with the outcomes of 2015-16 to inform the baseline for future years.</w:t>
      </w:r>
    </w:p>
    <w:p w14:paraId="7F726176" w14:textId="77777777" w:rsidR="00E30527" w:rsidRDefault="00E30527" w:rsidP="00E30527">
      <w:pPr>
        <w:pStyle w:val="IntroPara"/>
        <w:spacing w:after="0"/>
      </w:pPr>
      <w:r w:rsidRPr="00A0445B">
        <w:rPr>
          <w:b/>
          <w:color w:val="6B2976" w:themeColor="text2"/>
        </w:rPr>
        <w:t>Achieved</w:t>
      </w:r>
    </w:p>
    <w:p w14:paraId="70DEB4FB" w14:textId="77777777" w:rsidR="0099633C" w:rsidRDefault="0099633C" w:rsidP="00CA1003">
      <w:pPr>
        <w:pStyle w:val="Heading4"/>
      </w:pPr>
      <w:r>
        <w:t>Results</w:t>
      </w:r>
    </w:p>
    <w:p w14:paraId="54587279" w14:textId="77777777" w:rsidR="0099633C" w:rsidRDefault="0099633C" w:rsidP="0099633C">
      <w:pPr>
        <w:pStyle w:val="BodyBullets"/>
      </w:pPr>
      <w:r>
        <w:t>As part of the Outcomes Framework pilot, the proportion of families/</w:t>
      </w:r>
      <w:proofErr w:type="spellStart"/>
      <w:r>
        <w:t>carers</w:t>
      </w:r>
      <w:proofErr w:type="spellEnd"/>
      <w:r>
        <w:t xml:space="preserve"> of participants aged 25 and over answered that the Scheme had helped:</w:t>
      </w:r>
    </w:p>
    <w:p w14:paraId="251014D7" w14:textId="77777777" w:rsidR="0099633C" w:rsidRPr="0099633C" w:rsidRDefault="0099633C" w:rsidP="00236FEE">
      <w:pPr>
        <w:pStyle w:val="BodyBullets"/>
        <w:numPr>
          <w:ilvl w:val="1"/>
          <w:numId w:val="3"/>
        </w:numPr>
      </w:pPr>
      <w:r w:rsidRPr="0099633C">
        <w:t>Support to care: 57%</w:t>
      </w:r>
    </w:p>
    <w:p w14:paraId="74FC4109" w14:textId="77777777" w:rsidR="0099633C" w:rsidRPr="0099633C" w:rsidRDefault="0099633C" w:rsidP="00236FEE">
      <w:pPr>
        <w:pStyle w:val="BodyBullets"/>
        <w:numPr>
          <w:ilvl w:val="1"/>
          <w:numId w:val="3"/>
        </w:numPr>
      </w:pPr>
      <w:r w:rsidRPr="0099633C">
        <w:t>Rights &amp; advocacy: 39%</w:t>
      </w:r>
    </w:p>
    <w:p w14:paraId="0C57FAAC" w14:textId="77777777" w:rsidR="0099633C" w:rsidRPr="0099633C" w:rsidRDefault="0099633C" w:rsidP="00236FEE">
      <w:pPr>
        <w:pStyle w:val="BodyBullets"/>
        <w:numPr>
          <w:ilvl w:val="1"/>
          <w:numId w:val="3"/>
        </w:numPr>
      </w:pPr>
      <w:r w:rsidRPr="0099633C">
        <w:t>Accessing services: 56%</w:t>
      </w:r>
    </w:p>
    <w:p w14:paraId="26384A77" w14:textId="77777777" w:rsidR="0099633C" w:rsidRPr="0099633C" w:rsidRDefault="0099633C" w:rsidP="00236FEE">
      <w:pPr>
        <w:pStyle w:val="BodyBullets"/>
        <w:numPr>
          <w:ilvl w:val="1"/>
          <w:numId w:val="3"/>
        </w:numPr>
      </w:pPr>
      <w:r w:rsidRPr="0099633C">
        <w:t>Succession plans: 6%</w:t>
      </w:r>
    </w:p>
    <w:p w14:paraId="588D70A0" w14:textId="77777777" w:rsidR="0099633C" w:rsidRDefault="0099633C" w:rsidP="00236FEE">
      <w:pPr>
        <w:pStyle w:val="BodyBullets"/>
        <w:numPr>
          <w:ilvl w:val="1"/>
          <w:numId w:val="3"/>
        </w:numPr>
      </w:pPr>
      <w:r w:rsidRPr="0099633C">
        <w:t>Health and wellbeing: 48%.</w:t>
      </w:r>
    </w:p>
    <w:p w14:paraId="45268936" w14:textId="77777777" w:rsidR="0099633C" w:rsidRDefault="0099633C" w:rsidP="00CA1003">
      <w:pPr>
        <w:pStyle w:val="Heading4"/>
      </w:pPr>
      <w:r>
        <w:lastRenderedPageBreak/>
        <w:t>Key performance measure</w:t>
      </w:r>
    </w:p>
    <w:p w14:paraId="726AA359" w14:textId="77777777" w:rsidR="0099633C" w:rsidRDefault="0099633C" w:rsidP="0099633C">
      <w:pPr>
        <w:pStyle w:val="IntroPara"/>
      </w:pPr>
      <w:r>
        <w:t>Cost of reasonable and necessary supports measured against bilateral agreements and Scheme Actuary forecasts.</w:t>
      </w:r>
    </w:p>
    <w:p w14:paraId="62109D83" w14:textId="30B28405" w:rsidR="00E30527" w:rsidRDefault="00E30527" w:rsidP="00E30527">
      <w:pPr>
        <w:pStyle w:val="IntroPara"/>
        <w:spacing w:after="0"/>
      </w:pPr>
      <w:r>
        <w:rPr>
          <w:b/>
          <w:color w:val="6B2976" w:themeColor="text2"/>
        </w:rPr>
        <w:t>On track</w:t>
      </w:r>
    </w:p>
    <w:p w14:paraId="00097928" w14:textId="77777777" w:rsidR="0099633C" w:rsidRDefault="0099633C" w:rsidP="008B2A45">
      <w:pPr>
        <w:pStyle w:val="Heading4"/>
      </w:pPr>
      <w:r>
        <w:t>Results</w:t>
      </w:r>
    </w:p>
    <w:p w14:paraId="063C300E" w14:textId="77777777" w:rsidR="0099633C" w:rsidRDefault="0099633C" w:rsidP="0099633C">
      <w:pPr>
        <w:pStyle w:val="BodyBullets-last"/>
      </w:pPr>
      <w:r>
        <w:t xml:space="preserve">Committed support in trial exceeds the funding envelope in 2014-15 and 2015-16. However, as not all committed support is being </w:t>
      </w:r>
      <w:proofErr w:type="spellStart"/>
      <w:r>
        <w:t>utilised</w:t>
      </w:r>
      <w:proofErr w:type="spellEnd"/>
      <w:r>
        <w:t>, an actual deficit will not arise. That is, the Scheme will be within the budget for the three years of trial.</w:t>
      </w:r>
    </w:p>
    <w:p w14:paraId="4E0C47AB" w14:textId="77777777" w:rsidR="0099633C" w:rsidRDefault="0099633C" w:rsidP="008B2A45">
      <w:pPr>
        <w:pStyle w:val="Heading4"/>
      </w:pPr>
      <w:r>
        <w:t xml:space="preserve"> Notes</w:t>
      </w:r>
    </w:p>
    <w:p w14:paraId="482656D0" w14:textId="77777777" w:rsidR="0099633C" w:rsidRDefault="0099633C" w:rsidP="0099633C">
      <w:pPr>
        <w:pStyle w:val="BodyBullets"/>
      </w:pPr>
      <w:r>
        <w:t xml:space="preserve">The trial site projection is highly sensitive to the assumptions on </w:t>
      </w:r>
      <w:proofErr w:type="spellStart"/>
      <w:r>
        <w:t>utilisation</w:t>
      </w:r>
      <w:proofErr w:type="spellEnd"/>
      <w:r>
        <w:t xml:space="preserve"> of committed support. </w:t>
      </w:r>
    </w:p>
    <w:p w14:paraId="01DD3C36" w14:textId="77777777" w:rsidR="0099633C" w:rsidRDefault="0099633C" w:rsidP="0099633C">
      <w:pPr>
        <w:pStyle w:val="BodyBullets-last"/>
      </w:pPr>
      <w:r>
        <w:t>It is important to consider the number of Scheme participants, the distribution of packages committed to these participants and actual payments for supports provided. All of these factors contribute to the overall cost.</w:t>
      </w:r>
      <w:r>
        <w:tab/>
      </w:r>
    </w:p>
    <w:p w14:paraId="1F5BA482" w14:textId="77777777" w:rsidR="0099633C" w:rsidRDefault="0099633C" w:rsidP="00663B62">
      <w:pPr>
        <w:pStyle w:val="Heading4"/>
      </w:pPr>
      <w:r>
        <w:t>Key performance measure</w:t>
      </w:r>
    </w:p>
    <w:p w14:paraId="19C2CE3F" w14:textId="77777777" w:rsidR="0099633C" w:rsidRDefault="0099633C" w:rsidP="0099633C">
      <w:pPr>
        <w:pStyle w:val="IntroPara"/>
      </w:pPr>
      <w:r>
        <w:t>Number of eligible participants who access the Scheme measured against bilateral agreements and Scheme Actuary forecasts.</w:t>
      </w:r>
    </w:p>
    <w:p w14:paraId="46FE2499" w14:textId="02A1BA71" w:rsidR="00E30527" w:rsidRDefault="00E30527" w:rsidP="00E30527">
      <w:pPr>
        <w:pStyle w:val="IntroPara"/>
        <w:spacing w:after="0"/>
      </w:pPr>
      <w:r>
        <w:rPr>
          <w:b/>
          <w:color w:val="6B2976" w:themeColor="text2"/>
        </w:rPr>
        <w:t>Partially a</w:t>
      </w:r>
      <w:r w:rsidRPr="00A0445B">
        <w:rPr>
          <w:b/>
          <w:color w:val="6B2976" w:themeColor="text2"/>
        </w:rPr>
        <w:t>chieved</w:t>
      </w:r>
    </w:p>
    <w:p w14:paraId="616F0826" w14:textId="77777777" w:rsidR="0099633C" w:rsidRDefault="0099633C" w:rsidP="00663B62">
      <w:pPr>
        <w:pStyle w:val="Heading4"/>
      </w:pPr>
      <w:r>
        <w:t>Results</w:t>
      </w:r>
    </w:p>
    <w:p w14:paraId="23CCE4C7" w14:textId="77777777" w:rsidR="0099633C" w:rsidRDefault="0099633C" w:rsidP="0099633C">
      <w:pPr>
        <w:pStyle w:val="BodyBullets"/>
      </w:pPr>
      <w:r>
        <w:t>Overall, plan numbers are at 83 per cent of the bilateral target. However, some sites have exceeded 100 per cent of the target (ACT, SA, TAS, NT and VIC).</w:t>
      </w:r>
    </w:p>
    <w:p w14:paraId="06716CCE" w14:textId="77777777" w:rsidR="0099633C" w:rsidRDefault="0099633C" w:rsidP="00663B62">
      <w:pPr>
        <w:pStyle w:val="Heading4"/>
      </w:pPr>
      <w:r>
        <w:t>Key performance measure</w:t>
      </w:r>
    </w:p>
    <w:p w14:paraId="4867CB64" w14:textId="77777777" w:rsidR="0099633C" w:rsidRDefault="0099633C" w:rsidP="0099633C">
      <w:pPr>
        <w:pStyle w:val="IntroPara"/>
      </w:pPr>
      <w:r>
        <w:t>Establishment of a framework for measuring market sustainability, diversity and efficiency.</w:t>
      </w:r>
    </w:p>
    <w:p w14:paraId="1923E660" w14:textId="512A42C1" w:rsidR="00E30527" w:rsidRDefault="00E30527" w:rsidP="00E30527">
      <w:pPr>
        <w:pStyle w:val="IntroPara"/>
        <w:spacing w:after="0"/>
      </w:pPr>
      <w:r>
        <w:rPr>
          <w:b/>
          <w:color w:val="6B2976" w:themeColor="text2"/>
        </w:rPr>
        <w:t>On track</w:t>
      </w:r>
    </w:p>
    <w:p w14:paraId="50F289C7" w14:textId="77777777" w:rsidR="0099633C" w:rsidRDefault="0099633C" w:rsidP="00663B62">
      <w:pPr>
        <w:pStyle w:val="Heading4"/>
      </w:pPr>
      <w:r>
        <w:t>Results</w:t>
      </w:r>
    </w:p>
    <w:p w14:paraId="24B28B42" w14:textId="77777777" w:rsidR="0099633C" w:rsidRDefault="0099633C" w:rsidP="0099633C">
      <w:pPr>
        <w:pStyle w:val="BodyBullets"/>
      </w:pPr>
      <w:r>
        <w:t xml:space="preserve">Development of NDIA Market Stewardship framework near </w:t>
      </w:r>
      <w:proofErr w:type="spellStart"/>
      <w:r>
        <w:t>finalisation</w:t>
      </w:r>
      <w:proofErr w:type="spellEnd"/>
      <w:r>
        <w:t>.</w:t>
      </w:r>
    </w:p>
    <w:p w14:paraId="70951E9E" w14:textId="77777777" w:rsidR="0099633C" w:rsidRDefault="0099633C" w:rsidP="0099633C">
      <w:pPr>
        <w:pStyle w:val="BodyBullets"/>
      </w:pPr>
      <w:r>
        <w:t>Program of local markets assessments in place for year one rollout locations.</w:t>
      </w:r>
    </w:p>
    <w:p w14:paraId="23C483B8" w14:textId="77777777" w:rsidR="0099633C" w:rsidRDefault="0099633C" w:rsidP="0099633C">
      <w:pPr>
        <w:pStyle w:val="BodyBullets"/>
      </w:pPr>
      <w:r>
        <w:t>Release of the Specialist Disability Accommodation Position Paper on Draft Pricing and Payments.</w:t>
      </w:r>
    </w:p>
    <w:p w14:paraId="44FDE81C" w14:textId="77777777" w:rsidR="0099633C" w:rsidRDefault="0099633C" w:rsidP="0099633C">
      <w:pPr>
        <w:pStyle w:val="BodyBullets-last"/>
      </w:pPr>
      <w:r>
        <w:t>At 30 June 2016, 3519 service providers were registered with the Scheme.</w:t>
      </w:r>
    </w:p>
    <w:p w14:paraId="5BBE51D6" w14:textId="77777777" w:rsidR="0099633C" w:rsidRDefault="0099633C" w:rsidP="007E640D">
      <w:pPr>
        <w:pStyle w:val="Heading4"/>
      </w:pPr>
      <w:r>
        <w:t>Notes</w:t>
      </w:r>
    </w:p>
    <w:p w14:paraId="2F566C83" w14:textId="77777777" w:rsidR="0099633C" w:rsidRDefault="0099633C" w:rsidP="0099633C">
      <w:pPr>
        <w:pStyle w:val="BodyCopy"/>
      </w:pPr>
      <w:r>
        <w:t>Other activities include:</w:t>
      </w:r>
    </w:p>
    <w:p w14:paraId="218DBB67" w14:textId="77777777" w:rsidR="0099633C" w:rsidRDefault="0099633C" w:rsidP="0099633C">
      <w:pPr>
        <w:pStyle w:val="BodyBullets"/>
      </w:pPr>
      <w:r>
        <w:lastRenderedPageBreak/>
        <w:t xml:space="preserve">Intermediaries project implementation </w:t>
      </w:r>
      <w:r>
        <w:br/>
        <w:t>plan in place.</w:t>
      </w:r>
    </w:p>
    <w:p w14:paraId="555B21C7" w14:textId="77777777" w:rsidR="0099633C" w:rsidRDefault="0099633C" w:rsidP="0099633C">
      <w:pPr>
        <w:pStyle w:val="BodyBullets-last"/>
      </w:pPr>
      <w:r>
        <w:t xml:space="preserve">Roles and responsibilities around implementation of Integrated Market, </w:t>
      </w:r>
      <w:r>
        <w:br/>
        <w:t>Sector and Workforce strategy confirmed.</w:t>
      </w:r>
    </w:p>
    <w:p w14:paraId="242BB473" w14:textId="77777777" w:rsidR="0099633C" w:rsidRDefault="0099633C" w:rsidP="002E313A">
      <w:pPr>
        <w:pStyle w:val="Heading4"/>
      </w:pPr>
      <w:r>
        <w:t>Summary of progress</w:t>
      </w:r>
    </w:p>
    <w:p w14:paraId="3BB65B7F" w14:textId="77777777" w:rsidR="0099633C" w:rsidRDefault="0099633C" w:rsidP="002E313A">
      <w:r>
        <w:t>Overall, while committed support is higher than revenue from the bilateral agreements in some trial sites, there is no impact on full Scheme costs, which are expected to be within the funding envelope. The reasons for the difference between committed support and revenue is due to the different assumptions in the bilateral agreements compared with the actuarial model for the trial sites. Bilateral agreements are explained in more detail on page 40.</w:t>
      </w:r>
    </w:p>
    <w:p w14:paraId="32EB4C16" w14:textId="31CB2C2C" w:rsidR="00F65182" w:rsidRDefault="00F65182" w:rsidP="00F65182">
      <w:pPr>
        <w:pStyle w:val="Heading2"/>
      </w:pPr>
      <w:bookmarkStart w:id="66" w:name="_Toc464482118"/>
      <w:r w:rsidRPr="00F65182">
        <w:lastRenderedPageBreak/>
        <w:t>Goal 2</w:t>
      </w:r>
      <w:r>
        <w:t xml:space="preserve">: </w:t>
      </w:r>
      <w:r w:rsidRPr="00F65182">
        <w:t>People with disability are in control and have choices, based on the UN Convention on the Rights of Persons with Disabilities</w:t>
      </w:r>
      <w:bookmarkEnd w:id="66"/>
    </w:p>
    <w:p w14:paraId="56BB73BC" w14:textId="36508CBD" w:rsidR="00516CF3" w:rsidRDefault="00516CF3" w:rsidP="00A94B30">
      <w:pPr>
        <w:pStyle w:val="Heading3"/>
      </w:pPr>
      <w:r>
        <w:t>Delivery strategy</w:t>
      </w:r>
    </w:p>
    <w:p w14:paraId="7053CA70" w14:textId="77777777" w:rsidR="00516CF3" w:rsidRDefault="00516CF3" w:rsidP="00516CF3">
      <w:pPr>
        <w:pStyle w:val="BodyBullets"/>
      </w:pPr>
      <w:r>
        <w:rPr>
          <w:rStyle w:val="Bold"/>
        </w:rPr>
        <w:t>Build</w:t>
      </w:r>
      <w:r>
        <w:t xml:space="preserve"> the capacity of people with disability to exercise choice and control in the pursuit of their goals.</w:t>
      </w:r>
    </w:p>
    <w:p w14:paraId="598A0E0B" w14:textId="77777777" w:rsidR="00516CF3" w:rsidRDefault="00516CF3" w:rsidP="00516CF3">
      <w:pPr>
        <w:pStyle w:val="BodyBullets"/>
      </w:pPr>
      <w:r>
        <w:rPr>
          <w:rStyle w:val="Bold"/>
        </w:rPr>
        <w:t>Promote</w:t>
      </w:r>
      <w:r>
        <w:t xml:space="preserve"> the independence and social and economic participation of all people with disability and especially those who are vulnerable or </w:t>
      </w:r>
      <w:proofErr w:type="spellStart"/>
      <w:r>
        <w:t>marginalised</w:t>
      </w:r>
      <w:proofErr w:type="spellEnd"/>
      <w:r>
        <w:t>.</w:t>
      </w:r>
    </w:p>
    <w:p w14:paraId="20499071" w14:textId="77777777" w:rsidR="00516CF3" w:rsidRDefault="00516CF3" w:rsidP="00516CF3">
      <w:pPr>
        <w:pStyle w:val="BodyBullets-last"/>
      </w:pPr>
      <w:proofErr w:type="spellStart"/>
      <w:r>
        <w:rPr>
          <w:rStyle w:val="Bold"/>
        </w:rPr>
        <w:t>Recognise</w:t>
      </w:r>
      <w:proofErr w:type="spellEnd"/>
      <w:r>
        <w:t>, nurture and uphold informal support and care arrangements, especially for children and vulnerable adults.</w:t>
      </w:r>
    </w:p>
    <w:p w14:paraId="41370DBA" w14:textId="4F3231A6" w:rsidR="00516CF3" w:rsidRDefault="00516CF3" w:rsidP="00A94B30">
      <w:pPr>
        <w:pStyle w:val="Heading3"/>
      </w:pPr>
      <w:r>
        <w:t>Goal 2 overview</w:t>
      </w:r>
    </w:p>
    <w:p w14:paraId="781667C4" w14:textId="77777777" w:rsidR="00516CF3" w:rsidRDefault="00516CF3" w:rsidP="00516CF3">
      <w:pPr>
        <w:pStyle w:val="BodyCopy"/>
      </w:pPr>
      <w:r>
        <w:t xml:space="preserve">Over the trial period the Agency piloted the Outcomes Framework to measure the medium and long term benefits of the Scheme for participants and their families. This framework specifically measures the degree of choice and control people with disability have over the supports they receive. The Agency collected information from participants, families and </w:t>
      </w:r>
      <w:proofErr w:type="spellStart"/>
      <w:r>
        <w:t>carers</w:t>
      </w:r>
      <w:proofErr w:type="spellEnd"/>
      <w:r>
        <w:t xml:space="preserve"> on how they are progressing in different areas of their lives.</w:t>
      </w:r>
    </w:p>
    <w:p w14:paraId="0E97CA2F" w14:textId="77777777" w:rsidR="00516CF3" w:rsidRDefault="00516CF3" w:rsidP="00516CF3">
      <w:pPr>
        <w:pStyle w:val="BodyCopy"/>
      </w:pPr>
      <w:r>
        <w:t xml:space="preserve">The introduction of bundled supports from 1 July 2014 has increased participant flexibility. Additionally, from 1 August 2015 the catalogue </w:t>
      </w:r>
      <w:r>
        <w:br/>
        <w:t>of supports has been simplified.</w:t>
      </w:r>
    </w:p>
    <w:p w14:paraId="703429D7" w14:textId="4345AE28" w:rsidR="00516CF3" w:rsidRDefault="00516CF3" w:rsidP="00A94B30">
      <w:pPr>
        <w:pStyle w:val="Heading3"/>
      </w:pPr>
      <w:r>
        <w:t xml:space="preserve">A snapshot of participants and their plans </w:t>
      </w:r>
    </w:p>
    <w:p w14:paraId="1C3602DC" w14:textId="77777777" w:rsidR="00516CF3" w:rsidRDefault="00516CF3" w:rsidP="00516CF3">
      <w:pPr>
        <w:pStyle w:val="BodyBullets"/>
      </w:pPr>
      <w:r>
        <w:t xml:space="preserve">During the 2015-16 reporting period, the overall proportion of Aboriginal and/or Torres Strait Islander participants in the Scheme increased from 4.4 per cent at 30 June 2015 to 6.0 per cent at 30 June 2016. The proportion of Aboriginal and/or Torres Strait Islander participants increased in all trial and early launch sites—with the exception being the Northern Territory site, where it has fallen slightly. </w:t>
      </w:r>
    </w:p>
    <w:p w14:paraId="5F187F2C" w14:textId="77777777" w:rsidR="00516CF3" w:rsidRDefault="00516CF3" w:rsidP="00516CF3">
      <w:pPr>
        <w:pStyle w:val="BodyBullets"/>
      </w:pPr>
      <w:r>
        <w:t xml:space="preserve">Overall, the proportion of participants with approved plans who are classified as Culturally and Linguistically Diverse (CALD) has remained at 4 per cent, in line with 30 June 2015. </w:t>
      </w:r>
    </w:p>
    <w:p w14:paraId="49D39F3D" w14:textId="77777777" w:rsidR="00516CF3" w:rsidRDefault="00516CF3" w:rsidP="00516CF3">
      <w:pPr>
        <w:pStyle w:val="BodyBullets"/>
      </w:pPr>
      <w:r>
        <w:t xml:space="preserve">Participants with Autism and related disorders represent the highest proportion of approved plans overall, at 31 per cent. </w:t>
      </w:r>
    </w:p>
    <w:p w14:paraId="5690C259" w14:textId="77777777" w:rsidR="00516CF3" w:rsidRDefault="00516CF3" w:rsidP="00516CF3">
      <w:pPr>
        <w:pStyle w:val="BodyBullets"/>
      </w:pPr>
      <w:r>
        <w:t>The second highest participant group is those with intellectual disability (including Down syndrome) at 23 per cent.</w:t>
      </w:r>
    </w:p>
    <w:p w14:paraId="0A7CAC59" w14:textId="77777777" w:rsidR="00516CF3" w:rsidRDefault="00516CF3" w:rsidP="00516CF3">
      <w:pPr>
        <w:pStyle w:val="BodyBullets"/>
      </w:pPr>
      <w:r>
        <w:t>Since 1 July 2013, the support category most commonly funded is ‘Assistance with daily life’, followed by ‘Improved daily living skills’.</w:t>
      </w:r>
    </w:p>
    <w:p w14:paraId="6BEC87E7" w14:textId="77777777" w:rsidR="00516CF3" w:rsidRDefault="00516CF3" w:rsidP="00516CF3">
      <w:pPr>
        <w:pStyle w:val="BodyBullets"/>
      </w:pPr>
      <w:r>
        <w:lastRenderedPageBreak/>
        <w:t xml:space="preserve">The proportion of registered providers operating in only one state or territory increased slightly from 96 per cent to 97 per cent over the year. As of 30 June 2016, individual/sole traders are the most common provider type (36 per cent), followed by private companies (27 per cent). </w:t>
      </w:r>
    </w:p>
    <w:p w14:paraId="6C26A43F" w14:textId="77777777" w:rsidR="00516CF3" w:rsidRDefault="00516CF3" w:rsidP="00516CF3">
      <w:pPr>
        <w:pStyle w:val="BodyBullets"/>
      </w:pPr>
      <w:r>
        <w:t>From 30 June 2015 to 30 June 2016, the proportion of participant plans that are Agency managed decreased from 62 per cent to 58 per cent, plans managed in combination rose from 33 per cent to 35 per cent, and self-managed plans increased from 6 per cent to 7 per cent.</w:t>
      </w:r>
    </w:p>
    <w:p w14:paraId="2178047E" w14:textId="77777777" w:rsidR="00516CF3" w:rsidRDefault="00516CF3" w:rsidP="00516CF3">
      <w:pPr>
        <w:pStyle w:val="BodyBullets-last"/>
      </w:pPr>
      <w:r>
        <w:t>Up to 30 June 2016, 84.5 per cent of people who have submitted an access request have been found eligible and a further 5.2 per cent are in progress. Around 6.8 per cent of access requests have been deemed ineligible.</w:t>
      </w:r>
    </w:p>
    <w:p w14:paraId="14511624" w14:textId="43906415" w:rsidR="00516CF3" w:rsidRDefault="00516CF3" w:rsidP="00A94B30">
      <w:pPr>
        <w:pStyle w:val="Heading3"/>
      </w:pPr>
      <w:r>
        <w:t>Key performance indicators</w:t>
      </w:r>
    </w:p>
    <w:p w14:paraId="05CB17AF" w14:textId="77777777" w:rsidR="00516CF3" w:rsidRDefault="00516CF3" w:rsidP="00516CF3">
      <w:pPr>
        <w:pStyle w:val="BodyCopy"/>
      </w:pPr>
      <w:r>
        <w:t>These indicators are measured against the 2015-19 Corporate Plan.</w:t>
      </w:r>
    </w:p>
    <w:p w14:paraId="5B583551" w14:textId="77777777" w:rsidR="00516CF3" w:rsidRDefault="00516CF3" w:rsidP="00CC160B">
      <w:pPr>
        <w:pStyle w:val="Heading4"/>
      </w:pPr>
      <w:r>
        <w:t>Key performance measure</w:t>
      </w:r>
    </w:p>
    <w:p w14:paraId="62024CB9" w14:textId="77777777" w:rsidR="00516CF3" w:rsidRDefault="00516CF3" w:rsidP="00516CF3">
      <w:pPr>
        <w:pStyle w:val="IntroPara"/>
      </w:pPr>
      <w:r>
        <w:t xml:space="preserve">Participants have choice and control over the supports they access, and how and when these supports are accessed, as measured by reference to the </w:t>
      </w:r>
      <w:proofErr w:type="spellStart"/>
      <w:r>
        <w:t>utilisation</w:t>
      </w:r>
      <w:proofErr w:type="spellEnd"/>
      <w:r>
        <w:t xml:space="preserve"> of reasonable and necessary supports in plans and the Agency’s Outcomes Framework, with the outcomes of 2015-16 to inform the baseline for future years.</w:t>
      </w:r>
    </w:p>
    <w:p w14:paraId="11EA50EF" w14:textId="08334C6D" w:rsidR="00A90CF1" w:rsidRDefault="00A90CF1" w:rsidP="00A90CF1">
      <w:pPr>
        <w:pStyle w:val="IntroPara"/>
        <w:spacing w:after="0"/>
      </w:pPr>
      <w:r>
        <w:rPr>
          <w:b/>
          <w:color w:val="6B2976" w:themeColor="text2"/>
        </w:rPr>
        <w:t>Improving</w:t>
      </w:r>
    </w:p>
    <w:p w14:paraId="0D464F6B" w14:textId="77777777" w:rsidR="00516CF3" w:rsidRDefault="00516CF3" w:rsidP="00CC160B">
      <w:pPr>
        <w:pStyle w:val="Heading4"/>
      </w:pPr>
      <w:r>
        <w:t>Results</w:t>
      </w:r>
    </w:p>
    <w:p w14:paraId="1FB6363A" w14:textId="5D847410" w:rsidR="00CC160B" w:rsidRPr="00CC160B" w:rsidRDefault="00CC160B" w:rsidP="00CC160B">
      <w:pPr>
        <w:pStyle w:val="BodyBullets"/>
      </w:pPr>
      <w:r w:rsidRPr="00CC160B">
        <w:t xml:space="preserve">The amount of committed support </w:t>
      </w:r>
      <w:proofErr w:type="spellStart"/>
      <w:r w:rsidRPr="00CC160B">
        <w:t>utilised</w:t>
      </w:r>
      <w:proofErr w:type="spellEnd"/>
      <w:r w:rsidRPr="00CC160B">
        <w:t xml:space="preserve"> by support </w:t>
      </w:r>
      <w:proofErr w:type="gramStart"/>
      <w:r w:rsidRPr="00CC160B">
        <w:t>year :</w:t>
      </w:r>
      <w:proofErr w:type="gramEnd"/>
    </w:p>
    <w:p w14:paraId="2C4B241E" w14:textId="3FD92CDF" w:rsidR="00CC160B" w:rsidRPr="00CC160B" w:rsidRDefault="00CC160B" w:rsidP="00661D65">
      <w:pPr>
        <w:pStyle w:val="BodyBullets"/>
        <w:numPr>
          <w:ilvl w:val="1"/>
          <w:numId w:val="3"/>
        </w:numPr>
      </w:pPr>
      <w:r w:rsidRPr="00CC160B">
        <w:t>2013-14: 65%</w:t>
      </w:r>
    </w:p>
    <w:p w14:paraId="59B54C98" w14:textId="2372C41D" w:rsidR="00CC160B" w:rsidRPr="00CC160B" w:rsidRDefault="00CC160B" w:rsidP="00661D65">
      <w:pPr>
        <w:pStyle w:val="BodyBullets"/>
        <w:numPr>
          <w:ilvl w:val="1"/>
          <w:numId w:val="3"/>
        </w:numPr>
      </w:pPr>
      <w:r w:rsidRPr="00CC160B">
        <w:t>2014-15: 74%</w:t>
      </w:r>
    </w:p>
    <w:p w14:paraId="1B4837D1" w14:textId="43DC4481" w:rsidR="00CC160B" w:rsidRPr="00CC160B" w:rsidRDefault="00CC160B" w:rsidP="00661D65">
      <w:pPr>
        <w:pStyle w:val="BodyBullets"/>
        <w:numPr>
          <w:ilvl w:val="1"/>
          <w:numId w:val="3"/>
        </w:numPr>
      </w:pPr>
      <w:r w:rsidRPr="00CC160B">
        <w:t>2015-16: 68%</w:t>
      </w:r>
    </w:p>
    <w:p w14:paraId="3C92032D" w14:textId="77777777" w:rsidR="00CC160B" w:rsidRPr="00CC160B" w:rsidRDefault="00CC160B" w:rsidP="00661D65">
      <w:pPr>
        <w:pStyle w:val="Footnote"/>
        <w:spacing w:after="240"/>
      </w:pPr>
      <w:r w:rsidRPr="00CC160B">
        <w:t>Note: these figures reflect actual payments to-date, and may continue to increase over time, particularly for the 2015-16 year.</w:t>
      </w:r>
    </w:p>
    <w:p w14:paraId="35AA8C2C" w14:textId="77777777" w:rsidR="00516CF3" w:rsidRDefault="00516CF3" w:rsidP="00516CF3">
      <w:pPr>
        <w:pStyle w:val="BodyBullets-last"/>
        <w:spacing w:before="0"/>
      </w:pPr>
      <w:r>
        <w:t>79 per cent of participants with approved plans in place for at least three months had payments against their plan. This varied by jurisdiction with 42 per cent in the Northern Territory and 89 per cent in Victoria.</w:t>
      </w:r>
    </w:p>
    <w:p w14:paraId="6AD043A2" w14:textId="77777777" w:rsidR="00516CF3" w:rsidRPr="00661D65" w:rsidRDefault="00516CF3" w:rsidP="00661D65">
      <w:pPr>
        <w:pStyle w:val="Notes"/>
      </w:pPr>
      <w:r w:rsidRPr="00661D65">
        <w:t>Note: in-kind support means this figure will be an underestimate.</w:t>
      </w:r>
    </w:p>
    <w:p w14:paraId="52BF7AE9" w14:textId="77777777" w:rsidR="00516CF3" w:rsidRDefault="00516CF3" w:rsidP="00A347D3">
      <w:pPr>
        <w:pStyle w:val="Heading4"/>
      </w:pPr>
      <w:r>
        <w:t xml:space="preserve"> Notes</w:t>
      </w:r>
    </w:p>
    <w:p w14:paraId="16DB2D90" w14:textId="77777777" w:rsidR="00516CF3" w:rsidRDefault="00516CF3" w:rsidP="00516CF3">
      <w:pPr>
        <w:pStyle w:val="BodyBullets-last"/>
      </w:pPr>
      <w:r>
        <w:rPr>
          <w:spacing w:val="-5"/>
        </w:rPr>
        <w:t xml:space="preserve">Participants are </w:t>
      </w:r>
      <w:proofErr w:type="spellStart"/>
      <w:r>
        <w:rPr>
          <w:spacing w:val="-5"/>
        </w:rPr>
        <w:t>utilising</w:t>
      </w:r>
      <w:proofErr w:type="spellEnd"/>
      <w:r>
        <w:rPr>
          <w:spacing w:val="-5"/>
        </w:rPr>
        <w:t xml:space="preserve"> more support on average in their second plans compared with their first plans. This may indicate an increasing capacity to implement funded supports, or increasing market capacity and preparedness for NDIA supports.</w:t>
      </w:r>
    </w:p>
    <w:p w14:paraId="716FBCE2" w14:textId="77777777" w:rsidR="00516CF3" w:rsidRDefault="00516CF3" w:rsidP="00A347D3">
      <w:pPr>
        <w:pStyle w:val="Heading4"/>
      </w:pPr>
      <w:r>
        <w:lastRenderedPageBreak/>
        <w:t>Key performance measure</w:t>
      </w:r>
    </w:p>
    <w:p w14:paraId="66AE268E" w14:textId="77777777" w:rsidR="00516CF3" w:rsidRDefault="00516CF3" w:rsidP="00516CF3">
      <w:pPr>
        <w:pStyle w:val="IntroPara"/>
        <w:rPr>
          <w:spacing w:val="-9"/>
        </w:rPr>
      </w:pPr>
      <w:r>
        <w:rPr>
          <w:spacing w:val="-9"/>
        </w:rPr>
        <w:t xml:space="preserve">Participants have access to a range of relevant service providers and social and economic opportunities, as measured by reference to the </w:t>
      </w:r>
      <w:proofErr w:type="spellStart"/>
      <w:r>
        <w:rPr>
          <w:spacing w:val="-9"/>
        </w:rPr>
        <w:t>utilisation</w:t>
      </w:r>
      <w:proofErr w:type="spellEnd"/>
      <w:r>
        <w:rPr>
          <w:spacing w:val="-9"/>
        </w:rPr>
        <w:t xml:space="preserve"> of reasonable and necessary supports in plans and the Agency’s Outcomes Framework, with the outcomes of 2015-16 to inform the baseline for future years.</w:t>
      </w:r>
    </w:p>
    <w:p w14:paraId="3E05AE76" w14:textId="6BFA1BBB" w:rsidR="00324C7B" w:rsidRPr="00324C7B" w:rsidRDefault="00324C7B" w:rsidP="00324C7B">
      <w:pPr>
        <w:pStyle w:val="IntroPara"/>
        <w:spacing w:after="0"/>
      </w:pPr>
      <w:r>
        <w:rPr>
          <w:b/>
          <w:color w:val="6B2976" w:themeColor="text2"/>
        </w:rPr>
        <w:t>Partially a</w:t>
      </w:r>
      <w:r w:rsidRPr="00A0445B">
        <w:rPr>
          <w:b/>
          <w:color w:val="6B2976" w:themeColor="text2"/>
        </w:rPr>
        <w:t>chieved</w:t>
      </w:r>
    </w:p>
    <w:p w14:paraId="420A0A8D" w14:textId="77777777" w:rsidR="00516CF3" w:rsidRDefault="00516CF3" w:rsidP="00A347D3">
      <w:pPr>
        <w:pStyle w:val="Heading4"/>
      </w:pPr>
      <w:r>
        <w:t>Results</w:t>
      </w:r>
    </w:p>
    <w:p w14:paraId="002C7A22" w14:textId="1E2872E7" w:rsidR="00516CF3" w:rsidRPr="00B72228" w:rsidRDefault="00516CF3" w:rsidP="00B72228">
      <w:pPr>
        <w:pStyle w:val="BodyBullets"/>
      </w:pPr>
      <w:r w:rsidRPr="00B72228">
        <w:t xml:space="preserve">3519 service providers were registered with the Scheme. For each state and </w:t>
      </w:r>
      <w:proofErr w:type="gramStart"/>
      <w:r w:rsidRPr="00B72228">
        <w:t>territory</w:t>
      </w:r>
      <w:proofErr w:type="gramEnd"/>
      <w:r w:rsidRPr="00B72228">
        <w:t xml:space="preserve"> the following numbers of providers were registered:</w:t>
      </w:r>
    </w:p>
    <w:p w14:paraId="45562D43" w14:textId="2EC96E4E" w:rsidR="00516CF3" w:rsidRPr="00B72228" w:rsidRDefault="00516CF3" w:rsidP="00B72228">
      <w:pPr>
        <w:pStyle w:val="BodyBullets"/>
        <w:numPr>
          <w:ilvl w:val="1"/>
          <w:numId w:val="3"/>
        </w:numPr>
      </w:pPr>
      <w:r w:rsidRPr="00B72228">
        <w:t>NSW 1466</w:t>
      </w:r>
    </w:p>
    <w:p w14:paraId="1613450D" w14:textId="18CEF2F1" w:rsidR="00516CF3" w:rsidRPr="00B72228" w:rsidRDefault="00516CF3" w:rsidP="00B72228">
      <w:pPr>
        <w:pStyle w:val="BodyBullets"/>
        <w:numPr>
          <w:ilvl w:val="1"/>
          <w:numId w:val="3"/>
        </w:numPr>
      </w:pPr>
      <w:r w:rsidRPr="00B72228">
        <w:t>SA 522</w:t>
      </w:r>
    </w:p>
    <w:p w14:paraId="7C4CC030" w14:textId="0BEA593D" w:rsidR="00516CF3" w:rsidRPr="00B72228" w:rsidRDefault="00516CF3" w:rsidP="00B72228">
      <w:pPr>
        <w:pStyle w:val="BodyBullets"/>
        <w:numPr>
          <w:ilvl w:val="1"/>
          <w:numId w:val="3"/>
        </w:numPr>
      </w:pPr>
      <w:r w:rsidRPr="00B72228">
        <w:t>TAS 260</w:t>
      </w:r>
    </w:p>
    <w:p w14:paraId="2775E1AF" w14:textId="748B2834" w:rsidR="00516CF3" w:rsidRPr="00B72228" w:rsidRDefault="00516CF3" w:rsidP="00B72228">
      <w:pPr>
        <w:pStyle w:val="BodyBullets"/>
        <w:numPr>
          <w:ilvl w:val="1"/>
          <w:numId w:val="3"/>
        </w:numPr>
      </w:pPr>
      <w:r w:rsidRPr="00B72228">
        <w:t>VIC 896</w:t>
      </w:r>
    </w:p>
    <w:p w14:paraId="705FADF2" w14:textId="1DD82E0D" w:rsidR="00516CF3" w:rsidRPr="00B72228" w:rsidRDefault="00516CF3" w:rsidP="00B72228">
      <w:pPr>
        <w:pStyle w:val="BodyBullets"/>
        <w:numPr>
          <w:ilvl w:val="1"/>
          <w:numId w:val="3"/>
        </w:numPr>
      </w:pPr>
      <w:r w:rsidRPr="00B72228">
        <w:t>ACT 261</w:t>
      </w:r>
    </w:p>
    <w:p w14:paraId="21A0FFAC" w14:textId="7954E452" w:rsidR="00516CF3" w:rsidRPr="00B72228" w:rsidRDefault="00516CF3" w:rsidP="00B72228">
      <w:pPr>
        <w:pStyle w:val="BodyBullets"/>
        <w:numPr>
          <w:ilvl w:val="1"/>
          <w:numId w:val="3"/>
        </w:numPr>
      </w:pPr>
      <w:r w:rsidRPr="00B72228">
        <w:t>WA 255</w:t>
      </w:r>
    </w:p>
    <w:p w14:paraId="387D2C8C" w14:textId="41333F6F" w:rsidR="00516CF3" w:rsidRPr="00B72228" w:rsidRDefault="00516CF3" w:rsidP="00B72228">
      <w:pPr>
        <w:pStyle w:val="BodyBullets"/>
        <w:numPr>
          <w:ilvl w:val="1"/>
          <w:numId w:val="3"/>
        </w:numPr>
      </w:pPr>
      <w:r w:rsidRPr="00B72228">
        <w:t>NT 41</w:t>
      </w:r>
    </w:p>
    <w:p w14:paraId="3522C024" w14:textId="5F66239B" w:rsidR="00516CF3" w:rsidRPr="00B72228" w:rsidRDefault="00516CF3" w:rsidP="00B72228">
      <w:pPr>
        <w:pStyle w:val="BodyBullets"/>
        <w:numPr>
          <w:ilvl w:val="1"/>
          <w:numId w:val="3"/>
        </w:numPr>
      </w:pPr>
      <w:r w:rsidRPr="00B72228">
        <w:t>QLD 139</w:t>
      </w:r>
    </w:p>
    <w:p w14:paraId="1131F149" w14:textId="77777777" w:rsidR="00516CF3" w:rsidRDefault="00516CF3" w:rsidP="00A347D3">
      <w:pPr>
        <w:pStyle w:val="Heading4"/>
      </w:pPr>
      <w:r>
        <w:t>Notes</w:t>
      </w:r>
    </w:p>
    <w:p w14:paraId="44022695" w14:textId="77777777" w:rsidR="00516CF3" w:rsidRDefault="00516CF3" w:rsidP="00516CF3">
      <w:pPr>
        <w:pStyle w:val="BodyCopy"/>
      </w:pPr>
      <w:r>
        <w:t>Providers are able to register nationally as well as across multiple states. As a result, the sum total of service provider numbers in each state and territory does not reflect the total number of service providers.</w:t>
      </w:r>
    </w:p>
    <w:p w14:paraId="218EEA49" w14:textId="77777777" w:rsidR="00516CF3" w:rsidRDefault="00516CF3" w:rsidP="00516CF3">
      <w:pPr>
        <w:pStyle w:val="BodyCopy"/>
      </w:pPr>
      <w:r>
        <w:t>Other activities include:</w:t>
      </w:r>
    </w:p>
    <w:p w14:paraId="02BEC94A" w14:textId="77777777" w:rsidR="00516CF3" w:rsidRDefault="00516CF3" w:rsidP="00516CF3">
      <w:pPr>
        <w:pStyle w:val="BodyBullets"/>
      </w:pPr>
      <w:r>
        <w:t>provider toolkit available online</w:t>
      </w:r>
    </w:p>
    <w:p w14:paraId="6C3CDC65" w14:textId="77777777" w:rsidR="00516CF3" w:rsidRDefault="00516CF3" w:rsidP="00516CF3">
      <w:pPr>
        <w:pStyle w:val="BodyBullets"/>
      </w:pPr>
      <w:r>
        <w:t>program of provider readiness activity underway in preparation for year one rollout</w:t>
      </w:r>
    </w:p>
    <w:p w14:paraId="75DFF797" w14:textId="77777777" w:rsidR="00516CF3" w:rsidRDefault="00516CF3" w:rsidP="00516CF3">
      <w:pPr>
        <w:pStyle w:val="BodyBullets-last"/>
      </w:pPr>
      <w:proofErr w:type="spellStart"/>
      <w:r>
        <w:t>eMarkets</w:t>
      </w:r>
      <w:proofErr w:type="spellEnd"/>
      <w:r>
        <w:t xml:space="preserve"> scan and options evaluation completed.</w:t>
      </w:r>
    </w:p>
    <w:p w14:paraId="2C2A582A" w14:textId="77777777" w:rsidR="00516CF3" w:rsidRDefault="00516CF3" w:rsidP="00A347D3">
      <w:pPr>
        <w:pStyle w:val="Heading4"/>
      </w:pPr>
      <w:r>
        <w:t>Key performance measure</w:t>
      </w:r>
    </w:p>
    <w:p w14:paraId="6F8503EB" w14:textId="26DD984C" w:rsidR="00516CF3" w:rsidRDefault="00516CF3" w:rsidP="00516CF3">
      <w:pPr>
        <w:pStyle w:val="IntroPara"/>
      </w:pPr>
      <w:r>
        <w:t>Establishment of a framework for measuring access to a range of informal and mainstream supports for people with disability.</w:t>
      </w:r>
    </w:p>
    <w:p w14:paraId="260D3AE1" w14:textId="0062F561" w:rsidR="005B4447" w:rsidRDefault="005B4447" w:rsidP="005B4447">
      <w:pPr>
        <w:pStyle w:val="IntroPara"/>
        <w:spacing w:after="0"/>
      </w:pPr>
      <w:r>
        <w:rPr>
          <w:b/>
          <w:color w:val="6B2976" w:themeColor="text2"/>
        </w:rPr>
        <w:t xml:space="preserve">On </w:t>
      </w:r>
      <w:r w:rsidR="009208B3">
        <w:rPr>
          <w:b/>
          <w:color w:val="6B2976" w:themeColor="text2"/>
        </w:rPr>
        <w:t>t</w:t>
      </w:r>
      <w:r>
        <w:rPr>
          <w:b/>
          <w:color w:val="6B2976" w:themeColor="text2"/>
        </w:rPr>
        <w:t>rack</w:t>
      </w:r>
    </w:p>
    <w:p w14:paraId="5CF44535" w14:textId="77777777" w:rsidR="00516CF3" w:rsidRDefault="00516CF3" w:rsidP="00A347D3">
      <w:pPr>
        <w:pStyle w:val="Heading4"/>
      </w:pPr>
      <w:r>
        <w:lastRenderedPageBreak/>
        <w:t>Results</w:t>
      </w:r>
    </w:p>
    <w:p w14:paraId="55F9D0B3" w14:textId="77777777" w:rsidR="00516CF3" w:rsidRDefault="00516CF3" w:rsidP="00516CF3">
      <w:pPr>
        <w:pStyle w:val="BodyBullets"/>
      </w:pPr>
      <w:r>
        <w:rPr>
          <w:spacing w:val="-3"/>
        </w:rPr>
        <w:t xml:space="preserve">Work is underway to understand the level of informal support provided to participants (as part of the first plan approach). </w:t>
      </w:r>
      <w:r>
        <w:t>The Outcomes Framework domains–health and wellbeing, home, lifelong learning, and education–will provide insight into the extent to which participants are accessing mainstream services.</w:t>
      </w:r>
    </w:p>
    <w:p w14:paraId="6BC846E8" w14:textId="77777777" w:rsidR="00516CF3" w:rsidRDefault="00516CF3" w:rsidP="00A347D3">
      <w:pPr>
        <w:pStyle w:val="Heading4"/>
      </w:pPr>
      <w:r>
        <w:t>Notes</w:t>
      </w:r>
    </w:p>
    <w:p w14:paraId="7D5510FD" w14:textId="77777777" w:rsidR="00516CF3" w:rsidRDefault="00516CF3" w:rsidP="00516CF3">
      <w:pPr>
        <w:pStyle w:val="BodyCopy"/>
      </w:pPr>
      <w:r>
        <w:t>Other activities include:</w:t>
      </w:r>
    </w:p>
    <w:p w14:paraId="4379AA87" w14:textId="77777777" w:rsidR="00516CF3" w:rsidRDefault="00516CF3" w:rsidP="00516CF3">
      <w:pPr>
        <w:pStyle w:val="BodyBullets"/>
      </w:pPr>
      <w:r>
        <w:rPr>
          <w:spacing w:val="-3"/>
        </w:rPr>
        <w:t>National consultations on the ILC Commissioning Framework are complete. Feedback provided has been reviewed and incorporated into the next draft of the Framework to be released shortly. ILC Program Guidelines will be released by the end of the 2016.</w:t>
      </w:r>
    </w:p>
    <w:p w14:paraId="2D8FD72F" w14:textId="77777777" w:rsidR="00516CF3" w:rsidRDefault="00516CF3" w:rsidP="00A347D3">
      <w:pPr>
        <w:pStyle w:val="Heading4"/>
      </w:pPr>
      <w:r>
        <w:t>Summary of progress:</w:t>
      </w:r>
    </w:p>
    <w:p w14:paraId="20AD4679" w14:textId="46F58942" w:rsidR="00F65182" w:rsidRDefault="00516CF3" w:rsidP="007C4FA6">
      <w:pPr>
        <w:pStyle w:val="BodyCopy"/>
      </w:pPr>
      <w:r>
        <w:t xml:space="preserve">Overall, significant progress has been made on activities relating to people with disability having choice and control, with improving </w:t>
      </w:r>
      <w:proofErr w:type="spellStart"/>
      <w:r>
        <w:t>utilisation</w:t>
      </w:r>
      <w:proofErr w:type="spellEnd"/>
      <w:r>
        <w:t xml:space="preserve"> and progress on the Outcomes Framework.</w:t>
      </w:r>
    </w:p>
    <w:p w14:paraId="78F2DAC0" w14:textId="09F4C6AA" w:rsidR="00552258" w:rsidRPr="00552258" w:rsidRDefault="00552258" w:rsidP="00552258">
      <w:pPr>
        <w:pStyle w:val="Heading2"/>
      </w:pPr>
      <w:bookmarkStart w:id="67" w:name="_Toc464482119"/>
      <w:r w:rsidRPr="00552258">
        <w:lastRenderedPageBreak/>
        <w:t>Goal 3</w:t>
      </w:r>
      <w:r>
        <w:t xml:space="preserve">: </w:t>
      </w:r>
      <w:r w:rsidRPr="00552258">
        <w:t>Community satisfaction: The community has ownership, confidence and pride in the National Disability Insurance Scheme and the National Disability Insurance Agency</w:t>
      </w:r>
      <w:bookmarkEnd w:id="67"/>
    </w:p>
    <w:p w14:paraId="2C7DD480" w14:textId="2DE2D1A4" w:rsidR="008D475E" w:rsidRDefault="008D475E" w:rsidP="00132FA8">
      <w:pPr>
        <w:pStyle w:val="Heading3"/>
      </w:pPr>
      <w:r>
        <w:t>Delivery strategy</w:t>
      </w:r>
    </w:p>
    <w:p w14:paraId="724E07D7" w14:textId="77777777" w:rsidR="008D475E" w:rsidRDefault="008D475E" w:rsidP="008D475E">
      <w:pPr>
        <w:pStyle w:val="BodyBullets"/>
      </w:pPr>
      <w:r>
        <w:rPr>
          <w:rStyle w:val="Bold"/>
        </w:rPr>
        <w:t>Respect</w:t>
      </w:r>
      <w:r>
        <w:t xml:space="preserve"> and actively seek the views of people with disability, their families, </w:t>
      </w:r>
      <w:proofErr w:type="spellStart"/>
      <w:r>
        <w:t>carers</w:t>
      </w:r>
      <w:proofErr w:type="spellEnd"/>
      <w:r>
        <w:t xml:space="preserve"> and the community.</w:t>
      </w:r>
    </w:p>
    <w:p w14:paraId="368FBF0A" w14:textId="77777777" w:rsidR="008D475E" w:rsidRDefault="008D475E" w:rsidP="008D475E">
      <w:pPr>
        <w:pStyle w:val="BodyBullets"/>
      </w:pPr>
      <w:r>
        <w:rPr>
          <w:rStyle w:val="Bold"/>
        </w:rPr>
        <w:t>Work</w:t>
      </w:r>
      <w:r>
        <w:t xml:space="preserve"> constructively with governments.</w:t>
      </w:r>
    </w:p>
    <w:p w14:paraId="43A0A6E5" w14:textId="77777777" w:rsidR="008D475E" w:rsidRDefault="008D475E" w:rsidP="008D475E">
      <w:pPr>
        <w:pStyle w:val="BodyBullets-last"/>
      </w:pPr>
      <w:r>
        <w:rPr>
          <w:rStyle w:val="Bold"/>
        </w:rPr>
        <w:t>Raise</w:t>
      </w:r>
      <w:r>
        <w:t xml:space="preserve"> community awareness and knowledge of how to support people with disability.</w:t>
      </w:r>
    </w:p>
    <w:p w14:paraId="052F64E1" w14:textId="00EBD7C5" w:rsidR="008D475E" w:rsidRDefault="008D475E" w:rsidP="00132FA8">
      <w:pPr>
        <w:pStyle w:val="Heading3"/>
      </w:pPr>
      <w:r>
        <w:t>Goal 3 overview</w:t>
      </w:r>
    </w:p>
    <w:p w14:paraId="063DBC5F" w14:textId="77777777" w:rsidR="008D475E" w:rsidRDefault="008D475E" w:rsidP="008D475E">
      <w:pPr>
        <w:pStyle w:val="BodyCopy"/>
      </w:pPr>
      <w:r>
        <w:t>Of the 2153 participants who have been surveyed for their level of satisfaction, 95 per cent responded that their experience was either good or very good, with slightly lower levels of satisfaction in SA, the ACT, and WA. The overall satisfaction rating is calculated as a weighted average of the satisfaction ratings of each participant surveyed. A member of the engagement team contacts participants after their plan is agreed with their planner; however not all participants choose to complete and submit their survey. Participants’ responses remain anonymous to their planners.</w:t>
      </w:r>
    </w:p>
    <w:p w14:paraId="09703792" w14:textId="77777777" w:rsidR="008D475E" w:rsidRDefault="008D475E" w:rsidP="008D475E">
      <w:pPr>
        <w:pStyle w:val="BodyCopy"/>
      </w:pPr>
      <w:r>
        <w:t>To date, there have been 83 appeals with the Administration Appeal Tribunal (AAT)—20 due to access issues (0.06 per cent of all access requests), and 63 due to plan issues (0.21 per cent of all active and inactive participants with an approved plan). Of these appeals, 58 have reached a resolution; 26 have been varied (participant won the appeal) and the other 32 have been dismissed, withdrawn or affirmed (the original decision confirmed).</w:t>
      </w:r>
    </w:p>
    <w:p w14:paraId="31109237" w14:textId="77777777" w:rsidR="008D475E" w:rsidRDefault="008D475E" w:rsidP="008D475E">
      <w:pPr>
        <w:pStyle w:val="BodyCopy"/>
      </w:pPr>
      <w:r>
        <w:t>772 decisions have been reviewed internally after being formally requested. This is compared with 41 523 access requests and 30 281 approved plans.</w:t>
      </w:r>
    </w:p>
    <w:p w14:paraId="63C607F8" w14:textId="210AE106" w:rsidR="008D475E" w:rsidRDefault="008D475E" w:rsidP="00132FA8">
      <w:pPr>
        <w:pStyle w:val="Heading3"/>
      </w:pPr>
      <w:r>
        <w:t>Key performance indicators</w:t>
      </w:r>
    </w:p>
    <w:p w14:paraId="3F2C9394" w14:textId="77777777" w:rsidR="008D475E" w:rsidRDefault="008D475E" w:rsidP="008D475E">
      <w:pPr>
        <w:pStyle w:val="BodyCopy"/>
      </w:pPr>
      <w:r>
        <w:t>These indicators are measured against the 2015-19 Corporate Plan.</w:t>
      </w:r>
    </w:p>
    <w:p w14:paraId="2C26707B" w14:textId="77777777" w:rsidR="008D475E" w:rsidRPr="0013380E" w:rsidRDefault="008D475E" w:rsidP="0013380E">
      <w:pPr>
        <w:pStyle w:val="Heading4"/>
      </w:pPr>
      <w:r w:rsidRPr="0013380E">
        <w:t>Key performance measure</w:t>
      </w:r>
    </w:p>
    <w:p w14:paraId="59B5DEBF" w14:textId="77777777" w:rsidR="008D475E" w:rsidRDefault="008D475E" w:rsidP="008D475E">
      <w:pPr>
        <w:pStyle w:val="IntroPara"/>
      </w:pPr>
      <w:r>
        <w:t>Participants are satisfied with the Agency as measured by satisfaction surveys.</w:t>
      </w:r>
    </w:p>
    <w:p w14:paraId="5D4153DD" w14:textId="7D99347A" w:rsidR="00FD291C" w:rsidRDefault="00FD291C" w:rsidP="00FD291C">
      <w:pPr>
        <w:pStyle w:val="IntroPara"/>
        <w:spacing w:after="0"/>
      </w:pPr>
      <w:r>
        <w:rPr>
          <w:b/>
          <w:color w:val="6B2976" w:themeColor="text2"/>
        </w:rPr>
        <w:t>On track</w:t>
      </w:r>
    </w:p>
    <w:p w14:paraId="312F2AD7" w14:textId="77777777" w:rsidR="008D475E" w:rsidRDefault="008D475E" w:rsidP="0013380E">
      <w:pPr>
        <w:pStyle w:val="Heading4"/>
      </w:pPr>
      <w:r>
        <w:lastRenderedPageBreak/>
        <w:t>Results</w:t>
      </w:r>
    </w:p>
    <w:p w14:paraId="70CA0077" w14:textId="77777777" w:rsidR="008D475E" w:rsidRDefault="008D475E" w:rsidP="008D475E">
      <w:pPr>
        <w:pStyle w:val="BodyBullets"/>
      </w:pPr>
      <w:r>
        <w:t>At 30 June 2016, of the 2153 participants surveyed for their satisfaction, the majority are highly satisfied with the Agency­—with an overall rating of 1.62 on a scale of -2 (very poor) to +2 (very good), with slightly lower levels of satisfaction in SA, the ACT and WA.</w:t>
      </w:r>
    </w:p>
    <w:p w14:paraId="1080B72A" w14:textId="4CCC9511" w:rsidR="008D475E" w:rsidRDefault="008D475E" w:rsidP="008D475E">
      <w:pPr>
        <w:pStyle w:val="Heading3"/>
      </w:pPr>
      <w:r>
        <w:t>Key performance measure</w:t>
      </w:r>
    </w:p>
    <w:p w14:paraId="34FF8952" w14:textId="77777777" w:rsidR="008D475E" w:rsidRDefault="008D475E" w:rsidP="008D475E">
      <w:pPr>
        <w:pStyle w:val="IntroPara"/>
      </w:pPr>
      <w:r>
        <w:t>Participants and the community are satisfied with their level of engagement in the design of the Scheme and the framework for delivery of the Scheme.</w:t>
      </w:r>
    </w:p>
    <w:p w14:paraId="1CE4D8FC" w14:textId="49BBD69B" w:rsidR="00FD291C" w:rsidRDefault="00FD291C" w:rsidP="00FD291C">
      <w:pPr>
        <w:pStyle w:val="IntroPara"/>
        <w:spacing w:after="0"/>
      </w:pPr>
      <w:r>
        <w:rPr>
          <w:b/>
          <w:color w:val="6B2976" w:themeColor="text2"/>
        </w:rPr>
        <w:t>On track</w:t>
      </w:r>
    </w:p>
    <w:p w14:paraId="4A43D812" w14:textId="77777777" w:rsidR="008D475E" w:rsidRDefault="008D475E" w:rsidP="003E61B5">
      <w:pPr>
        <w:pStyle w:val="Heading4"/>
      </w:pPr>
      <w:r>
        <w:t>Results</w:t>
      </w:r>
    </w:p>
    <w:p w14:paraId="4A3AA672" w14:textId="77777777" w:rsidR="008D475E" w:rsidRDefault="008D475E" w:rsidP="008D475E">
      <w:pPr>
        <w:pStyle w:val="BodyBullets-last"/>
      </w:pPr>
      <w:r>
        <w:t xml:space="preserve">Continued to implement recommendations from Citizen’s Jury scorecard. </w:t>
      </w:r>
    </w:p>
    <w:p w14:paraId="471051EF" w14:textId="77777777" w:rsidR="008D475E" w:rsidRDefault="008D475E" w:rsidP="008D475E">
      <w:pPr>
        <w:pStyle w:val="BodyBullets-last"/>
      </w:pPr>
      <w:r>
        <w:t>Co-design session on the First Plan process.</w:t>
      </w:r>
    </w:p>
    <w:p w14:paraId="58241497" w14:textId="77777777" w:rsidR="008D475E" w:rsidRDefault="008D475E" w:rsidP="008D475E">
      <w:pPr>
        <w:pStyle w:val="BodyBullets-last"/>
      </w:pPr>
      <w:r>
        <w:t>Sites regularly engage with advisory groups, including participant and community groups.</w:t>
      </w:r>
    </w:p>
    <w:p w14:paraId="7B36CBBB" w14:textId="77777777" w:rsidR="008D475E" w:rsidRDefault="008D475E" w:rsidP="003E61B5">
      <w:pPr>
        <w:pStyle w:val="Heading4"/>
      </w:pPr>
      <w:r>
        <w:t>Key performance measure</w:t>
      </w:r>
    </w:p>
    <w:p w14:paraId="0032ADD6" w14:textId="77777777" w:rsidR="008D475E" w:rsidRDefault="008D475E" w:rsidP="008D475E">
      <w:pPr>
        <w:pStyle w:val="IntroPara"/>
      </w:pPr>
      <w:r>
        <w:t>Responsive and effective engagement with the COAG Disability Reform Council and Joint Standing Committee, as measured through their satisfaction with the Agency.</w:t>
      </w:r>
    </w:p>
    <w:p w14:paraId="4624C26A" w14:textId="2A7ABDAC" w:rsidR="00FD291C" w:rsidRDefault="00FD291C" w:rsidP="00FD291C">
      <w:pPr>
        <w:pStyle w:val="IntroPara"/>
        <w:spacing w:after="0"/>
      </w:pPr>
      <w:r>
        <w:rPr>
          <w:b/>
          <w:color w:val="6B2976" w:themeColor="text2"/>
        </w:rPr>
        <w:t>On track</w:t>
      </w:r>
    </w:p>
    <w:p w14:paraId="3343A99C" w14:textId="77777777" w:rsidR="008D475E" w:rsidRDefault="008D475E" w:rsidP="003E61B5">
      <w:pPr>
        <w:pStyle w:val="Heading4"/>
      </w:pPr>
      <w:r>
        <w:t>Results</w:t>
      </w:r>
    </w:p>
    <w:p w14:paraId="1F520C9D" w14:textId="77777777" w:rsidR="008D475E" w:rsidRDefault="008D475E" w:rsidP="008D475E">
      <w:pPr>
        <w:pStyle w:val="BodyBullets-last"/>
      </w:pPr>
      <w:r>
        <w:t>There was one COAG Disability Reform Council meeting in the reporting period (4 March 2016 in Adelaide).</w:t>
      </w:r>
    </w:p>
    <w:p w14:paraId="29BA98AF" w14:textId="77777777" w:rsidR="008D475E" w:rsidRDefault="008D475E" w:rsidP="008D475E">
      <w:pPr>
        <w:pStyle w:val="BodyBullets-last"/>
      </w:pPr>
      <w:r>
        <w:t>The Parliamentary Joint Standing Committee on the National Disability Insurance Scheme (Joint Standing Committee) held one private briefing in this reporting period in Canberra on 2 March 2016. The Agency was represented by the Chairman, the Chief Executive Officer and the three Deputy CEOs.</w:t>
      </w:r>
    </w:p>
    <w:p w14:paraId="76804D82" w14:textId="77777777" w:rsidR="008D475E" w:rsidRDefault="008D475E" w:rsidP="008D475E">
      <w:pPr>
        <w:pStyle w:val="BodyBullets-last"/>
      </w:pPr>
      <w:r>
        <w:t xml:space="preserve">The Joint Standing Committee conducted several site visits and public hearings in trial and early launch sites in 2015-16, travelling to the NT, NSW and </w:t>
      </w:r>
      <w:proofErr w:type="spellStart"/>
      <w:r>
        <w:t>Qld</w:t>
      </w:r>
      <w:proofErr w:type="spellEnd"/>
      <w:r>
        <w:t>.</w:t>
      </w:r>
    </w:p>
    <w:p w14:paraId="332A6F8F" w14:textId="77777777" w:rsidR="008D475E" w:rsidRDefault="008D475E" w:rsidP="008D475E">
      <w:pPr>
        <w:pStyle w:val="BodyBullets-last"/>
      </w:pPr>
      <w:r>
        <w:t xml:space="preserve">The Government’s response to the </w:t>
      </w:r>
      <w:r>
        <w:rPr>
          <w:rStyle w:val="Lightitalic"/>
        </w:rPr>
        <w:t>Joint Standing Committee second progress report</w:t>
      </w:r>
      <w:r>
        <w:t xml:space="preserve"> on the implementation and administration of the Scheme was tabled in March 2016. </w:t>
      </w:r>
    </w:p>
    <w:p w14:paraId="7E069A2F" w14:textId="77777777" w:rsidR="008D475E" w:rsidRDefault="008D475E" w:rsidP="008D475E">
      <w:pPr>
        <w:pStyle w:val="BodyBullets-last"/>
      </w:pPr>
      <w:r>
        <w:t>The Department of Social Services took the lead in preparing the Government’s response to the report with input from the Agency.</w:t>
      </w:r>
    </w:p>
    <w:p w14:paraId="5E560A16" w14:textId="77777777" w:rsidR="008D475E" w:rsidRDefault="008D475E" w:rsidP="003E61B5">
      <w:pPr>
        <w:pStyle w:val="Heading4"/>
      </w:pPr>
      <w:r>
        <w:lastRenderedPageBreak/>
        <w:t>Key performance measure</w:t>
      </w:r>
    </w:p>
    <w:p w14:paraId="25CDE880" w14:textId="77777777" w:rsidR="008D475E" w:rsidRDefault="008D475E" w:rsidP="008D475E">
      <w:pPr>
        <w:pStyle w:val="IntroPara"/>
      </w:pPr>
      <w:r>
        <w:t xml:space="preserve">The community is satisfied that the Agency has the capacity and capability to deliver the transition </w:t>
      </w:r>
      <w:r>
        <w:br/>
        <w:t xml:space="preserve">to full Scheme effectively and efficiently as measured by the successful implementation of new service delivery </w:t>
      </w:r>
      <w:proofErr w:type="spellStart"/>
      <w:r>
        <w:t>centres</w:t>
      </w:r>
      <w:proofErr w:type="spellEnd"/>
      <w:r>
        <w:t xml:space="preserve"> in line with bilateral agreements and the recruitment of staffing resources.</w:t>
      </w:r>
    </w:p>
    <w:p w14:paraId="41CB3BC3" w14:textId="0DF34AC0" w:rsidR="00FD291C" w:rsidRDefault="00FD291C" w:rsidP="00FD291C">
      <w:pPr>
        <w:pStyle w:val="IntroPara"/>
        <w:spacing w:after="0"/>
      </w:pPr>
      <w:r>
        <w:rPr>
          <w:b/>
          <w:color w:val="6B2976" w:themeColor="text2"/>
        </w:rPr>
        <w:t>Partially achieved</w:t>
      </w:r>
    </w:p>
    <w:p w14:paraId="675D4FAA" w14:textId="77777777" w:rsidR="008D475E" w:rsidRDefault="008D475E" w:rsidP="003E61B5">
      <w:pPr>
        <w:pStyle w:val="Heading4"/>
      </w:pPr>
      <w:r>
        <w:t>Results</w:t>
      </w:r>
    </w:p>
    <w:p w14:paraId="25D8232B" w14:textId="77777777" w:rsidR="008D475E" w:rsidRDefault="008D475E" w:rsidP="008D475E">
      <w:pPr>
        <w:pStyle w:val="BodyBullets"/>
      </w:pPr>
      <w:r>
        <w:t xml:space="preserve">The Agency is continuing to work with the Queensland Government to progress implementation of the early transition sites in Townsville, Charters Towers and Palm Island, consistent with the Memorandum of Understanding (MOU). Local Area Coordinators have been deployed to build participation and community readiness. </w:t>
      </w:r>
    </w:p>
    <w:p w14:paraId="6FC9F379" w14:textId="77777777" w:rsidR="008D475E" w:rsidRDefault="008D475E" w:rsidP="008D475E">
      <w:pPr>
        <w:pStyle w:val="BodyBullets"/>
      </w:pPr>
      <w:r>
        <w:t xml:space="preserve">Bilateral agreements for transition have been signed between the Commonwealth and NSW, Vic, </w:t>
      </w:r>
      <w:proofErr w:type="spellStart"/>
      <w:r>
        <w:t>Tas</w:t>
      </w:r>
      <w:proofErr w:type="spellEnd"/>
      <w:r>
        <w:t xml:space="preserve">, </w:t>
      </w:r>
      <w:proofErr w:type="spellStart"/>
      <w:r>
        <w:t>Qld</w:t>
      </w:r>
      <w:proofErr w:type="spellEnd"/>
      <w:r>
        <w:t>, NT and SA governments.</w:t>
      </w:r>
    </w:p>
    <w:p w14:paraId="318E6B69" w14:textId="77777777" w:rsidR="008D475E" w:rsidRDefault="008D475E" w:rsidP="008D475E">
      <w:pPr>
        <w:pStyle w:val="BodyBullets"/>
      </w:pPr>
      <w:r>
        <w:t xml:space="preserve">Operational Plans detailing implementation activities, roles and responsibilities have been signed with NSW, Vic, SA and Tas. The Commonwealth, </w:t>
      </w:r>
      <w:proofErr w:type="spellStart"/>
      <w:r>
        <w:t>Qld</w:t>
      </w:r>
      <w:proofErr w:type="spellEnd"/>
      <w:r>
        <w:t xml:space="preserve"> and NT governments continue to work collaboratively to progress planning towards Scheme rollout. </w:t>
      </w:r>
    </w:p>
    <w:p w14:paraId="3FBB57C3" w14:textId="77777777" w:rsidR="008D475E" w:rsidRDefault="008D475E" w:rsidP="008D475E">
      <w:pPr>
        <w:pStyle w:val="BodyBullets"/>
      </w:pPr>
      <w:r>
        <w:t xml:space="preserve">On 28 April 2016, the Commonwealth Government announced the Perth Hills trial site would be extended by 12 months to 30 June 2017 to ensure people with disability continue to receive supports while a full Scheme approach is </w:t>
      </w:r>
      <w:proofErr w:type="spellStart"/>
      <w:r>
        <w:t>finalised</w:t>
      </w:r>
      <w:proofErr w:type="spellEnd"/>
      <w:r>
        <w:t>.</w:t>
      </w:r>
    </w:p>
    <w:p w14:paraId="1122ABA9" w14:textId="77777777" w:rsidR="008D475E" w:rsidRDefault="008D475E" w:rsidP="008D475E">
      <w:pPr>
        <w:pStyle w:val="BodyBullets"/>
      </w:pPr>
      <w:r>
        <w:t>As at 30 June 2016 the Agency had 18 operational sites with a view to having 32 operational sites open for 1 July 2017 in line with the bilateral agreements.</w:t>
      </w:r>
    </w:p>
    <w:p w14:paraId="7A20215F" w14:textId="77777777" w:rsidR="008D475E" w:rsidRDefault="008D475E" w:rsidP="008D475E">
      <w:pPr>
        <w:pStyle w:val="BodyBullets"/>
      </w:pPr>
      <w:r>
        <w:t xml:space="preserve">People and Culture recruitment services are a mix of outsourced and in-house provision. Recruitment, induction, training and workforce planning continue for all jurisdictions. As at 31 March 2016, staffing levels are at 90 per cent of planned average staffing level of 1220 for the end of the financial year 2015-16, which is expected to be complied with. </w:t>
      </w:r>
    </w:p>
    <w:p w14:paraId="3DAD3572" w14:textId="77777777" w:rsidR="008D475E" w:rsidRDefault="008D475E" w:rsidP="008D475E">
      <w:pPr>
        <w:pStyle w:val="BodyBullets"/>
      </w:pPr>
      <w:r>
        <w:t>ICT system build planning is continuing with strong internal and external governance oversight (including Gateway review).</w:t>
      </w:r>
    </w:p>
    <w:p w14:paraId="38E81AAD" w14:textId="77777777" w:rsidR="008D475E" w:rsidRDefault="008D475E" w:rsidP="008D475E">
      <w:pPr>
        <w:pStyle w:val="BodyBullets-last"/>
      </w:pPr>
      <w:r>
        <w:t>Continued to implement recommendations from Citizen’s Jury scorecard.</w:t>
      </w:r>
    </w:p>
    <w:p w14:paraId="3B542488" w14:textId="797EDBD8" w:rsidR="008D475E" w:rsidRDefault="008D475E" w:rsidP="003E61B5">
      <w:pPr>
        <w:pStyle w:val="Heading3"/>
      </w:pPr>
      <w:r>
        <w:t>Summary of progress:</w:t>
      </w:r>
    </w:p>
    <w:p w14:paraId="260A4C66" w14:textId="77777777" w:rsidR="008D475E" w:rsidRDefault="008D475E" w:rsidP="008D475E">
      <w:pPr>
        <w:pStyle w:val="BodyCopy"/>
      </w:pPr>
      <w:r>
        <w:t>Overall, progress towards rollout of the Scheme remains on track with continuing high levels of stakeholder engagement and positive feedback.</w:t>
      </w:r>
    </w:p>
    <w:p w14:paraId="3670B8C7" w14:textId="77777777" w:rsidR="004E6614" w:rsidRPr="004E6614" w:rsidRDefault="004E6614" w:rsidP="009208B3">
      <w:pPr>
        <w:pStyle w:val="BodyCopy"/>
        <w:shd w:val="clear" w:color="auto" w:fill="EBE8E2" w:themeFill="background2"/>
        <w:spacing w:before="360"/>
        <w:rPr>
          <w:lang w:val="en-GB"/>
        </w:rPr>
      </w:pPr>
      <w:r w:rsidRPr="004E6614">
        <w:rPr>
          <w:b/>
          <w:bCs/>
          <w:lang w:val="en-GB"/>
        </w:rPr>
        <w:t xml:space="preserve">Tina </w:t>
      </w:r>
      <w:proofErr w:type="spellStart"/>
      <w:r w:rsidRPr="004E6614">
        <w:rPr>
          <w:b/>
          <w:bCs/>
          <w:lang w:val="en-GB"/>
        </w:rPr>
        <w:t>Gulino</w:t>
      </w:r>
      <w:proofErr w:type="spellEnd"/>
      <w:r w:rsidRPr="004E6614">
        <w:rPr>
          <w:b/>
          <w:bCs/>
          <w:lang w:val="en-GB"/>
        </w:rPr>
        <w:t xml:space="preserve"> has been a participant in the trial phase for three years. Here she discusses her satisfaction with the Scheme.</w:t>
      </w:r>
    </w:p>
    <w:p w14:paraId="1D6D6E68" w14:textId="77777777" w:rsidR="004E6614" w:rsidRPr="004E6614" w:rsidRDefault="004E6614" w:rsidP="009208B3">
      <w:pPr>
        <w:pStyle w:val="BodyCopy"/>
        <w:shd w:val="clear" w:color="auto" w:fill="EBE8E2" w:themeFill="background2"/>
        <w:rPr>
          <w:lang w:val="en-GB"/>
        </w:rPr>
      </w:pPr>
      <w:r w:rsidRPr="004E6614">
        <w:rPr>
          <w:lang w:val="en-GB"/>
        </w:rPr>
        <w:t xml:space="preserve">‘Over the past 12 months I have contemplated starting studying again; a Certificate for Training and Assessment. But unfortunately in the last three months I’ve been unwell and pretty much in bed,’ said Tina. </w:t>
      </w:r>
    </w:p>
    <w:p w14:paraId="0A314388" w14:textId="77777777" w:rsidR="004E6614" w:rsidRPr="004E6614" w:rsidRDefault="004E6614" w:rsidP="009208B3">
      <w:pPr>
        <w:pStyle w:val="BodyCopy"/>
        <w:shd w:val="clear" w:color="auto" w:fill="EBE8E2" w:themeFill="background2"/>
        <w:rPr>
          <w:lang w:val="en-GB"/>
        </w:rPr>
      </w:pPr>
      <w:r w:rsidRPr="004E6614">
        <w:rPr>
          <w:lang w:val="en-GB"/>
        </w:rPr>
        <w:t>‘The positive side of this is, because of the NDIS, it hasn’t been a struggle to get the additional support that I’ve required.</w:t>
      </w:r>
    </w:p>
    <w:p w14:paraId="1EF87147" w14:textId="77777777" w:rsidR="004E6614" w:rsidRPr="004E6614" w:rsidRDefault="004E6614" w:rsidP="009208B3">
      <w:pPr>
        <w:pStyle w:val="BodyCopy"/>
        <w:shd w:val="clear" w:color="auto" w:fill="EBE8E2" w:themeFill="background2"/>
        <w:rPr>
          <w:lang w:val="en-GB"/>
        </w:rPr>
      </w:pPr>
      <w:r w:rsidRPr="004E6614">
        <w:rPr>
          <w:lang w:val="en-GB"/>
        </w:rPr>
        <w:lastRenderedPageBreak/>
        <w:t>‘It was an interesting experience because I didn’t end up needing to go to hospital; I didn’t end up needing to go into an aged care facility either.</w:t>
      </w:r>
    </w:p>
    <w:p w14:paraId="3C1E8576" w14:textId="77777777" w:rsidR="004E6614" w:rsidRPr="004E6614" w:rsidRDefault="004E6614" w:rsidP="009208B3">
      <w:pPr>
        <w:pStyle w:val="BodyCopy"/>
        <w:shd w:val="clear" w:color="auto" w:fill="EBE8E2" w:themeFill="background2"/>
        <w:rPr>
          <w:lang w:val="en-GB"/>
        </w:rPr>
      </w:pPr>
      <w:r w:rsidRPr="004E6614">
        <w:rPr>
          <w:lang w:val="en-GB"/>
        </w:rPr>
        <w:t xml:space="preserve">‘Those shifts that I have every day, the three core shifts I have every day, mean that I can plan my life, to do things with friends or family, and sometimes that means having a support worker when I’m within the community; like when I go to the footy. Without her I wouldn’t be able to attend, to actually even eat a pie or get through the crowd. </w:t>
      </w:r>
    </w:p>
    <w:p w14:paraId="79F2E372" w14:textId="77777777" w:rsidR="004E6614" w:rsidRPr="004E6614" w:rsidRDefault="004E6614" w:rsidP="009208B3">
      <w:pPr>
        <w:pStyle w:val="BodyCopy"/>
        <w:shd w:val="clear" w:color="auto" w:fill="EBE8E2" w:themeFill="background2"/>
        <w:rPr>
          <w:lang w:val="en-GB"/>
        </w:rPr>
      </w:pPr>
      <w:r w:rsidRPr="004E6614">
        <w:rPr>
          <w:lang w:val="en-GB"/>
        </w:rPr>
        <w:t>‘Two and a half years ago, when the NDIA wasn’t in existence, I wasn’t going to any football matches. There’s nothing quite like being in the crowd and watching sport live.</w:t>
      </w:r>
    </w:p>
    <w:p w14:paraId="760C759C" w14:textId="77777777" w:rsidR="004E6614" w:rsidRPr="004E6614" w:rsidRDefault="004E6614" w:rsidP="009208B3">
      <w:pPr>
        <w:pStyle w:val="BodyCopy"/>
        <w:shd w:val="clear" w:color="auto" w:fill="EBE8E2" w:themeFill="background2"/>
        <w:rPr>
          <w:lang w:val="en-GB"/>
        </w:rPr>
      </w:pPr>
      <w:r w:rsidRPr="004E6614">
        <w:rPr>
          <w:lang w:val="en-GB"/>
        </w:rPr>
        <w:t>‘With my disability, you have peaks and troughs and that’s okay, because it’s now supported in a way that’s right’.</w:t>
      </w:r>
    </w:p>
    <w:p w14:paraId="2B368E09" w14:textId="53E19590" w:rsidR="007F65A5" w:rsidRPr="007F65A5" w:rsidRDefault="007F65A5" w:rsidP="007F65A5">
      <w:pPr>
        <w:pStyle w:val="Heading2"/>
      </w:pPr>
      <w:bookmarkStart w:id="68" w:name="_Toc464482120"/>
      <w:r w:rsidRPr="007F65A5">
        <w:lastRenderedPageBreak/>
        <w:t>Financial performance</w:t>
      </w:r>
      <w:bookmarkEnd w:id="68"/>
    </w:p>
    <w:p w14:paraId="66F3BF37" w14:textId="6BD74934" w:rsidR="007F65A5" w:rsidRDefault="007F65A5" w:rsidP="007F65A5">
      <w:pPr>
        <w:pStyle w:val="Heading3Tables"/>
        <w:rPr>
          <w:rFonts w:ascii="FSMePro-BoldItalic" w:hAnsi="FSMePro-BoldItalic" w:cs="FSMePro-BoldItalic"/>
          <w:i/>
          <w:iCs/>
          <w:color w:val="6A2875"/>
          <w:spacing w:val="-2"/>
          <w:sz w:val="18"/>
          <w:szCs w:val="18"/>
        </w:rPr>
      </w:pPr>
      <w:bookmarkStart w:id="69" w:name="_Toc464481231"/>
      <w:r>
        <w:t>Table 9: Actual costs for 2015-16</w:t>
      </w:r>
      <w:bookmarkEnd w:id="69"/>
    </w:p>
    <w:tbl>
      <w:tblPr>
        <w:tblW w:w="0" w:type="auto"/>
        <w:tblInd w:w="-8" w:type="dxa"/>
        <w:tblLayout w:type="fixed"/>
        <w:tblCellMar>
          <w:left w:w="0" w:type="dxa"/>
          <w:right w:w="0" w:type="dxa"/>
        </w:tblCellMar>
        <w:tblLook w:val="0000" w:firstRow="0" w:lastRow="0" w:firstColumn="0" w:lastColumn="0" w:noHBand="0" w:noVBand="0"/>
      </w:tblPr>
      <w:tblGrid>
        <w:gridCol w:w="3005"/>
        <w:gridCol w:w="1106"/>
      </w:tblGrid>
      <w:tr w:rsidR="007F65A5" w14:paraId="2CC8AE62" w14:textId="77777777" w:rsidTr="007F65A5">
        <w:trPr>
          <w:trHeight w:val="60"/>
          <w:tblHeader/>
        </w:trPr>
        <w:tc>
          <w:tcPr>
            <w:tcW w:w="3005" w:type="dxa"/>
            <w:tcBorders>
              <w:top w:val="single" w:sz="6" w:space="0" w:color="FFFFFF"/>
              <w:left w:val="single" w:sz="6" w:space="0" w:color="FFFFFF"/>
              <w:bottom w:val="single" w:sz="6" w:space="0" w:color="8A8A84"/>
              <w:right w:val="single" w:sz="6" w:space="0" w:color="FFFFFF"/>
            </w:tcBorders>
            <w:shd w:val="solid" w:color="000000" w:fill="auto"/>
            <w:tcMar>
              <w:top w:w="113" w:type="dxa"/>
              <w:left w:w="113" w:type="dxa"/>
              <w:bottom w:w="113" w:type="dxa"/>
              <w:right w:w="80" w:type="dxa"/>
            </w:tcMar>
          </w:tcPr>
          <w:p w14:paraId="2FFB99EB" w14:textId="77777777" w:rsidR="007F65A5" w:rsidRDefault="007F65A5">
            <w:pPr>
              <w:pStyle w:val="Tableheader"/>
            </w:pPr>
            <w:bookmarkStart w:id="70" w:name="Title_Table9" w:colFirst="0" w:colLast="0"/>
            <w:r>
              <w:t>Program</w:t>
            </w:r>
          </w:p>
        </w:tc>
        <w:tc>
          <w:tcPr>
            <w:tcW w:w="1106" w:type="dxa"/>
            <w:tcBorders>
              <w:top w:val="single" w:sz="6" w:space="0" w:color="FFFFFF"/>
              <w:left w:val="single" w:sz="6" w:space="0" w:color="FFFFFF"/>
              <w:bottom w:val="single" w:sz="6" w:space="0" w:color="8A8A84"/>
              <w:right w:val="single" w:sz="6" w:space="0" w:color="FFFFFF"/>
            </w:tcBorders>
            <w:shd w:val="solid" w:color="000000" w:fill="auto"/>
            <w:tcMar>
              <w:top w:w="113" w:type="dxa"/>
              <w:left w:w="113" w:type="dxa"/>
              <w:bottom w:w="113" w:type="dxa"/>
              <w:right w:w="80" w:type="dxa"/>
            </w:tcMar>
          </w:tcPr>
          <w:p w14:paraId="624C864A" w14:textId="77777777" w:rsidR="007F65A5" w:rsidRDefault="007F65A5">
            <w:pPr>
              <w:pStyle w:val="Tableheader"/>
              <w:jc w:val="right"/>
            </w:pPr>
            <w:r>
              <w:t>2015-16</w:t>
            </w:r>
            <w:r>
              <w:br/>
              <w:t>$M</w:t>
            </w:r>
          </w:p>
        </w:tc>
      </w:tr>
      <w:bookmarkEnd w:id="70"/>
      <w:tr w:rsidR="007F65A5" w14:paraId="21E15798" w14:textId="77777777" w:rsidTr="007F65A5">
        <w:trPr>
          <w:trHeight w:val="60"/>
        </w:trPr>
        <w:tc>
          <w:tcPr>
            <w:tcW w:w="3005" w:type="dxa"/>
            <w:tcBorders>
              <w:top w:val="single" w:sz="2" w:space="0" w:color="8A8A84"/>
              <w:left w:val="single" w:sz="6" w:space="0" w:color="FFFFFF"/>
              <w:bottom w:val="single" w:sz="2" w:space="0" w:color="8A8A84"/>
              <w:right w:val="single" w:sz="6" w:space="0" w:color="FFFFFF"/>
            </w:tcBorders>
            <w:shd w:val="solid" w:color="FFFFFF" w:fill="auto"/>
            <w:tcMar>
              <w:top w:w="113" w:type="dxa"/>
              <w:left w:w="113" w:type="dxa"/>
              <w:bottom w:w="113" w:type="dxa"/>
              <w:right w:w="80" w:type="dxa"/>
            </w:tcMar>
          </w:tcPr>
          <w:p w14:paraId="29D6B5DA" w14:textId="77777777" w:rsidR="007F65A5" w:rsidRDefault="007F65A5">
            <w:pPr>
              <w:pStyle w:val="Tabletextbold"/>
            </w:pPr>
            <w:r>
              <w:t>Reasonable and necessary care and support for participants</w:t>
            </w:r>
          </w:p>
        </w:tc>
        <w:tc>
          <w:tcPr>
            <w:tcW w:w="1106" w:type="dxa"/>
            <w:tcBorders>
              <w:top w:val="single" w:sz="2" w:space="0" w:color="8A8A84"/>
              <w:left w:val="single" w:sz="6" w:space="0" w:color="FFFFFF"/>
              <w:bottom w:val="single" w:sz="2" w:space="0" w:color="8A8A84"/>
              <w:right w:val="single" w:sz="6" w:space="0" w:color="000000"/>
            </w:tcBorders>
            <w:shd w:val="solid" w:color="EBE7E2" w:fill="auto"/>
            <w:tcMar>
              <w:top w:w="113" w:type="dxa"/>
              <w:left w:w="113" w:type="dxa"/>
              <w:bottom w:w="113" w:type="dxa"/>
              <w:right w:w="80" w:type="dxa"/>
            </w:tcMar>
          </w:tcPr>
          <w:p w14:paraId="2D0B3447" w14:textId="77777777" w:rsidR="007F65A5" w:rsidRDefault="007F65A5">
            <w:pPr>
              <w:pStyle w:val="Tabletext"/>
              <w:jc w:val="right"/>
            </w:pPr>
            <w:r>
              <w:t>800.5</w:t>
            </w:r>
          </w:p>
        </w:tc>
      </w:tr>
      <w:tr w:rsidR="007F65A5" w14:paraId="6A6EB897" w14:textId="77777777" w:rsidTr="007F65A5">
        <w:trPr>
          <w:trHeight w:val="60"/>
        </w:trPr>
        <w:tc>
          <w:tcPr>
            <w:tcW w:w="3005" w:type="dxa"/>
            <w:tcBorders>
              <w:top w:val="single" w:sz="2" w:space="0" w:color="8A8A84"/>
              <w:left w:val="single" w:sz="6" w:space="0" w:color="FFFFFF"/>
              <w:bottom w:val="single" w:sz="2" w:space="0" w:color="8A8A84"/>
              <w:right w:val="single" w:sz="6" w:space="0" w:color="FFFFFF"/>
            </w:tcBorders>
            <w:shd w:val="solid" w:color="FFFFFF" w:fill="auto"/>
            <w:tcMar>
              <w:top w:w="113" w:type="dxa"/>
              <w:left w:w="113" w:type="dxa"/>
              <w:bottom w:w="113" w:type="dxa"/>
              <w:right w:w="80" w:type="dxa"/>
            </w:tcMar>
          </w:tcPr>
          <w:p w14:paraId="5CEA26DA" w14:textId="77777777" w:rsidR="007F65A5" w:rsidRDefault="007F65A5">
            <w:pPr>
              <w:pStyle w:val="Tabletextbold"/>
            </w:pPr>
            <w:r>
              <w:t>Community inclusion and capacity development grants</w:t>
            </w:r>
          </w:p>
        </w:tc>
        <w:tc>
          <w:tcPr>
            <w:tcW w:w="1106" w:type="dxa"/>
            <w:tcBorders>
              <w:top w:val="single" w:sz="2" w:space="0" w:color="8A8A84"/>
              <w:left w:val="single" w:sz="6" w:space="0" w:color="FFFFFF"/>
              <w:bottom w:val="single" w:sz="2" w:space="0" w:color="8A8A84"/>
              <w:right w:val="single" w:sz="6" w:space="0" w:color="000000"/>
            </w:tcBorders>
            <w:shd w:val="solid" w:color="EBE7E2" w:fill="auto"/>
            <w:tcMar>
              <w:top w:w="113" w:type="dxa"/>
              <w:left w:w="113" w:type="dxa"/>
              <w:bottom w:w="113" w:type="dxa"/>
              <w:right w:w="80" w:type="dxa"/>
            </w:tcMar>
          </w:tcPr>
          <w:p w14:paraId="1DE161B9" w14:textId="77777777" w:rsidR="007F65A5" w:rsidRDefault="007F65A5">
            <w:pPr>
              <w:pStyle w:val="Tabletext"/>
              <w:jc w:val="right"/>
            </w:pPr>
            <w:r>
              <w:t>7.0</w:t>
            </w:r>
          </w:p>
        </w:tc>
      </w:tr>
      <w:tr w:rsidR="007F65A5" w14:paraId="7E769C5D" w14:textId="77777777" w:rsidTr="007F65A5">
        <w:trPr>
          <w:trHeight w:val="60"/>
        </w:trPr>
        <w:tc>
          <w:tcPr>
            <w:tcW w:w="3005" w:type="dxa"/>
            <w:tcBorders>
              <w:top w:val="single" w:sz="2" w:space="0" w:color="8A8A84"/>
              <w:left w:val="single" w:sz="6" w:space="0" w:color="FFFFFF"/>
              <w:bottom w:val="single" w:sz="4" w:space="0" w:color="282829"/>
              <w:right w:val="single" w:sz="6" w:space="0" w:color="FFFFFF"/>
            </w:tcBorders>
            <w:shd w:val="solid" w:color="FFFFFF" w:fill="auto"/>
            <w:tcMar>
              <w:top w:w="113" w:type="dxa"/>
              <w:left w:w="113" w:type="dxa"/>
              <w:bottom w:w="113" w:type="dxa"/>
              <w:right w:w="80" w:type="dxa"/>
            </w:tcMar>
          </w:tcPr>
          <w:p w14:paraId="34AC7683" w14:textId="77777777" w:rsidR="007F65A5" w:rsidRDefault="007F65A5">
            <w:pPr>
              <w:pStyle w:val="Tabletextbold"/>
            </w:pPr>
            <w:r>
              <w:t>Agency Costs</w:t>
            </w:r>
          </w:p>
        </w:tc>
        <w:tc>
          <w:tcPr>
            <w:tcW w:w="1106" w:type="dxa"/>
            <w:tcBorders>
              <w:top w:val="single" w:sz="2" w:space="0" w:color="8A8A84"/>
              <w:left w:val="single" w:sz="6" w:space="0" w:color="FFFFFF"/>
              <w:bottom w:val="single" w:sz="4" w:space="0" w:color="282829"/>
              <w:right w:val="single" w:sz="6" w:space="0" w:color="000000"/>
            </w:tcBorders>
            <w:shd w:val="solid" w:color="EBE7E2" w:fill="auto"/>
            <w:tcMar>
              <w:top w:w="113" w:type="dxa"/>
              <w:left w:w="113" w:type="dxa"/>
              <w:bottom w:w="113" w:type="dxa"/>
              <w:right w:w="80" w:type="dxa"/>
            </w:tcMar>
          </w:tcPr>
          <w:p w14:paraId="574B4A84" w14:textId="77777777" w:rsidR="007F65A5" w:rsidRDefault="007F65A5">
            <w:pPr>
              <w:pStyle w:val="Tabletext"/>
              <w:jc w:val="right"/>
            </w:pPr>
            <w:r>
              <w:t>266.7</w:t>
            </w:r>
          </w:p>
        </w:tc>
      </w:tr>
      <w:tr w:rsidR="007F65A5" w14:paraId="4391E8D0" w14:textId="77777777" w:rsidTr="007F65A5">
        <w:trPr>
          <w:trHeight w:val="60"/>
        </w:trPr>
        <w:tc>
          <w:tcPr>
            <w:tcW w:w="3005" w:type="dxa"/>
            <w:tcBorders>
              <w:top w:val="single" w:sz="4" w:space="0" w:color="282829"/>
              <w:left w:val="single" w:sz="6" w:space="0" w:color="FFFFFF"/>
              <w:bottom w:val="single" w:sz="4" w:space="0" w:color="282829"/>
              <w:right w:val="single" w:sz="6" w:space="0" w:color="FFFFFF"/>
            </w:tcBorders>
            <w:shd w:val="solid" w:color="FFFFFF" w:fill="auto"/>
            <w:tcMar>
              <w:top w:w="113" w:type="dxa"/>
              <w:left w:w="113" w:type="dxa"/>
              <w:bottom w:w="113" w:type="dxa"/>
              <w:right w:w="80" w:type="dxa"/>
            </w:tcMar>
          </w:tcPr>
          <w:p w14:paraId="2759AA00" w14:textId="77777777" w:rsidR="007F65A5" w:rsidRDefault="007F65A5">
            <w:pPr>
              <w:pStyle w:val="Tabletextbold"/>
            </w:pPr>
            <w:r>
              <w:t>Total</w:t>
            </w:r>
          </w:p>
        </w:tc>
        <w:tc>
          <w:tcPr>
            <w:tcW w:w="1106" w:type="dxa"/>
            <w:tcBorders>
              <w:top w:val="single" w:sz="4" w:space="0" w:color="282829"/>
              <w:left w:val="single" w:sz="6" w:space="0" w:color="FFFFFF"/>
              <w:bottom w:val="single" w:sz="4" w:space="0" w:color="282829"/>
              <w:right w:val="single" w:sz="6" w:space="0" w:color="000000"/>
            </w:tcBorders>
            <w:shd w:val="solid" w:color="EBE7E2" w:fill="auto"/>
            <w:tcMar>
              <w:top w:w="113" w:type="dxa"/>
              <w:left w:w="113" w:type="dxa"/>
              <w:bottom w:w="113" w:type="dxa"/>
              <w:right w:w="80" w:type="dxa"/>
            </w:tcMar>
          </w:tcPr>
          <w:p w14:paraId="35DB928D" w14:textId="77777777" w:rsidR="007F65A5" w:rsidRDefault="007F65A5">
            <w:pPr>
              <w:pStyle w:val="Tabletextbold"/>
              <w:jc w:val="right"/>
            </w:pPr>
            <w:r>
              <w:t>1 074.20</w:t>
            </w:r>
          </w:p>
        </w:tc>
      </w:tr>
    </w:tbl>
    <w:p w14:paraId="4F9D593D" w14:textId="77777777" w:rsidR="007F65A5" w:rsidRDefault="007F65A5" w:rsidP="007F65A5">
      <w:pPr>
        <w:pStyle w:val="BodyCopy"/>
      </w:pPr>
    </w:p>
    <w:p w14:paraId="627565A8" w14:textId="77777777" w:rsidR="007F65A5" w:rsidRDefault="007F65A5" w:rsidP="007F65A5">
      <w:pPr>
        <w:pStyle w:val="Notes"/>
        <w:spacing w:before="0"/>
      </w:pPr>
      <w:r>
        <w:t xml:space="preserve">Note: Discrepancies in totals may exist due to rounding. The estimates include notional costs of transition to full Scheme over the forward estimates period. State and territory contributions to the trial phase of the Scheme have been agreed in the context of the Intergovernmental Agreement on the National Disability Insurance Scheme Launch. Negotiations on transition to full Scheme are ongoing. </w:t>
      </w:r>
    </w:p>
    <w:p w14:paraId="4CC9B878" w14:textId="77777777" w:rsidR="007F65A5" w:rsidRDefault="007F65A5" w:rsidP="0006286E">
      <w:pPr>
        <w:pStyle w:val="Heading4"/>
      </w:pPr>
      <w:r>
        <w:t xml:space="preserve">Ratio of operating expenses to Scheme costs </w:t>
      </w:r>
      <w:r>
        <w:tab/>
      </w:r>
    </w:p>
    <w:p w14:paraId="71B6B6A5" w14:textId="77777777" w:rsidR="007F65A5" w:rsidRDefault="007F65A5" w:rsidP="007F65A5">
      <w:pPr>
        <w:pStyle w:val="BodyCopy"/>
      </w:pPr>
      <w:r>
        <w:t>The ratio of operating expenses to Scheme costs is trending downwards towards target. See page 109 for details.</w:t>
      </w:r>
      <w:r>
        <w:tab/>
      </w:r>
    </w:p>
    <w:p w14:paraId="0989DD18" w14:textId="77777777" w:rsidR="007F65A5" w:rsidRDefault="007F65A5" w:rsidP="0006286E">
      <w:pPr>
        <w:pStyle w:val="Heading4"/>
      </w:pPr>
      <w:r>
        <w:t>Financial performance</w:t>
      </w:r>
    </w:p>
    <w:p w14:paraId="08F38CA8" w14:textId="77777777" w:rsidR="007F65A5" w:rsidRDefault="007F65A5" w:rsidP="007F65A5">
      <w:pPr>
        <w:pStyle w:val="BodyCopy"/>
      </w:pPr>
      <w:r>
        <w:t xml:space="preserve">The Agency received an unqualified audit report on the 2015-16 financial statements from the Australian National Audit Office. </w:t>
      </w:r>
    </w:p>
    <w:p w14:paraId="612D7398" w14:textId="77777777" w:rsidR="007F65A5" w:rsidRDefault="007F65A5" w:rsidP="0006286E">
      <w:pPr>
        <w:pStyle w:val="Heading4"/>
      </w:pPr>
      <w:r>
        <w:t>Funding</w:t>
      </w:r>
    </w:p>
    <w:p w14:paraId="27B87E77" w14:textId="77777777" w:rsidR="007F65A5" w:rsidRDefault="007F65A5" w:rsidP="007F65A5">
      <w:pPr>
        <w:pStyle w:val="BodyCopy"/>
      </w:pPr>
      <w:r>
        <w:t xml:space="preserve">The Agency is funded through a combination of cash and in-kind contributions as agreed between Commonwealth, state and territory governments. </w:t>
      </w:r>
    </w:p>
    <w:p w14:paraId="6BD86974" w14:textId="77777777" w:rsidR="007F65A5" w:rsidRDefault="007F65A5" w:rsidP="007F65A5">
      <w:pPr>
        <w:pStyle w:val="BodyCopy"/>
      </w:pPr>
      <w:r>
        <w:t>In 2015-16, states and territories contributed $276.6 million for care and support for participants and the Commonwealth contributed $638.8 million. The Commonwealth’s contribution included $267.5 million for care and support for participants, $10.7 million for grants, $302.8 million for Agency operating costs and $57.8 million in capital funding.</w:t>
      </w:r>
    </w:p>
    <w:p w14:paraId="68527941" w14:textId="77777777" w:rsidR="007F65A5" w:rsidRDefault="007F65A5" w:rsidP="007F65A5">
      <w:pPr>
        <w:pStyle w:val="BodyCopy"/>
      </w:pPr>
      <w:r>
        <w:t xml:space="preserve">The Agency also received $197.3 </w:t>
      </w:r>
      <w:proofErr w:type="spellStart"/>
      <w:r>
        <w:t>million</w:t>
      </w:r>
      <w:proofErr w:type="spellEnd"/>
      <w:r>
        <w:t xml:space="preserve"> of in-kind (non-cash) income from governments in the form of existing programs that are transitioning into the Scheme.</w:t>
      </w:r>
    </w:p>
    <w:p w14:paraId="3F02A507" w14:textId="77777777" w:rsidR="007F65A5" w:rsidRDefault="007F65A5" w:rsidP="007F65A5">
      <w:pPr>
        <w:pStyle w:val="BodyCopy"/>
      </w:pPr>
      <w:r>
        <w:t>In addition, in 2015-16 the Victorian Government contributed $13.5 million towards the cost of relocating the Agency’s National Office to Geelong.</w:t>
      </w:r>
    </w:p>
    <w:p w14:paraId="6381E564" w14:textId="77777777" w:rsidR="007F65A5" w:rsidRDefault="007F65A5" w:rsidP="0006286E">
      <w:pPr>
        <w:pStyle w:val="Heading4"/>
      </w:pPr>
      <w:r>
        <w:t>Financial performance 2015-16</w:t>
      </w:r>
    </w:p>
    <w:p w14:paraId="094A2418" w14:textId="77777777" w:rsidR="007F65A5" w:rsidRDefault="007F65A5" w:rsidP="007F65A5">
      <w:pPr>
        <w:pStyle w:val="BodyCopy"/>
      </w:pPr>
      <w:r>
        <w:t xml:space="preserve">The Agency ended 2015-16 with an operating surplus of $15.8 million, compared to a surplus </w:t>
      </w:r>
      <w:r>
        <w:br/>
        <w:t xml:space="preserve">of $0.4 million in 2014-15. </w:t>
      </w:r>
    </w:p>
    <w:p w14:paraId="7C575C5F" w14:textId="77777777" w:rsidR="007F65A5" w:rsidRDefault="007F65A5" w:rsidP="007F65A5">
      <w:pPr>
        <w:pStyle w:val="BodyCopy"/>
      </w:pPr>
      <w:r>
        <w:t>Highlights:</w:t>
      </w:r>
    </w:p>
    <w:p w14:paraId="3E7F966F" w14:textId="77777777" w:rsidR="007F65A5" w:rsidRDefault="007F65A5" w:rsidP="007F65A5">
      <w:pPr>
        <w:pStyle w:val="BodyBullets"/>
      </w:pPr>
      <w:r>
        <w:rPr>
          <w:spacing w:val="-3"/>
        </w:rPr>
        <w:lastRenderedPageBreak/>
        <w:t>$800.5 million related to providing reasonable and necessary care and support including $722.7 million for participant plan expenses and $77.8 million write-off impairment of Scheme related receivables considered doubtful of recovery</w:t>
      </w:r>
    </w:p>
    <w:p w14:paraId="3FBAE5C8" w14:textId="77777777" w:rsidR="007F65A5" w:rsidRDefault="007F65A5" w:rsidP="007F65A5">
      <w:pPr>
        <w:pStyle w:val="BodyBullets"/>
      </w:pPr>
      <w:r>
        <w:t>$264.8 million in operating expenses for the Agency, which includes $21.5 million in local area co-ordination costs</w:t>
      </w:r>
    </w:p>
    <w:p w14:paraId="000E121C" w14:textId="77777777" w:rsidR="007F65A5" w:rsidRDefault="007F65A5" w:rsidP="007F65A5">
      <w:pPr>
        <w:pStyle w:val="BodyBullets-last"/>
      </w:pPr>
      <w:r>
        <w:t>$9 million for grant programs (CICD and other).</w:t>
      </w:r>
    </w:p>
    <w:p w14:paraId="36D97797" w14:textId="77777777" w:rsidR="007F65A5" w:rsidRDefault="007F65A5" w:rsidP="0006286E">
      <w:pPr>
        <w:pStyle w:val="Heading4"/>
      </w:pPr>
      <w:r>
        <w:t>Forward position</w:t>
      </w:r>
    </w:p>
    <w:p w14:paraId="4FCDB745" w14:textId="77777777" w:rsidR="007F65A5" w:rsidRDefault="007F65A5" w:rsidP="007F65A5">
      <w:pPr>
        <w:pStyle w:val="BodyCopy"/>
      </w:pPr>
      <w:r>
        <w:t xml:space="preserve">In 2016–17 total expenses are forecast to exceed $4.2 billion including $3.5 billion of payment </w:t>
      </w:r>
      <w:r>
        <w:br/>
        <w:t>for Scheme participants.</w:t>
      </w:r>
    </w:p>
    <w:p w14:paraId="21FCAA42" w14:textId="2BC51BFE" w:rsidR="007F65A5" w:rsidRDefault="007F65A5" w:rsidP="0006286E">
      <w:pPr>
        <w:pStyle w:val="Heading3"/>
      </w:pPr>
      <w:r>
        <w:t>Statement of financial position</w:t>
      </w:r>
    </w:p>
    <w:p w14:paraId="751C77CC" w14:textId="77777777" w:rsidR="007F65A5" w:rsidRDefault="007F65A5" w:rsidP="0006286E">
      <w:pPr>
        <w:pStyle w:val="Heading4"/>
      </w:pPr>
      <w:r>
        <w:t>Equity</w:t>
      </w:r>
    </w:p>
    <w:p w14:paraId="602CB46F" w14:textId="77777777" w:rsidR="007F65A5" w:rsidRDefault="007F65A5" w:rsidP="007F65A5">
      <w:pPr>
        <w:pStyle w:val="BodyCopy"/>
      </w:pPr>
      <w:r>
        <w:t xml:space="preserve">The total equity of the Agency at 30 June 2016 was $125.6 million, representing contributed equity </w:t>
      </w:r>
      <w:r>
        <w:br/>
        <w:t>of $89.5 million, reserves of $1.9 million and retained surplus of $34.2 million.</w:t>
      </w:r>
    </w:p>
    <w:p w14:paraId="2E12F2BF" w14:textId="77777777" w:rsidR="007F65A5" w:rsidRDefault="007F65A5" w:rsidP="0006286E">
      <w:pPr>
        <w:pStyle w:val="Heading4"/>
      </w:pPr>
      <w:r>
        <w:t>Assets</w:t>
      </w:r>
    </w:p>
    <w:p w14:paraId="27F75CDC" w14:textId="77777777" w:rsidR="007F65A5" w:rsidRDefault="007F65A5" w:rsidP="007F65A5">
      <w:pPr>
        <w:pStyle w:val="BodyCopy"/>
      </w:pPr>
      <w:r>
        <w:t>Total assets increased by 54.8 per cent to $396.3 million at 30 June 2016. The Agency has sufficient cash reserves to fund its debts as and when they fall due.</w:t>
      </w:r>
    </w:p>
    <w:p w14:paraId="57B224BC" w14:textId="77777777" w:rsidR="007F65A5" w:rsidRDefault="007F65A5" w:rsidP="0006286E">
      <w:pPr>
        <w:pStyle w:val="Heading4"/>
      </w:pPr>
      <w:r>
        <w:t>Liabilities</w:t>
      </w:r>
    </w:p>
    <w:p w14:paraId="68381EB4" w14:textId="77777777" w:rsidR="007F65A5" w:rsidRDefault="007F65A5" w:rsidP="007F65A5">
      <w:pPr>
        <w:pStyle w:val="BodyCopy"/>
      </w:pPr>
      <w:r>
        <w:t>The Agency’s total liabilities increased by 31.5 per cent to $270.7 million at 30 June 2016.</w:t>
      </w:r>
    </w:p>
    <w:p w14:paraId="4BFEDA7F" w14:textId="71C8FF18" w:rsidR="007F65A5" w:rsidRDefault="007F65A5" w:rsidP="0006286E">
      <w:pPr>
        <w:pStyle w:val="Heading3Tables"/>
      </w:pPr>
      <w:bookmarkStart w:id="71" w:name="_Toc464481232"/>
      <w:r>
        <w:t>Table 10: Expenses and grants</w:t>
      </w:r>
      <w:bookmarkEnd w:id="71"/>
      <w:r>
        <w:t xml:space="preserve"> </w:t>
      </w:r>
    </w:p>
    <w:tbl>
      <w:tblPr>
        <w:tblW w:w="0" w:type="auto"/>
        <w:tblInd w:w="-8" w:type="dxa"/>
        <w:tblLayout w:type="fixed"/>
        <w:tblCellMar>
          <w:left w:w="0" w:type="dxa"/>
          <w:right w:w="0" w:type="dxa"/>
        </w:tblCellMar>
        <w:tblLook w:val="0000" w:firstRow="0" w:lastRow="0" w:firstColumn="0" w:lastColumn="0" w:noHBand="0" w:noVBand="0"/>
      </w:tblPr>
      <w:tblGrid>
        <w:gridCol w:w="2064"/>
        <w:gridCol w:w="2065"/>
        <w:gridCol w:w="2064"/>
        <w:gridCol w:w="2064"/>
      </w:tblGrid>
      <w:tr w:rsidR="007F65A5" w14:paraId="3AAACF29" w14:textId="77777777">
        <w:trPr>
          <w:trHeight w:val="60"/>
          <w:tblHeader/>
        </w:trPr>
        <w:tc>
          <w:tcPr>
            <w:tcW w:w="2064" w:type="dxa"/>
            <w:tcBorders>
              <w:top w:val="single" w:sz="6" w:space="0" w:color="FFFFFF"/>
              <w:left w:val="single" w:sz="6" w:space="0" w:color="FFFFFF"/>
              <w:bottom w:val="single" w:sz="6" w:space="0" w:color="8A8A84"/>
              <w:right w:val="single" w:sz="6" w:space="0" w:color="FFFFFF"/>
            </w:tcBorders>
            <w:shd w:val="solid" w:color="000000" w:fill="auto"/>
            <w:tcMar>
              <w:top w:w="113" w:type="dxa"/>
              <w:left w:w="113" w:type="dxa"/>
              <w:bottom w:w="113" w:type="dxa"/>
              <w:right w:w="80" w:type="dxa"/>
            </w:tcMar>
          </w:tcPr>
          <w:p w14:paraId="0B1124B0" w14:textId="77777777" w:rsidR="007F65A5" w:rsidRDefault="007F65A5">
            <w:pPr>
              <w:pStyle w:val="NoParagraphStyle"/>
              <w:spacing w:line="240" w:lineRule="auto"/>
              <w:textAlignment w:val="auto"/>
              <w:rPr>
                <w:rFonts w:ascii="FSMePro-Bold" w:hAnsi="FSMePro-Bold" w:cstheme="minorBidi"/>
                <w:color w:val="auto"/>
                <w:lang w:val="en-US"/>
              </w:rPr>
            </w:pPr>
            <w:bookmarkStart w:id="72" w:name="Title_Table10" w:colFirst="0" w:colLast="0"/>
          </w:p>
        </w:tc>
        <w:tc>
          <w:tcPr>
            <w:tcW w:w="2065" w:type="dxa"/>
            <w:tcBorders>
              <w:top w:val="single" w:sz="6" w:space="0" w:color="FFFFFF"/>
              <w:left w:val="single" w:sz="6" w:space="0" w:color="FFFFFF"/>
              <w:bottom w:val="single" w:sz="6" w:space="0" w:color="8A8A84"/>
              <w:right w:val="single" w:sz="6" w:space="0" w:color="FFFFFF"/>
            </w:tcBorders>
            <w:shd w:val="solid" w:color="000000" w:fill="auto"/>
            <w:tcMar>
              <w:top w:w="113" w:type="dxa"/>
              <w:left w:w="113" w:type="dxa"/>
              <w:bottom w:w="113" w:type="dxa"/>
              <w:right w:w="80" w:type="dxa"/>
            </w:tcMar>
          </w:tcPr>
          <w:p w14:paraId="2BB932A7" w14:textId="77777777" w:rsidR="007F65A5" w:rsidRDefault="007F65A5">
            <w:pPr>
              <w:pStyle w:val="Tableheader"/>
              <w:jc w:val="right"/>
            </w:pPr>
            <w:r>
              <w:t>Operating Expenses</w:t>
            </w:r>
            <w:r>
              <w:br/>
              <w:t>$000</w:t>
            </w:r>
          </w:p>
        </w:tc>
        <w:tc>
          <w:tcPr>
            <w:tcW w:w="2064" w:type="dxa"/>
            <w:tcBorders>
              <w:top w:val="single" w:sz="6" w:space="0" w:color="FFFFFF"/>
              <w:left w:val="single" w:sz="6" w:space="0" w:color="FFFFFF"/>
              <w:bottom w:val="single" w:sz="6" w:space="0" w:color="8A8A84"/>
              <w:right w:val="single" w:sz="6" w:space="0" w:color="FFFFFF"/>
            </w:tcBorders>
            <w:shd w:val="solid" w:color="000000" w:fill="auto"/>
            <w:tcMar>
              <w:top w:w="113" w:type="dxa"/>
              <w:left w:w="113" w:type="dxa"/>
              <w:bottom w:w="113" w:type="dxa"/>
              <w:right w:w="80" w:type="dxa"/>
            </w:tcMar>
          </w:tcPr>
          <w:p w14:paraId="7AD90BC7" w14:textId="77777777" w:rsidR="007F65A5" w:rsidRDefault="007F65A5">
            <w:pPr>
              <w:pStyle w:val="Tableheader"/>
              <w:jc w:val="right"/>
            </w:pPr>
            <w:r>
              <w:t>CICD Grants</w:t>
            </w:r>
            <w:r>
              <w:br/>
              <w:t>$000</w:t>
            </w:r>
          </w:p>
        </w:tc>
        <w:tc>
          <w:tcPr>
            <w:tcW w:w="2064" w:type="dxa"/>
            <w:tcBorders>
              <w:top w:val="single" w:sz="6" w:space="0" w:color="FFFFFF"/>
              <w:left w:val="single" w:sz="6" w:space="0" w:color="FFFFFF"/>
              <w:bottom w:val="single" w:sz="6" w:space="0" w:color="8A8A84"/>
              <w:right w:val="single" w:sz="6" w:space="0" w:color="FFFFFF"/>
            </w:tcBorders>
            <w:shd w:val="solid" w:color="000000" w:fill="auto"/>
            <w:tcMar>
              <w:top w:w="113" w:type="dxa"/>
              <w:left w:w="113" w:type="dxa"/>
              <w:bottom w:w="113" w:type="dxa"/>
              <w:right w:w="80" w:type="dxa"/>
            </w:tcMar>
          </w:tcPr>
          <w:p w14:paraId="73A5CCB2" w14:textId="77777777" w:rsidR="007F65A5" w:rsidRDefault="007F65A5">
            <w:pPr>
              <w:pStyle w:val="Tableheader"/>
              <w:jc w:val="right"/>
            </w:pPr>
            <w:r>
              <w:t>Participant Plan Expenses</w:t>
            </w:r>
            <w:r>
              <w:br/>
              <w:t>$000</w:t>
            </w:r>
          </w:p>
        </w:tc>
      </w:tr>
      <w:bookmarkEnd w:id="72"/>
      <w:tr w:rsidR="007F65A5" w14:paraId="460DBE0A" w14:textId="77777777">
        <w:trPr>
          <w:trHeight w:val="60"/>
        </w:trPr>
        <w:tc>
          <w:tcPr>
            <w:tcW w:w="2064" w:type="dxa"/>
            <w:tcBorders>
              <w:top w:val="single" w:sz="2" w:space="0" w:color="8A8A84"/>
              <w:left w:val="single" w:sz="6" w:space="0" w:color="FFFFFF"/>
              <w:bottom w:val="single" w:sz="2" w:space="0" w:color="8A8A84"/>
              <w:right w:val="single" w:sz="6" w:space="0" w:color="000000"/>
            </w:tcBorders>
            <w:shd w:val="solid" w:color="EBE7E2" w:fill="auto"/>
            <w:tcMar>
              <w:top w:w="113" w:type="dxa"/>
              <w:left w:w="113" w:type="dxa"/>
              <w:bottom w:w="113" w:type="dxa"/>
              <w:right w:w="80" w:type="dxa"/>
            </w:tcMar>
          </w:tcPr>
          <w:p w14:paraId="45DA3388" w14:textId="77777777" w:rsidR="007F65A5" w:rsidRDefault="007F65A5">
            <w:pPr>
              <w:pStyle w:val="Tabletextbold"/>
            </w:pPr>
            <w:r>
              <w:t>2013-14 Actual</w:t>
            </w:r>
          </w:p>
        </w:tc>
        <w:tc>
          <w:tcPr>
            <w:tcW w:w="2065" w:type="dxa"/>
            <w:tcBorders>
              <w:top w:val="single" w:sz="2" w:space="0" w:color="8A8A84"/>
              <w:left w:val="single" w:sz="6" w:space="0" w:color="000000"/>
              <w:bottom w:val="single" w:sz="2" w:space="0" w:color="8A8A84"/>
              <w:right w:val="single" w:sz="6" w:space="0" w:color="000000"/>
            </w:tcBorders>
            <w:shd w:val="solid" w:color="EBE7E2" w:fill="auto"/>
            <w:tcMar>
              <w:top w:w="113" w:type="dxa"/>
              <w:left w:w="113" w:type="dxa"/>
              <w:bottom w:w="113" w:type="dxa"/>
              <w:right w:w="80" w:type="dxa"/>
            </w:tcMar>
          </w:tcPr>
          <w:p w14:paraId="5EF7C7DD" w14:textId="77777777" w:rsidR="007F65A5" w:rsidRDefault="007F65A5">
            <w:pPr>
              <w:pStyle w:val="Tabletext"/>
              <w:jc w:val="right"/>
            </w:pPr>
            <w:r>
              <w:t xml:space="preserve"> 123 180 </w:t>
            </w:r>
          </w:p>
        </w:tc>
        <w:tc>
          <w:tcPr>
            <w:tcW w:w="2064" w:type="dxa"/>
            <w:tcBorders>
              <w:top w:val="single" w:sz="2" w:space="0" w:color="8A8A84"/>
              <w:left w:val="single" w:sz="6" w:space="0" w:color="000000"/>
              <w:bottom w:val="single" w:sz="2" w:space="0" w:color="8A8A84"/>
              <w:right w:val="single" w:sz="6" w:space="0" w:color="FFFFFF"/>
            </w:tcBorders>
            <w:shd w:val="solid" w:color="EBE7E2" w:fill="auto"/>
            <w:tcMar>
              <w:top w:w="113" w:type="dxa"/>
              <w:left w:w="113" w:type="dxa"/>
              <w:bottom w:w="113" w:type="dxa"/>
              <w:right w:w="80" w:type="dxa"/>
            </w:tcMar>
          </w:tcPr>
          <w:p w14:paraId="62BB52DB" w14:textId="77777777" w:rsidR="007F65A5" w:rsidRDefault="007F65A5">
            <w:pPr>
              <w:pStyle w:val="Tabletext"/>
              <w:jc w:val="right"/>
            </w:pPr>
            <w:r>
              <w:t xml:space="preserve"> 4 515 </w:t>
            </w:r>
          </w:p>
        </w:tc>
        <w:tc>
          <w:tcPr>
            <w:tcW w:w="2064" w:type="dxa"/>
            <w:tcBorders>
              <w:top w:val="single" w:sz="2" w:space="0" w:color="8A8A84"/>
              <w:left w:val="single" w:sz="6" w:space="0" w:color="FFFFFF"/>
              <w:bottom w:val="single" w:sz="2" w:space="0" w:color="8A8A84"/>
              <w:right w:val="single" w:sz="6" w:space="0" w:color="000000"/>
            </w:tcBorders>
            <w:shd w:val="solid" w:color="EBE7E2" w:fill="auto"/>
            <w:tcMar>
              <w:top w:w="113" w:type="dxa"/>
              <w:left w:w="113" w:type="dxa"/>
              <w:bottom w:w="113" w:type="dxa"/>
              <w:right w:w="80" w:type="dxa"/>
            </w:tcMar>
          </w:tcPr>
          <w:p w14:paraId="47669923" w14:textId="77777777" w:rsidR="007F65A5" w:rsidRDefault="007F65A5">
            <w:pPr>
              <w:pStyle w:val="Tabletext"/>
              <w:jc w:val="right"/>
            </w:pPr>
            <w:r>
              <w:t xml:space="preserve"> 130 861 </w:t>
            </w:r>
          </w:p>
        </w:tc>
      </w:tr>
      <w:tr w:rsidR="007F65A5" w14:paraId="7FDF68F4" w14:textId="77777777">
        <w:trPr>
          <w:trHeight w:val="60"/>
        </w:trPr>
        <w:tc>
          <w:tcPr>
            <w:tcW w:w="2064" w:type="dxa"/>
            <w:tcBorders>
              <w:top w:val="single" w:sz="2" w:space="0" w:color="8A8A84"/>
              <w:left w:val="single" w:sz="6" w:space="0" w:color="FFFFFF"/>
              <w:bottom w:val="single" w:sz="2" w:space="0" w:color="8A8A84"/>
              <w:right w:val="single" w:sz="6" w:space="0" w:color="000000"/>
            </w:tcBorders>
            <w:shd w:val="solid" w:color="EBE7E2" w:fill="auto"/>
            <w:tcMar>
              <w:top w:w="113" w:type="dxa"/>
              <w:left w:w="113" w:type="dxa"/>
              <w:bottom w:w="113" w:type="dxa"/>
              <w:right w:w="80" w:type="dxa"/>
            </w:tcMar>
          </w:tcPr>
          <w:p w14:paraId="184055CF" w14:textId="77777777" w:rsidR="007F65A5" w:rsidRDefault="007F65A5">
            <w:pPr>
              <w:pStyle w:val="Tabletextbold"/>
            </w:pPr>
            <w:r>
              <w:t>2014-15 Actual</w:t>
            </w:r>
          </w:p>
        </w:tc>
        <w:tc>
          <w:tcPr>
            <w:tcW w:w="2065" w:type="dxa"/>
            <w:tcBorders>
              <w:top w:val="single" w:sz="2" w:space="0" w:color="8A8A84"/>
              <w:left w:val="single" w:sz="6" w:space="0" w:color="000000"/>
              <w:bottom w:val="single" w:sz="2" w:space="0" w:color="8A8A84"/>
              <w:right w:val="single" w:sz="6" w:space="0" w:color="000000"/>
            </w:tcBorders>
            <w:shd w:val="solid" w:color="EBE7E2" w:fill="auto"/>
            <w:tcMar>
              <w:top w:w="113" w:type="dxa"/>
              <w:left w:w="113" w:type="dxa"/>
              <w:bottom w:w="113" w:type="dxa"/>
              <w:right w:w="80" w:type="dxa"/>
            </w:tcMar>
          </w:tcPr>
          <w:p w14:paraId="7728A74F" w14:textId="77777777" w:rsidR="007F65A5" w:rsidRDefault="007F65A5">
            <w:pPr>
              <w:pStyle w:val="Tabletext"/>
              <w:jc w:val="right"/>
            </w:pPr>
            <w:r>
              <w:t xml:space="preserve"> 169 841 </w:t>
            </w:r>
          </w:p>
        </w:tc>
        <w:tc>
          <w:tcPr>
            <w:tcW w:w="2064" w:type="dxa"/>
            <w:tcBorders>
              <w:top w:val="single" w:sz="2" w:space="0" w:color="8A8A84"/>
              <w:left w:val="single" w:sz="6" w:space="0" w:color="000000"/>
              <w:bottom w:val="single" w:sz="2" w:space="0" w:color="8A8A84"/>
              <w:right w:val="single" w:sz="6" w:space="0" w:color="FFFFFF"/>
            </w:tcBorders>
            <w:shd w:val="solid" w:color="EBE7E2" w:fill="auto"/>
            <w:tcMar>
              <w:top w:w="113" w:type="dxa"/>
              <w:left w:w="113" w:type="dxa"/>
              <w:bottom w:w="113" w:type="dxa"/>
              <w:right w:w="80" w:type="dxa"/>
            </w:tcMar>
          </w:tcPr>
          <w:p w14:paraId="6DA77BFB" w14:textId="77777777" w:rsidR="007F65A5" w:rsidRDefault="007F65A5">
            <w:pPr>
              <w:pStyle w:val="Tabletext"/>
              <w:jc w:val="right"/>
            </w:pPr>
            <w:r>
              <w:t xml:space="preserve"> 14 928 </w:t>
            </w:r>
          </w:p>
        </w:tc>
        <w:tc>
          <w:tcPr>
            <w:tcW w:w="2064" w:type="dxa"/>
            <w:tcBorders>
              <w:top w:val="single" w:sz="2" w:space="0" w:color="8A8A84"/>
              <w:left w:val="single" w:sz="6" w:space="0" w:color="FFFFFF"/>
              <w:bottom w:val="single" w:sz="2" w:space="0" w:color="8A8A84"/>
              <w:right w:val="single" w:sz="6" w:space="0" w:color="000000"/>
            </w:tcBorders>
            <w:shd w:val="solid" w:color="EBE7E2" w:fill="auto"/>
            <w:tcMar>
              <w:top w:w="113" w:type="dxa"/>
              <w:left w:w="113" w:type="dxa"/>
              <w:bottom w:w="113" w:type="dxa"/>
              <w:right w:w="80" w:type="dxa"/>
            </w:tcMar>
          </w:tcPr>
          <w:p w14:paraId="4D4C36CE" w14:textId="77777777" w:rsidR="007F65A5" w:rsidRDefault="007F65A5">
            <w:pPr>
              <w:pStyle w:val="Tabletext"/>
              <w:jc w:val="right"/>
            </w:pPr>
            <w:r>
              <w:t xml:space="preserve"> 451 293 </w:t>
            </w:r>
          </w:p>
        </w:tc>
      </w:tr>
      <w:tr w:rsidR="007F65A5" w14:paraId="216CA4BF" w14:textId="77777777">
        <w:trPr>
          <w:trHeight w:val="60"/>
        </w:trPr>
        <w:tc>
          <w:tcPr>
            <w:tcW w:w="2064" w:type="dxa"/>
            <w:tcBorders>
              <w:top w:val="single" w:sz="2" w:space="0" w:color="8A8A84"/>
              <w:left w:val="single" w:sz="6" w:space="0" w:color="FFFFFF"/>
              <w:bottom w:val="single" w:sz="2" w:space="0" w:color="8A8A84"/>
              <w:right w:val="single" w:sz="6" w:space="0" w:color="000000"/>
            </w:tcBorders>
            <w:shd w:val="solid" w:color="EBE7E2" w:fill="auto"/>
            <w:tcMar>
              <w:top w:w="113" w:type="dxa"/>
              <w:left w:w="113" w:type="dxa"/>
              <w:bottom w:w="113" w:type="dxa"/>
              <w:right w:w="80" w:type="dxa"/>
            </w:tcMar>
          </w:tcPr>
          <w:p w14:paraId="38CA5CF7" w14:textId="77777777" w:rsidR="007F65A5" w:rsidRDefault="007F65A5">
            <w:pPr>
              <w:pStyle w:val="Tabletextbold"/>
            </w:pPr>
            <w:r>
              <w:t>2015-16 Actual</w:t>
            </w:r>
          </w:p>
        </w:tc>
        <w:tc>
          <w:tcPr>
            <w:tcW w:w="2065" w:type="dxa"/>
            <w:tcBorders>
              <w:top w:val="single" w:sz="2" w:space="0" w:color="8A8A84"/>
              <w:left w:val="single" w:sz="6" w:space="0" w:color="000000"/>
              <w:bottom w:val="single" w:sz="2" w:space="0" w:color="8A8A84"/>
              <w:right w:val="single" w:sz="6" w:space="0" w:color="000000"/>
            </w:tcBorders>
            <w:shd w:val="solid" w:color="EBE7E2" w:fill="auto"/>
            <w:tcMar>
              <w:top w:w="113" w:type="dxa"/>
              <w:left w:w="113" w:type="dxa"/>
              <w:bottom w:w="113" w:type="dxa"/>
              <w:right w:w="80" w:type="dxa"/>
            </w:tcMar>
          </w:tcPr>
          <w:p w14:paraId="465D412D" w14:textId="77777777" w:rsidR="007F65A5" w:rsidRDefault="007F65A5">
            <w:pPr>
              <w:pStyle w:val="Tabletext"/>
              <w:jc w:val="right"/>
            </w:pPr>
            <w:r>
              <w:t xml:space="preserve"> 266 709</w:t>
            </w:r>
          </w:p>
        </w:tc>
        <w:tc>
          <w:tcPr>
            <w:tcW w:w="2064" w:type="dxa"/>
            <w:tcBorders>
              <w:top w:val="single" w:sz="2" w:space="0" w:color="8A8A84"/>
              <w:left w:val="single" w:sz="6" w:space="0" w:color="000000"/>
              <w:bottom w:val="single" w:sz="2" w:space="0" w:color="8A8A84"/>
              <w:right w:val="single" w:sz="6" w:space="0" w:color="FFFFFF"/>
            </w:tcBorders>
            <w:shd w:val="solid" w:color="EBE7E2" w:fill="auto"/>
            <w:tcMar>
              <w:top w:w="113" w:type="dxa"/>
              <w:left w:w="113" w:type="dxa"/>
              <w:bottom w:w="113" w:type="dxa"/>
              <w:right w:w="80" w:type="dxa"/>
            </w:tcMar>
          </w:tcPr>
          <w:p w14:paraId="029A4633" w14:textId="77777777" w:rsidR="007F65A5" w:rsidRDefault="007F65A5">
            <w:pPr>
              <w:pStyle w:val="Tabletext"/>
              <w:jc w:val="right"/>
            </w:pPr>
            <w:r>
              <w:t xml:space="preserve"> 7008 </w:t>
            </w:r>
          </w:p>
        </w:tc>
        <w:tc>
          <w:tcPr>
            <w:tcW w:w="2064" w:type="dxa"/>
            <w:tcBorders>
              <w:top w:val="single" w:sz="2" w:space="0" w:color="8A8A84"/>
              <w:left w:val="single" w:sz="6" w:space="0" w:color="FFFFFF"/>
              <w:bottom w:val="single" w:sz="2" w:space="0" w:color="8A8A84"/>
              <w:right w:val="single" w:sz="6" w:space="0" w:color="000000"/>
            </w:tcBorders>
            <w:shd w:val="solid" w:color="EBE7E2" w:fill="auto"/>
            <w:tcMar>
              <w:top w:w="113" w:type="dxa"/>
              <w:left w:w="113" w:type="dxa"/>
              <w:bottom w:w="113" w:type="dxa"/>
              <w:right w:w="80" w:type="dxa"/>
            </w:tcMar>
          </w:tcPr>
          <w:p w14:paraId="7383C6C0" w14:textId="77777777" w:rsidR="007F65A5" w:rsidRDefault="007F65A5">
            <w:pPr>
              <w:pStyle w:val="Tabletext"/>
              <w:jc w:val="right"/>
            </w:pPr>
            <w:r>
              <w:t>800 520</w:t>
            </w:r>
          </w:p>
        </w:tc>
      </w:tr>
      <w:tr w:rsidR="007F65A5" w14:paraId="776CAD68" w14:textId="77777777">
        <w:trPr>
          <w:trHeight w:val="60"/>
        </w:trPr>
        <w:tc>
          <w:tcPr>
            <w:tcW w:w="2064" w:type="dxa"/>
            <w:tcBorders>
              <w:top w:val="single" w:sz="2" w:space="0" w:color="8A8A84"/>
              <w:left w:val="single" w:sz="6" w:space="0" w:color="FFFFFF"/>
              <w:bottom w:val="single" w:sz="2" w:space="0" w:color="8A8A84"/>
              <w:right w:val="single" w:sz="6" w:space="0" w:color="000000"/>
            </w:tcBorders>
            <w:shd w:val="solid" w:color="EBE7E2" w:fill="auto"/>
            <w:tcMar>
              <w:top w:w="113" w:type="dxa"/>
              <w:left w:w="113" w:type="dxa"/>
              <w:bottom w:w="113" w:type="dxa"/>
              <w:right w:w="80" w:type="dxa"/>
            </w:tcMar>
          </w:tcPr>
          <w:p w14:paraId="5FF8FAA4" w14:textId="77777777" w:rsidR="007F65A5" w:rsidRDefault="007F65A5">
            <w:pPr>
              <w:pStyle w:val="Tabletextbold"/>
            </w:pPr>
            <w:r>
              <w:t>2016-17 Budget</w:t>
            </w:r>
          </w:p>
        </w:tc>
        <w:tc>
          <w:tcPr>
            <w:tcW w:w="2065" w:type="dxa"/>
            <w:tcBorders>
              <w:top w:val="single" w:sz="2" w:space="0" w:color="8A8A84"/>
              <w:left w:val="single" w:sz="6" w:space="0" w:color="000000"/>
              <w:bottom w:val="single" w:sz="2" w:space="0" w:color="8A8A84"/>
              <w:right w:val="single" w:sz="6" w:space="0" w:color="000000"/>
            </w:tcBorders>
            <w:shd w:val="solid" w:color="EBE7E2" w:fill="auto"/>
            <w:tcMar>
              <w:top w:w="113" w:type="dxa"/>
              <w:left w:w="113" w:type="dxa"/>
              <w:bottom w:w="113" w:type="dxa"/>
              <w:right w:w="80" w:type="dxa"/>
            </w:tcMar>
          </w:tcPr>
          <w:p w14:paraId="6DB45BD0" w14:textId="77777777" w:rsidR="007F65A5" w:rsidRDefault="007F65A5">
            <w:pPr>
              <w:pStyle w:val="Tabletext"/>
              <w:jc w:val="right"/>
            </w:pPr>
            <w:r>
              <w:t xml:space="preserve"> 691 801 </w:t>
            </w:r>
          </w:p>
        </w:tc>
        <w:tc>
          <w:tcPr>
            <w:tcW w:w="2064" w:type="dxa"/>
            <w:tcBorders>
              <w:top w:val="single" w:sz="2" w:space="0" w:color="8A8A84"/>
              <w:left w:val="single" w:sz="6" w:space="0" w:color="000000"/>
              <w:bottom w:val="single" w:sz="2" w:space="0" w:color="8A8A84"/>
              <w:right w:val="single" w:sz="6" w:space="0" w:color="FFFFFF"/>
            </w:tcBorders>
            <w:shd w:val="solid" w:color="EBE7E2" w:fill="auto"/>
            <w:tcMar>
              <w:top w:w="113" w:type="dxa"/>
              <w:left w:w="113" w:type="dxa"/>
              <w:bottom w:w="113" w:type="dxa"/>
              <w:right w:w="80" w:type="dxa"/>
            </w:tcMar>
          </w:tcPr>
          <w:p w14:paraId="3B332C87" w14:textId="77777777" w:rsidR="007F65A5" w:rsidRDefault="007F65A5">
            <w:pPr>
              <w:pStyle w:val="Tabletext"/>
              <w:jc w:val="right"/>
            </w:pPr>
            <w:r>
              <w:t xml:space="preserve"> 33 284 </w:t>
            </w:r>
          </w:p>
        </w:tc>
        <w:tc>
          <w:tcPr>
            <w:tcW w:w="2064" w:type="dxa"/>
            <w:tcBorders>
              <w:top w:val="single" w:sz="2" w:space="0" w:color="8A8A84"/>
              <w:left w:val="single" w:sz="6" w:space="0" w:color="FFFFFF"/>
              <w:bottom w:val="single" w:sz="2" w:space="0" w:color="8A8A84"/>
              <w:right w:val="single" w:sz="6" w:space="0" w:color="000000"/>
            </w:tcBorders>
            <w:shd w:val="solid" w:color="EBE7E2" w:fill="auto"/>
            <w:tcMar>
              <w:top w:w="113" w:type="dxa"/>
              <w:left w:w="113" w:type="dxa"/>
              <w:bottom w:w="113" w:type="dxa"/>
              <w:right w:w="80" w:type="dxa"/>
            </w:tcMar>
          </w:tcPr>
          <w:p w14:paraId="35401B86" w14:textId="77777777" w:rsidR="007F65A5" w:rsidRDefault="007F65A5">
            <w:pPr>
              <w:pStyle w:val="Tabletext"/>
              <w:jc w:val="right"/>
            </w:pPr>
            <w:r>
              <w:t xml:space="preserve"> 3 486 713 </w:t>
            </w:r>
          </w:p>
        </w:tc>
      </w:tr>
      <w:tr w:rsidR="007F65A5" w14:paraId="13053474" w14:textId="77777777">
        <w:trPr>
          <w:trHeight w:val="60"/>
        </w:trPr>
        <w:tc>
          <w:tcPr>
            <w:tcW w:w="2064" w:type="dxa"/>
            <w:tcBorders>
              <w:top w:val="single" w:sz="2" w:space="0" w:color="8A8A84"/>
              <w:left w:val="single" w:sz="6" w:space="0" w:color="FFFFFF"/>
              <w:bottom w:val="single" w:sz="2" w:space="0" w:color="8A8A84"/>
              <w:right w:val="single" w:sz="6" w:space="0" w:color="000000"/>
            </w:tcBorders>
            <w:shd w:val="solid" w:color="EBE7E2" w:fill="auto"/>
            <w:tcMar>
              <w:top w:w="113" w:type="dxa"/>
              <w:left w:w="113" w:type="dxa"/>
              <w:bottom w:w="113" w:type="dxa"/>
              <w:right w:w="80" w:type="dxa"/>
            </w:tcMar>
          </w:tcPr>
          <w:p w14:paraId="1F4564CC" w14:textId="77777777" w:rsidR="007F65A5" w:rsidRDefault="007F65A5">
            <w:pPr>
              <w:pStyle w:val="Tabletextbold"/>
            </w:pPr>
            <w:r>
              <w:t>2017-18 Estimate</w:t>
            </w:r>
          </w:p>
        </w:tc>
        <w:tc>
          <w:tcPr>
            <w:tcW w:w="2065" w:type="dxa"/>
            <w:tcBorders>
              <w:top w:val="single" w:sz="2" w:space="0" w:color="8A8A84"/>
              <w:left w:val="single" w:sz="6" w:space="0" w:color="000000"/>
              <w:bottom w:val="single" w:sz="2" w:space="0" w:color="8A8A84"/>
              <w:right w:val="single" w:sz="6" w:space="0" w:color="000000"/>
            </w:tcBorders>
            <w:shd w:val="solid" w:color="EBE7E2" w:fill="auto"/>
            <w:tcMar>
              <w:top w:w="113" w:type="dxa"/>
              <w:left w:w="113" w:type="dxa"/>
              <w:bottom w:w="113" w:type="dxa"/>
              <w:right w:w="80" w:type="dxa"/>
            </w:tcMar>
          </w:tcPr>
          <w:p w14:paraId="44389CE2" w14:textId="77777777" w:rsidR="007F65A5" w:rsidRDefault="007F65A5">
            <w:pPr>
              <w:pStyle w:val="Tabletext"/>
              <w:jc w:val="right"/>
            </w:pPr>
            <w:r>
              <w:t xml:space="preserve"> 1 160 785 </w:t>
            </w:r>
          </w:p>
        </w:tc>
        <w:tc>
          <w:tcPr>
            <w:tcW w:w="2064" w:type="dxa"/>
            <w:tcBorders>
              <w:top w:val="single" w:sz="2" w:space="0" w:color="8A8A84"/>
              <w:left w:val="single" w:sz="6" w:space="0" w:color="000000"/>
              <w:bottom w:val="single" w:sz="2" w:space="0" w:color="8A8A84"/>
              <w:right w:val="single" w:sz="6" w:space="0" w:color="FFFFFF"/>
            </w:tcBorders>
            <w:shd w:val="solid" w:color="EBE7E2" w:fill="auto"/>
            <w:tcMar>
              <w:top w:w="113" w:type="dxa"/>
              <w:left w:w="113" w:type="dxa"/>
              <w:bottom w:w="113" w:type="dxa"/>
              <w:right w:w="80" w:type="dxa"/>
            </w:tcMar>
          </w:tcPr>
          <w:p w14:paraId="4AE75B79" w14:textId="77777777" w:rsidR="007F65A5" w:rsidRDefault="007F65A5">
            <w:pPr>
              <w:pStyle w:val="Tabletext"/>
              <w:jc w:val="right"/>
            </w:pPr>
            <w:r>
              <w:t xml:space="preserve"> 73 514 </w:t>
            </w:r>
          </w:p>
        </w:tc>
        <w:tc>
          <w:tcPr>
            <w:tcW w:w="2064" w:type="dxa"/>
            <w:tcBorders>
              <w:top w:val="single" w:sz="2" w:space="0" w:color="8A8A84"/>
              <w:left w:val="single" w:sz="6" w:space="0" w:color="FFFFFF"/>
              <w:bottom w:val="single" w:sz="2" w:space="0" w:color="8A8A84"/>
              <w:right w:val="single" w:sz="6" w:space="0" w:color="000000"/>
            </w:tcBorders>
            <w:shd w:val="solid" w:color="EBE7E2" w:fill="auto"/>
            <w:tcMar>
              <w:top w:w="113" w:type="dxa"/>
              <w:left w:w="113" w:type="dxa"/>
              <w:bottom w:w="113" w:type="dxa"/>
              <w:right w:w="80" w:type="dxa"/>
            </w:tcMar>
          </w:tcPr>
          <w:p w14:paraId="28AD14D7" w14:textId="77777777" w:rsidR="007F65A5" w:rsidRDefault="007F65A5">
            <w:pPr>
              <w:pStyle w:val="Tabletext"/>
              <w:jc w:val="right"/>
            </w:pPr>
            <w:r>
              <w:t xml:space="preserve"> 8 813 232 </w:t>
            </w:r>
          </w:p>
        </w:tc>
      </w:tr>
      <w:tr w:rsidR="007F65A5" w14:paraId="565781DE" w14:textId="77777777">
        <w:trPr>
          <w:trHeight w:val="60"/>
        </w:trPr>
        <w:tc>
          <w:tcPr>
            <w:tcW w:w="2064" w:type="dxa"/>
            <w:tcBorders>
              <w:top w:val="single" w:sz="2" w:space="0" w:color="8A8A84"/>
              <w:left w:val="single" w:sz="6" w:space="0" w:color="FFFFFF"/>
              <w:bottom w:val="single" w:sz="2" w:space="0" w:color="8A8A84"/>
              <w:right w:val="single" w:sz="6" w:space="0" w:color="000000"/>
            </w:tcBorders>
            <w:shd w:val="solid" w:color="EBE7E2" w:fill="auto"/>
            <w:tcMar>
              <w:top w:w="113" w:type="dxa"/>
              <w:left w:w="113" w:type="dxa"/>
              <w:bottom w:w="113" w:type="dxa"/>
              <w:right w:w="80" w:type="dxa"/>
            </w:tcMar>
          </w:tcPr>
          <w:p w14:paraId="49BA1065" w14:textId="77777777" w:rsidR="007F65A5" w:rsidRDefault="007F65A5">
            <w:pPr>
              <w:pStyle w:val="Tabletextbold"/>
            </w:pPr>
            <w:r>
              <w:t>2018-19 Estimate</w:t>
            </w:r>
          </w:p>
        </w:tc>
        <w:tc>
          <w:tcPr>
            <w:tcW w:w="2065" w:type="dxa"/>
            <w:tcBorders>
              <w:top w:val="single" w:sz="2" w:space="0" w:color="8A8A84"/>
              <w:left w:val="single" w:sz="6" w:space="0" w:color="000000"/>
              <w:bottom w:val="single" w:sz="2" w:space="0" w:color="8A8A84"/>
              <w:right w:val="single" w:sz="6" w:space="0" w:color="000000"/>
            </w:tcBorders>
            <w:shd w:val="solid" w:color="EBE7E2" w:fill="auto"/>
            <w:tcMar>
              <w:top w:w="113" w:type="dxa"/>
              <w:left w:w="113" w:type="dxa"/>
              <w:bottom w:w="113" w:type="dxa"/>
              <w:right w:w="80" w:type="dxa"/>
            </w:tcMar>
          </w:tcPr>
          <w:p w14:paraId="0213CCC2" w14:textId="77777777" w:rsidR="007F65A5" w:rsidRDefault="007F65A5">
            <w:pPr>
              <w:pStyle w:val="Tabletext"/>
              <w:jc w:val="right"/>
            </w:pPr>
            <w:r>
              <w:t xml:space="preserve"> 1 591 781 </w:t>
            </w:r>
          </w:p>
        </w:tc>
        <w:tc>
          <w:tcPr>
            <w:tcW w:w="2064" w:type="dxa"/>
            <w:tcBorders>
              <w:top w:val="single" w:sz="2" w:space="0" w:color="8A8A84"/>
              <w:left w:val="single" w:sz="6" w:space="0" w:color="000000"/>
              <w:bottom w:val="single" w:sz="2" w:space="0" w:color="8A8A84"/>
              <w:right w:val="single" w:sz="6" w:space="0" w:color="FFFFFF"/>
            </w:tcBorders>
            <w:shd w:val="solid" w:color="EBE7E2" w:fill="auto"/>
            <w:tcMar>
              <w:top w:w="113" w:type="dxa"/>
              <w:left w:w="113" w:type="dxa"/>
              <w:bottom w:w="113" w:type="dxa"/>
              <w:right w:w="80" w:type="dxa"/>
            </w:tcMar>
          </w:tcPr>
          <w:p w14:paraId="4CA2EEB1" w14:textId="77777777" w:rsidR="007F65A5" w:rsidRDefault="007F65A5">
            <w:pPr>
              <w:pStyle w:val="Tabletext"/>
              <w:jc w:val="right"/>
            </w:pPr>
            <w:r>
              <w:t xml:space="preserve"> 113 539 </w:t>
            </w:r>
          </w:p>
        </w:tc>
        <w:tc>
          <w:tcPr>
            <w:tcW w:w="2064" w:type="dxa"/>
            <w:tcBorders>
              <w:top w:val="single" w:sz="2" w:space="0" w:color="8A8A84"/>
              <w:left w:val="single" w:sz="6" w:space="0" w:color="FFFFFF"/>
              <w:bottom w:val="single" w:sz="2" w:space="0" w:color="8A8A84"/>
              <w:right w:val="single" w:sz="6" w:space="0" w:color="000000"/>
            </w:tcBorders>
            <w:shd w:val="solid" w:color="EBE7E2" w:fill="auto"/>
            <w:tcMar>
              <w:top w:w="113" w:type="dxa"/>
              <w:left w:w="113" w:type="dxa"/>
              <w:bottom w:w="113" w:type="dxa"/>
              <w:right w:w="80" w:type="dxa"/>
            </w:tcMar>
          </w:tcPr>
          <w:p w14:paraId="21ABC955" w14:textId="77777777" w:rsidR="007F65A5" w:rsidRDefault="007F65A5">
            <w:pPr>
              <w:pStyle w:val="Tabletext"/>
              <w:jc w:val="right"/>
            </w:pPr>
            <w:r>
              <w:t xml:space="preserve"> 15 905 452 </w:t>
            </w:r>
          </w:p>
        </w:tc>
      </w:tr>
      <w:tr w:rsidR="007F65A5" w14:paraId="2014F393" w14:textId="77777777">
        <w:trPr>
          <w:trHeight w:val="60"/>
        </w:trPr>
        <w:tc>
          <w:tcPr>
            <w:tcW w:w="2064" w:type="dxa"/>
            <w:tcBorders>
              <w:top w:val="single" w:sz="2" w:space="0" w:color="8A8A84"/>
              <w:left w:val="single" w:sz="6" w:space="0" w:color="FFFFFF"/>
              <w:bottom w:val="single" w:sz="2" w:space="0" w:color="8A8A84"/>
              <w:right w:val="single" w:sz="6" w:space="0" w:color="000000"/>
            </w:tcBorders>
            <w:shd w:val="solid" w:color="EBE7E2" w:fill="auto"/>
            <w:tcMar>
              <w:top w:w="113" w:type="dxa"/>
              <w:left w:w="113" w:type="dxa"/>
              <w:bottom w:w="113" w:type="dxa"/>
              <w:right w:w="80" w:type="dxa"/>
            </w:tcMar>
          </w:tcPr>
          <w:p w14:paraId="761E0021" w14:textId="77777777" w:rsidR="007F65A5" w:rsidRDefault="007F65A5">
            <w:pPr>
              <w:pStyle w:val="Tabletextbold"/>
            </w:pPr>
            <w:r>
              <w:t>2019-20 Estimate</w:t>
            </w:r>
          </w:p>
        </w:tc>
        <w:tc>
          <w:tcPr>
            <w:tcW w:w="2065" w:type="dxa"/>
            <w:tcBorders>
              <w:top w:val="single" w:sz="2" w:space="0" w:color="8A8A84"/>
              <w:left w:val="single" w:sz="6" w:space="0" w:color="000000"/>
              <w:bottom w:val="single" w:sz="2" w:space="0" w:color="8A8A84"/>
              <w:right w:val="single" w:sz="6" w:space="0" w:color="000000"/>
            </w:tcBorders>
            <w:shd w:val="solid" w:color="EBE7E2" w:fill="auto"/>
            <w:tcMar>
              <w:top w:w="113" w:type="dxa"/>
              <w:left w:w="113" w:type="dxa"/>
              <w:bottom w:w="113" w:type="dxa"/>
              <w:right w:w="80" w:type="dxa"/>
            </w:tcMar>
          </w:tcPr>
          <w:p w14:paraId="77F7F410" w14:textId="77777777" w:rsidR="007F65A5" w:rsidRDefault="007F65A5">
            <w:pPr>
              <w:pStyle w:val="Tabletext"/>
              <w:jc w:val="right"/>
            </w:pPr>
            <w:r>
              <w:t xml:space="preserve"> 1 308 570 </w:t>
            </w:r>
          </w:p>
        </w:tc>
        <w:tc>
          <w:tcPr>
            <w:tcW w:w="2064" w:type="dxa"/>
            <w:tcBorders>
              <w:top w:val="single" w:sz="2" w:space="0" w:color="8A8A84"/>
              <w:left w:val="single" w:sz="6" w:space="0" w:color="000000"/>
              <w:bottom w:val="single" w:sz="2" w:space="0" w:color="8A8A84"/>
              <w:right w:val="single" w:sz="6" w:space="0" w:color="FFFFFF"/>
            </w:tcBorders>
            <w:shd w:val="solid" w:color="EBE7E2" w:fill="auto"/>
            <w:tcMar>
              <w:top w:w="113" w:type="dxa"/>
              <w:left w:w="113" w:type="dxa"/>
              <w:bottom w:w="113" w:type="dxa"/>
              <w:right w:w="80" w:type="dxa"/>
            </w:tcMar>
          </w:tcPr>
          <w:p w14:paraId="7E5AF03C" w14:textId="77777777" w:rsidR="007F65A5" w:rsidRDefault="007F65A5">
            <w:pPr>
              <w:pStyle w:val="Tabletext"/>
              <w:jc w:val="right"/>
            </w:pPr>
            <w:r>
              <w:t xml:space="preserve"> 131 130 </w:t>
            </w:r>
          </w:p>
        </w:tc>
        <w:tc>
          <w:tcPr>
            <w:tcW w:w="2064" w:type="dxa"/>
            <w:tcBorders>
              <w:top w:val="single" w:sz="2" w:space="0" w:color="8A8A84"/>
              <w:left w:val="single" w:sz="6" w:space="0" w:color="FFFFFF"/>
              <w:bottom w:val="single" w:sz="2" w:space="0" w:color="8A8A84"/>
              <w:right w:val="single" w:sz="6" w:space="0" w:color="000000"/>
            </w:tcBorders>
            <w:shd w:val="solid" w:color="EBE7E2" w:fill="auto"/>
            <w:tcMar>
              <w:top w:w="113" w:type="dxa"/>
              <w:left w:w="113" w:type="dxa"/>
              <w:bottom w:w="113" w:type="dxa"/>
              <w:right w:w="80" w:type="dxa"/>
            </w:tcMar>
          </w:tcPr>
          <w:p w14:paraId="01BF39B1" w14:textId="77777777" w:rsidR="007F65A5" w:rsidRDefault="007F65A5">
            <w:pPr>
              <w:pStyle w:val="Tabletext"/>
              <w:jc w:val="right"/>
            </w:pPr>
            <w:r>
              <w:t xml:space="preserve"> 20 076 677 </w:t>
            </w:r>
          </w:p>
        </w:tc>
      </w:tr>
    </w:tbl>
    <w:p w14:paraId="5ED111B0" w14:textId="204F4DC0" w:rsidR="007F65A5" w:rsidRDefault="00240F3E" w:rsidP="00481AAF">
      <w:pPr>
        <w:pStyle w:val="Heading1"/>
      </w:pPr>
      <w:bookmarkStart w:id="73" w:name="_Toc464482121"/>
      <w:r w:rsidRPr="00240F3E">
        <w:lastRenderedPageBreak/>
        <w:t>Section 3</w:t>
      </w:r>
      <w:r w:rsidR="00671078">
        <w:t>:</w:t>
      </w:r>
      <w:r w:rsidRPr="00240F3E">
        <w:t xml:space="preserve"> Governance</w:t>
      </w:r>
      <w:bookmarkEnd w:id="73"/>
    </w:p>
    <w:p w14:paraId="6FDA23B8" w14:textId="5D9BEC9B" w:rsidR="00AB1543" w:rsidRDefault="00AB1543" w:rsidP="00AB1543">
      <w:pPr>
        <w:pStyle w:val="Heading2"/>
      </w:pPr>
      <w:bookmarkStart w:id="74" w:name="_Toc464482122"/>
      <w:r>
        <w:lastRenderedPageBreak/>
        <w:t>What are the key governance arrangements?</w:t>
      </w:r>
      <w:bookmarkEnd w:id="74"/>
      <w:r>
        <w:t xml:space="preserve"> </w:t>
      </w:r>
    </w:p>
    <w:p w14:paraId="1E994960" w14:textId="77777777" w:rsidR="00AB1543" w:rsidRDefault="00AB1543" w:rsidP="00AB1543">
      <w:pPr>
        <w:pStyle w:val="BodyBullets"/>
      </w:pPr>
      <w:r>
        <w:t xml:space="preserve">The Scheme is administered by the National Disability Insurance Agency (the Agency), which has been established under Commonwealth legislation, the </w:t>
      </w:r>
      <w:r>
        <w:rPr>
          <w:rStyle w:val="Lightitalic"/>
        </w:rPr>
        <w:t>National Disability Insurance Scheme Act 2013</w:t>
      </w:r>
      <w:r>
        <w:t xml:space="preserve"> (NDIS Act) and is governed </w:t>
      </w:r>
      <w:r>
        <w:br/>
        <w:t>by a Board.</w:t>
      </w:r>
    </w:p>
    <w:p w14:paraId="79A0A158" w14:textId="77777777" w:rsidR="00AB1543" w:rsidRDefault="00AB1543" w:rsidP="00AB1543">
      <w:pPr>
        <w:pStyle w:val="BodyBullets"/>
      </w:pPr>
      <w:r>
        <w:t>The Board of the Agency is responsible for the performance of these functions and strategic direction of the Agency. The Board manages its costs and liabilities from year to year including through the development of a reserve and investment of funds.</w:t>
      </w:r>
    </w:p>
    <w:p w14:paraId="225A9306" w14:textId="77777777" w:rsidR="00AB1543" w:rsidRDefault="00AB1543" w:rsidP="00AB1543">
      <w:pPr>
        <w:pStyle w:val="BodyBullets"/>
      </w:pPr>
      <w:r>
        <w:t>The Board is advised by the National Disability Insurance Scheme Independent Advisory Council (IAC).</w:t>
      </w:r>
    </w:p>
    <w:p w14:paraId="07C70FF2" w14:textId="77777777" w:rsidR="00AB1543" w:rsidRDefault="00AB1543" w:rsidP="00AB1543">
      <w:pPr>
        <w:pStyle w:val="BodyBullets"/>
      </w:pPr>
      <w:r>
        <w:t>The Commonwealth Minister, The Hon. Christian Porter MP, Minister for Social Services, is responsible for administering the NDIS Act, and exercises statutory powers with the agreement of states and territories, including a power to make the NDIS Rules and direct the Agency.</w:t>
      </w:r>
    </w:p>
    <w:p w14:paraId="7ABB6451" w14:textId="77777777" w:rsidR="00AB1543" w:rsidRDefault="00AB1543" w:rsidP="00AB1543">
      <w:pPr>
        <w:pStyle w:val="BodyBullets"/>
      </w:pPr>
      <w:r>
        <w:t>The Disability Reform Council (DRC), a Council of Australian Governments (COAG) Ministerial Council made up of Treasurers and Ministers responsible for disability from the Commonwealth and each state and territory is the decision-maker on the Scheme policy issues.</w:t>
      </w:r>
    </w:p>
    <w:p w14:paraId="02047A7B" w14:textId="77777777" w:rsidR="00AB1543" w:rsidRDefault="00AB1543" w:rsidP="00AB1543">
      <w:pPr>
        <w:pStyle w:val="BodyBullets-last"/>
      </w:pPr>
      <w:r>
        <w:t xml:space="preserve">The Agency holds all funds contributed by the Commonwealth, states and territories in a single pool, manages Scheme funds, administers access to the Scheme and approves the payment of </w:t>
      </w:r>
      <w:proofErr w:type="spellStart"/>
      <w:r>
        <w:t>individualised</w:t>
      </w:r>
      <w:proofErr w:type="spellEnd"/>
      <w:r>
        <w:t xml:space="preserve"> support packages.</w:t>
      </w:r>
    </w:p>
    <w:p w14:paraId="33024AD0" w14:textId="1630D682" w:rsidR="00857811" w:rsidRDefault="00857811" w:rsidP="00857811">
      <w:pPr>
        <w:pStyle w:val="Heading2"/>
      </w:pPr>
      <w:bookmarkStart w:id="75" w:name="_Toc464482123"/>
      <w:r>
        <w:lastRenderedPageBreak/>
        <w:t>How does the NDIS fit into the National Disability Strategy?</w:t>
      </w:r>
      <w:bookmarkEnd w:id="75"/>
    </w:p>
    <w:p w14:paraId="79FCD065" w14:textId="77777777" w:rsidR="00857811" w:rsidRDefault="00857811" w:rsidP="00857811">
      <w:pPr>
        <w:pStyle w:val="IntroPara"/>
      </w:pPr>
      <w:r>
        <w:t xml:space="preserve">The Scheme fits within the framework of the National Disability Strategy which supports Australia’s commitments to the UN Convention on the Rights of Persons with Disabilities. It </w:t>
      </w:r>
      <w:proofErr w:type="spellStart"/>
      <w:r>
        <w:t>recognises</w:t>
      </w:r>
      <w:proofErr w:type="spellEnd"/>
      <w:r>
        <w:t xml:space="preserve"> that people with disability have varied lives, not all of which should be impacted through support delivered through the Scheme.</w:t>
      </w:r>
    </w:p>
    <w:p w14:paraId="72D3B3CA" w14:textId="77777777" w:rsidR="00857811" w:rsidRDefault="00857811" w:rsidP="00857811">
      <w:pPr>
        <w:pStyle w:val="BodyCopy"/>
      </w:pPr>
      <w:r>
        <w:t>Mainstream services are those that all people generally use, including people with disability. These services may include government-funded services and services provided by the private sector. Mainstream service systems are obliged to provide services to all Australians and the Agency will work with all governments, and community and mainstream systems to influence their capacity to better respond to the access and inclusion needs of people with disability.</w:t>
      </w:r>
    </w:p>
    <w:p w14:paraId="3EA54B63" w14:textId="77777777" w:rsidR="00857811" w:rsidRDefault="00857811" w:rsidP="00857811">
      <w:pPr>
        <w:pStyle w:val="BodyCopy"/>
      </w:pPr>
      <w:r>
        <w:t xml:space="preserve">Plans for Scheme participants need to consider how broader community and mainstream services contribute to, and work alongside, Scheme funded supports to </w:t>
      </w:r>
      <w:proofErr w:type="spellStart"/>
      <w:r>
        <w:t>maximise</w:t>
      </w:r>
      <w:proofErr w:type="spellEnd"/>
      <w:r>
        <w:t xml:space="preserve"> outcomes for the person with disability. Local Area Coordinators and funded support coordinators will also work directly with participants within their local communities to support participants’ access to the Scheme and mainstream services. This will ensure the interface between the Scheme and mainstream services is managed efficiently and effectively at the local level, taking into account the jurisdictional context. </w:t>
      </w:r>
    </w:p>
    <w:p w14:paraId="6649EA4E" w14:textId="77777777" w:rsidR="00857811" w:rsidRDefault="00857811" w:rsidP="00857811">
      <w:pPr>
        <w:pStyle w:val="BodyCopy"/>
      </w:pPr>
      <w:r>
        <w:t>The considerations that the Agency must take into account when deciding whether a support is most appropriately funded through the Scheme are outlined in the Supports for Participants Rules. These have been agreed to by the Council of Australian Governments (COAG) with a set of principles established related to the following systems areas:</w:t>
      </w:r>
    </w:p>
    <w:p w14:paraId="3CAEAE45" w14:textId="77777777" w:rsidR="00857811" w:rsidRDefault="00857811" w:rsidP="00857811">
      <w:pPr>
        <w:pStyle w:val="BodyNumberedList"/>
      </w:pPr>
      <w:r>
        <w:t>health</w:t>
      </w:r>
    </w:p>
    <w:p w14:paraId="1460512E" w14:textId="77777777" w:rsidR="00857811" w:rsidRDefault="00857811" w:rsidP="00857811">
      <w:pPr>
        <w:pStyle w:val="BodyNumberedList"/>
      </w:pPr>
      <w:r>
        <w:t>mental health</w:t>
      </w:r>
    </w:p>
    <w:p w14:paraId="4E170975" w14:textId="77777777" w:rsidR="00857811" w:rsidRDefault="00857811" w:rsidP="00857811">
      <w:pPr>
        <w:pStyle w:val="BodyNumberedList"/>
      </w:pPr>
      <w:r>
        <w:t>early childhood development</w:t>
      </w:r>
    </w:p>
    <w:p w14:paraId="64D2ACBC" w14:textId="77777777" w:rsidR="00857811" w:rsidRDefault="00857811" w:rsidP="00857811">
      <w:pPr>
        <w:pStyle w:val="BodyNumberedList"/>
      </w:pPr>
      <w:r>
        <w:t>child protection and family support</w:t>
      </w:r>
    </w:p>
    <w:p w14:paraId="0139A355" w14:textId="77777777" w:rsidR="00857811" w:rsidRDefault="00857811" w:rsidP="00857811">
      <w:pPr>
        <w:pStyle w:val="BodyNumberedList"/>
      </w:pPr>
      <w:r>
        <w:t>school education</w:t>
      </w:r>
    </w:p>
    <w:p w14:paraId="1B3BB119" w14:textId="77777777" w:rsidR="00857811" w:rsidRDefault="00857811" w:rsidP="00857811">
      <w:pPr>
        <w:pStyle w:val="BodyNumberedList"/>
      </w:pPr>
      <w:r>
        <w:t>higher education, vocational education and training</w:t>
      </w:r>
    </w:p>
    <w:p w14:paraId="5C05CEEB" w14:textId="77777777" w:rsidR="00857811" w:rsidRDefault="00857811" w:rsidP="00857811">
      <w:pPr>
        <w:pStyle w:val="BodyNumberedList"/>
      </w:pPr>
      <w:r>
        <w:t>employment</w:t>
      </w:r>
    </w:p>
    <w:p w14:paraId="65DFF39C" w14:textId="77777777" w:rsidR="00857811" w:rsidRDefault="00857811" w:rsidP="00857811">
      <w:pPr>
        <w:pStyle w:val="BodyNumberedList"/>
      </w:pPr>
      <w:r>
        <w:t>housing and community infrastructure</w:t>
      </w:r>
    </w:p>
    <w:p w14:paraId="5B918EEC" w14:textId="77777777" w:rsidR="00857811" w:rsidRDefault="00857811" w:rsidP="00857811">
      <w:pPr>
        <w:pStyle w:val="BodyNumberedList"/>
      </w:pPr>
      <w:r>
        <w:t>transport</w:t>
      </w:r>
    </w:p>
    <w:p w14:paraId="7A24D91C" w14:textId="77777777" w:rsidR="00857811" w:rsidRDefault="00857811" w:rsidP="00857811">
      <w:pPr>
        <w:pStyle w:val="BodyNumberedList"/>
      </w:pPr>
      <w:r>
        <w:t>justice and</w:t>
      </w:r>
    </w:p>
    <w:p w14:paraId="72A9FE28" w14:textId="77777777" w:rsidR="00857811" w:rsidRDefault="00857811" w:rsidP="00857811">
      <w:pPr>
        <w:pStyle w:val="BodyNumberedListlast"/>
      </w:pPr>
      <w:r>
        <w:t>aged care.</w:t>
      </w:r>
    </w:p>
    <w:p w14:paraId="7E882F73" w14:textId="77777777" w:rsidR="00857811" w:rsidRDefault="00857811" w:rsidP="00857811">
      <w:pPr>
        <w:pStyle w:val="BodyCopy"/>
      </w:pPr>
      <w:r>
        <w:t>The Principles to determine the responsibilities of the Scheme and other service systems, agreed to by COAG, outline the respective responsibilities of the Agency and various mainstream service systems for the funding and delivery of supports.</w:t>
      </w:r>
    </w:p>
    <w:p w14:paraId="499156C6" w14:textId="77777777" w:rsidR="00857811" w:rsidRDefault="00857811" w:rsidP="00857811">
      <w:pPr>
        <w:pStyle w:val="BodyCopy"/>
      </w:pPr>
      <w:r>
        <w:t>However, identifying responsibility for providing supports for participants can be complex. The Agency continues to work with parties to assist with understanding the practical implementation of the COAG Applied Principles and differentiate between the roles of the Scheme and mainstream services.</w:t>
      </w:r>
    </w:p>
    <w:p w14:paraId="67BAB77A" w14:textId="77777777" w:rsidR="00857811" w:rsidRDefault="00857811" w:rsidP="00857811">
      <w:pPr>
        <w:pStyle w:val="BodyBullets"/>
      </w:pPr>
      <w:r>
        <w:t xml:space="preserve">The parties continue to develop national working arrangements for access by Scheme participants to mainstream services, to be implemented at the jurisdictional regional level as part of Trial Transition Plans. </w:t>
      </w:r>
    </w:p>
    <w:p w14:paraId="011DC374" w14:textId="77777777" w:rsidR="00857811" w:rsidRDefault="00857811" w:rsidP="00857811">
      <w:pPr>
        <w:pStyle w:val="BodyBullets"/>
      </w:pPr>
      <w:r>
        <w:t>The parties will further consider the implementation of the intersections between the mainstream interface principles. Governments will work with the Agency to ensure the interface is managed effectively and efficiently in line with COAG policy decisions.</w:t>
      </w:r>
    </w:p>
    <w:p w14:paraId="6DDFDD7A" w14:textId="77777777" w:rsidR="00857811" w:rsidRDefault="00857811" w:rsidP="00857811">
      <w:pPr>
        <w:pStyle w:val="BodyBullets"/>
      </w:pPr>
      <w:r>
        <w:lastRenderedPageBreak/>
        <w:t xml:space="preserve">The parties continue to develop and implement specific communication strategies for each mainstream interface area consistent with COAG principles. </w:t>
      </w:r>
    </w:p>
    <w:p w14:paraId="40409532" w14:textId="77777777" w:rsidR="00857811" w:rsidRDefault="00857811" w:rsidP="00857811">
      <w:pPr>
        <w:pStyle w:val="BodyBullets-last"/>
      </w:pPr>
      <w:r>
        <w:t xml:space="preserve">The parties will determine governance arrangements and escalation processes </w:t>
      </w:r>
      <w:r>
        <w:br/>
        <w:t xml:space="preserve">to resolve mainstream interface policy and practice issues to support transition </w:t>
      </w:r>
      <w:r>
        <w:br/>
        <w:t xml:space="preserve">to the Scheme. </w:t>
      </w:r>
    </w:p>
    <w:p w14:paraId="3ABA81E8" w14:textId="14B77F7A" w:rsidR="00AF2CAF" w:rsidRDefault="00AF2CAF" w:rsidP="00AF2CAF">
      <w:pPr>
        <w:pStyle w:val="Heading2"/>
      </w:pPr>
      <w:bookmarkStart w:id="76" w:name="_Toc464482124"/>
      <w:r>
        <w:lastRenderedPageBreak/>
        <w:t>How is the Agency meeting its legislated objectives?</w:t>
      </w:r>
      <w:bookmarkEnd w:id="76"/>
      <w:r>
        <w:t xml:space="preserve"> </w:t>
      </w:r>
    </w:p>
    <w:p w14:paraId="201666BE" w14:textId="77777777" w:rsidR="00AF2CAF" w:rsidRDefault="00AF2CAF" w:rsidP="00AF2CAF">
      <w:pPr>
        <w:pStyle w:val="IntroPara"/>
      </w:pPr>
      <w:r>
        <w:t xml:space="preserve">The Agency is meeting its legislated objectives in two broad ways through the </w:t>
      </w:r>
      <w:r w:rsidRPr="00D5075F">
        <w:rPr>
          <w:i/>
        </w:rPr>
        <w:t>National Disability Insurance Scheme Act 2013</w:t>
      </w:r>
      <w:r>
        <w:t xml:space="preserve">: </w:t>
      </w:r>
    </w:p>
    <w:p w14:paraId="1670491D" w14:textId="77777777" w:rsidR="00AF2CAF" w:rsidRDefault="00AF2CAF" w:rsidP="00AF2CAF">
      <w:pPr>
        <w:pStyle w:val="BodyBullets"/>
      </w:pPr>
      <w:r>
        <w:t>by creating the Scheme, which is based on insurance principles; and</w:t>
      </w:r>
    </w:p>
    <w:p w14:paraId="6CB198F3" w14:textId="77777777" w:rsidR="00AF2CAF" w:rsidRDefault="00AF2CAF" w:rsidP="00AF2CAF">
      <w:pPr>
        <w:pStyle w:val="BodyBullets-last"/>
      </w:pPr>
      <w:r>
        <w:t xml:space="preserve">by increasing the capacity of the entire Australian community, including providers of mainstream health, education and social services, community </w:t>
      </w:r>
      <w:proofErr w:type="spellStart"/>
      <w:r>
        <w:t>organisations</w:t>
      </w:r>
      <w:proofErr w:type="spellEnd"/>
      <w:r>
        <w:t>, businesses and employers, to play its part. The Agency’s functions include developing and improving the disability sector by encouraging innovation, research and contemporary best practice.</w:t>
      </w:r>
    </w:p>
    <w:p w14:paraId="7445A40D" w14:textId="5A03B971" w:rsidR="00AF2CAF" w:rsidRDefault="00AF2CAF" w:rsidP="00E34283">
      <w:pPr>
        <w:pStyle w:val="Heading3"/>
      </w:pPr>
      <w:r>
        <w:t>Governance framework</w:t>
      </w:r>
    </w:p>
    <w:p w14:paraId="2EB377A4" w14:textId="77777777" w:rsidR="00AF2CAF" w:rsidRDefault="00AF2CAF" w:rsidP="00E34283">
      <w:pPr>
        <w:pStyle w:val="Heading4"/>
      </w:pPr>
      <w:r>
        <w:t>Responsible Minister</w:t>
      </w:r>
    </w:p>
    <w:p w14:paraId="36019E3A" w14:textId="77777777" w:rsidR="00AF2CAF" w:rsidRDefault="00AF2CAF" w:rsidP="00AF2CAF">
      <w:pPr>
        <w:pStyle w:val="BodyCopy"/>
      </w:pPr>
      <w:r>
        <w:t>The Hon. Christian Porter MP, Minister for Social Services, has ministerial responsibility for the Agency, including the exercise of specific powers under the NDIS Act. Minister Porter was appointed as Minister for Social Services on 21 September 2015, with responsibility for disability.</w:t>
      </w:r>
    </w:p>
    <w:p w14:paraId="771FF421" w14:textId="77777777" w:rsidR="00AF2CAF" w:rsidRDefault="00AF2CAF" w:rsidP="00AF2CAF">
      <w:pPr>
        <w:pStyle w:val="BodyCopy"/>
      </w:pPr>
      <w:r>
        <w:t>The Hon. Scott Morrison MP was the Minister for Social Services directly prior to Minister Porter.</w:t>
      </w:r>
    </w:p>
    <w:p w14:paraId="1FE586C2" w14:textId="77777777" w:rsidR="00AF2CAF" w:rsidRDefault="00AF2CAF" w:rsidP="00AF2CAF">
      <w:pPr>
        <w:pStyle w:val="BodyCopy"/>
      </w:pPr>
      <w:r>
        <w:t>The Hon. Jane Prentice MP is the Assistant Minister for Disability Services, appointed on 18 February 2016. Senator the Hon. Mitch Fifield was the Assistant Minister for Social Services prior to the appointment of Minister Prentice.</w:t>
      </w:r>
    </w:p>
    <w:p w14:paraId="436F8230" w14:textId="77777777" w:rsidR="00AF2CAF" w:rsidRDefault="00AF2CAF" w:rsidP="00E34283">
      <w:pPr>
        <w:pStyle w:val="Heading4"/>
      </w:pPr>
      <w:r>
        <w:t>Council of Australian Governments (COAG) Disability Reform Council (DRC)</w:t>
      </w:r>
    </w:p>
    <w:p w14:paraId="27E250BE" w14:textId="77777777" w:rsidR="00AF2CAF" w:rsidRDefault="00AF2CAF" w:rsidP="00AF2CAF">
      <w:pPr>
        <w:pStyle w:val="BodyCopy"/>
      </w:pPr>
      <w:r>
        <w:t xml:space="preserve">The DRC is made up of Commonwealth, state and territory treasurers and ministers for disability, a representative from the Local Government Association, and is chaired by the Minister for Social Services. It is the decision-making body </w:t>
      </w:r>
      <w:r>
        <w:br/>
        <w:t>on Scheme policy issues.</w:t>
      </w:r>
    </w:p>
    <w:p w14:paraId="304052AE" w14:textId="77777777" w:rsidR="00AF2CAF" w:rsidRDefault="00AF2CAF" w:rsidP="00AF2CAF">
      <w:pPr>
        <w:pStyle w:val="BodyCopy"/>
      </w:pPr>
      <w:r>
        <w:t>The DRC oversees the trial and implementation of the Scheme. It makes recommendations to COAG on the transition to full Scheme.</w:t>
      </w:r>
    </w:p>
    <w:p w14:paraId="2EB0A5E5" w14:textId="77777777" w:rsidR="00AF2CAF" w:rsidRDefault="00AF2CAF" w:rsidP="00E34283">
      <w:pPr>
        <w:pStyle w:val="Heading4"/>
      </w:pPr>
      <w:r>
        <w:t xml:space="preserve">Parliamentary Joint Standing Committee on the National Disability Insurance Scheme </w:t>
      </w:r>
    </w:p>
    <w:p w14:paraId="49D8FD03" w14:textId="77777777" w:rsidR="00AF2CAF" w:rsidRDefault="00AF2CAF" w:rsidP="00AF2CAF">
      <w:pPr>
        <w:pStyle w:val="BodyCopy"/>
      </w:pPr>
      <w:r>
        <w:t xml:space="preserve">The Parliamentary Joint Standing Committee on the National Disability Insurance Scheme was established on 2 December 2013. The Committee’s role is to review the implementation and administration of the Scheme. It can also review any Scheme related matter referred to the Committee by a resolution of either House of Parliament. The Committee is made up of six members of the House of Representatives and six senators. The Committee is required to present an annual progress report to Parliament on the activities of the Committee during the year. </w:t>
      </w:r>
    </w:p>
    <w:p w14:paraId="246F261F" w14:textId="4B51BE7C" w:rsidR="00AF2CAF" w:rsidRDefault="00AF2CAF" w:rsidP="00AF2CAF">
      <w:pPr>
        <w:pStyle w:val="BodyCopy"/>
      </w:pPr>
      <w:r>
        <w:t xml:space="preserve">The Committee’s </w:t>
      </w:r>
      <w:r>
        <w:rPr>
          <w:rStyle w:val="Lightitalic"/>
        </w:rPr>
        <w:t>Second progress report on the implementation and administration of the National Disability Insurance Scheme</w:t>
      </w:r>
      <w:r>
        <w:t xml:space="preserve"> was tabled on 12 November 2015. The report, and the Australian Government’s response to the report, is published on the </w:t>
      </w:r>
      <w:hyperlink r:id="rId10" w:history="1">
        <w:r w:rsidRPr="004260CC">
          <w:rPr>
            <w:rStyle w:val="Hyperlink"/>
          </w:rPr>
          <w:t>Australian Parliamen</w:t>
        </w:r>
        <w:r w:rsidR="004260CC" w:rsidRPr="004260CC">
          <w:rPr>
            <w:rStyle w:val="Hyperlink"/>
          </w:rPr>
          <w:t>t House website</w:t>
        </w:r>
      </w:hyperlink>
      <w:r w:rsidR="004260CC">
        <w:rPr>
          <w:rStyle w:val="FootnoteReference"/>
        </w:rPr>
        <w:footnoteReference w:id="4"/>
      </w:r>
      <w:r>
        <w:t xml:space="preserve">. As part of its ongoing inquiry into the Scheme, the Committee continued to visit trial sites and conduct hearings to gather evidence. The second progress report commends the Agency on its achievements since the commencement of the Scheme trial but also highlights the need for continued work to address service provider and workforce readiness, communication and Agency stakeholder engagement. </w:t>
      </w:r>
    </w:p>
    <w:p w14:paraId="5716386B" w14:textId="77777777" w:rsidR="00AF2CAF" w:rsidRDefault="00AF2CAF" w:rsidP="00AF2CAF">
      <w:pPr>
        <w:pStyle w:val="BodyCopy"/>
      </w:pPr>
      <w:r>
        <w:lastRenderedPageBreak/>
        <w:t>The Australian Government tabled its formal response to the second progress report in January 2016.</w:t>
      </w:r>
    </w:p>
    <w:p w14:paraId="0A7F53D1" w14:textId="77777777" w:rsidR="00AF2CAF" w:rsidRDefault="00AF2CAF" w:rsidP="00AF2CAF">
      <w:pPr>
        <w:pStyle w:val="BodyCopy"/>
      </w:pPr>
      <w:r>
        <w:t xml:space="preserve">In 2015–16, the Agency continued to work towards implementing the recommendations made by the Parliamentary Joint Standing Committee. </w:t>
      </w:r>
    </w:p>
    <w:p w14:paraId="51BF1E77" w14:textId="77777777" w:rsidR="00AF2CAF" w:rsidRDefault="00AF2CAF" w:rsidP="00AF2CAF">
      <w:pPr>
        <w:pStyle w:val="BodyCopy"/>
      </w:pPr>
      <w:r>
        <w:t xml:space="preserve">The Committee conducted several site visits and public hearings in trial and early launch sites in 2015–16, travelling to the Northern Territory, New South Wales and Queensland. </w:t>
      </w:r>
    </w:p>
    <w:p w14:paraId="5F74A2CE" w14:textId="2757FF6D" w:rsidR="00072189" w:rsidRDefault="00072189" w:rsidP="00FF0982">
      <w:pPr>
        <w:pStyle w:val="Heading2"/>
      </w:pPr>
      <w:bookmarkStart w:id="77" w:name="_Toc464482125"/>
      <w:r>
        <w:lastRenderedPageBreak/>
        <w:t>External scrutiny</w:t>
      </w:r>
      <w:bookmarkEnd w:id="77"/>
      <w:r>
        <w:t xml:space="preserve"> </w:t>
      </w:r>
    </w:p>
    <w:p w14:paraId="1896A410" w14:textId="381C215F" w:rsidR="00072189" w:rsidRDefault="00072189" w:rsidP="00FF0982">
      <w:pPr>
        <w:pStyle w:val="Heading3"/>
      </w:pPr>
      <w:r>
        <w:t>Human rights complaints</w:t>
      </w:r>
    </w:p>
    <w:p w14:paraId="6620AA84" w14:textId="77777777" w:rsidR="00072189" w:rsidRDefault="00072189" w:rsidP="00072189">
      <w:pPr>
        <w:pStyle w:val="BodyCopy"/>
        <w:keepLines/>
      </w:pPr>
      <w:r>
        <w:t>The Australian Human Rights Commission (AHRC) received two complaints in which the Agency was named as a party. The complaints have now been concluded.</w:t>
      </w:r>
    </w:p>
    <w:p w14:paraId="0E3A6658" w14:textId="66AF56EC" w:rsidR="00072189" w:rsidRDefault="00072189" w:rsidP="008E5D69">
      <w:pPr>
        <w:pStyle w:val="Heading3"/>
      </w:pPr>
      <w:r>
        <w:t>Administrative Appeals Tribunal</w:t>
      </w:r>
    </w:p>
    <w:p w14:paraId="7174F005" w14:textId="77777777" w:rsidR="00072189" w:rsidRDefault="00072189" w:rsidP="00072189">
      <w:pPr>
        <w:pStyle w:val="BodyCopy"/>
      </w:pPr>
      <w:r>
        <w:t>The Administrative Appeals Tribunal (AAT) can, in response to applications, review decisions made by the Agency under the NDIS Act, including decisions about whether a person meets the access criteria to become a participant in the Scheme, the supports provided under the Scheme and the registration of providers of support.</w:t>
      </w:r>
    </w:p>
    <w:p w14:paraId="2E28D68B" w14:textId="77777777" w:rsidR="00072189" w:rsidRDefault="00072189" w:rsidP="00072189">
      <w:pPr>
        <w:pStyle w:val="BodyCopy"/>
      </w:pPr>
      <w:r>
        <w:t>During 2015–16, the AAT received 46 applications for review of Agency decisions of which ten related to access, 33 related to supports funded under plans and three related to a decision to not conduct a plan review. By comparison, during 2014–15, the AAT received 19 applications for review of Agency decisions of which seven related to access and 12 related to the supports funded under plans. During 2013–14 the AAT received 18 applications for review of Agency decisions, of which nine related to access and nine related to supports.</w:t>
      </w:r>
    </w:p>
    <w:p w14:paraId="6FBB6D88" w14:textId="77777777" w:rsidR="00072189" w:rsidRDefault="00072189" w:rsidP="00072189">
      <w:pPr>
        <w:pStyle w:val="BodyCopy"/>
      </w:pPr>
      <w:r>
        <w:t xml:space="preserve">As at 30 June 2016, 21 of the 46 applications for review received in 2015–16 had been </w:t>
      </w:r>
      <w:proofErr w:type="spellStart"/>
      <w:r>
        <w:t>finalised</w:t>
      </w:r>
      <w:proofErr w:type="spellEnd"/>
      <w:r>
        <w:t>, and 25 matters remained undecided. Two of the undecided matters have been to hearing and had a decision pending as at 30 June 2016.</w:t>
      </w:r>
    </w:p>
    <w:p w14:paraId="0465EED9" w14:textId="77777777" w:rsidR="00072189" w:rsidRDefault="00072189" w:rsidP="00072189">
      <w:pPr>
        <w:pStyle w:val="BodyCopy"/>
      </w:pPr>
      <w:r>
        <w:t xml:space="preserve">Of the 21 </w:t>
      </w:r>
      <w:proofErr w:type="spellStart"/>
      <w:r>
        <w:t>finalised</w:t>
      </w:r>
      <w:proofErr w:type="spellEnd"/>
      <w:r>
        <w:t xml:space="preserve"> matters, eight were varied by the AAT with the agreement of the Agency and the applicant, two were dismissed by agreement of the Agency and the applicant, four were dismissed by the AAT because they were outside the AAT’s jurisdiction, and seven were withdrawn by the applicant.</w:t>
      </w:r>
    </w:p>
    <w:p w14:paraId="5588B8CC" w14:textId="77777777" w:rsidR="00072189" w:rsidRDefault="00072189" w:rsidP="00072189">
      <w:pPr>
        <w:pStyle w:val="BodyCopy"/>
      </w:pPr>
      <w:r>
        <w:t>As at 30 June 2016 the AAT had published reasons for its decisions in five of the seven matters that went to hearing in this financial year, as shown in Table 11. The remaining two matters have decisions pending.</w:t>
      </w:r>
    </w:p>
    <w:p w14:paraId="79264C43" w14:textId="078C6F45" w:rsidR="00072189" w:rsidRDefault="00072189" w:rsidP="00981F99">
      <w:pPr>
        <w:pStyle w:val="Heading3"/>
      </w:pPr>
      <w:r>
        <w:t>Table 11: AAT reviews 2015–16</w:t>
      </w:r>
    </w:p>
    <w:tbl>
      <w:tblPr>
        <w:tblW w:w="0" w:type="auto"/>
        <w:tblInd w:w="-8" w:type="dxa"/>
        <w:tblLayout w:type="fixed"/>
        <w:tblCellMar>
          <w:left w:w="0" w:type="dxa"/>
          <w:right w:w="0" w:type="dxa"/>
        </w:tblCellMar>
        <w:tblLook w:val="0000" w:firstRow="0" w:lastRow="0" w:firstColumn="0" w:lastColumn="0" w:noHBand="0" w:noVBand="0"/>
      </w:tblPr>
      <w:tblGrid>
        <w:gridCol w:w="2752"/>
        <w:gridCol w:w="2753"/>
        <w:gridCol w:w="2752"/>
      </w:tblGrid>
      <w:tr w:rsidR="00072189" w14:paraId="7BCC58EE" w14:textId="77777777">
        <w:trPr>
          <w:trHeight w:val="60"/>
          <w:tblHeader/>
        </w:trPr>
        <w:tc>
          <w:tcPr>
            <w:tcW w:w="2752" w:type="dxa"/>
            <w:tcBorders>
              <w:top w:val="single" w:sz="6" w:space="0" w:color="FFFFFF"/>
              <w:left w:val="single" w:sz="6" w:space="0" w:color="FFFFFF"/>
              <w:bottom w:val="single" w:sz="6" w:space="0" w:color="8A8A84"/>
              <w:right w:val="single" w:sz="6" w:space="0" w:color="FFFFFF"/>
            </w:tcBorders>
            <w:shd w:val="solid" w:color="000000" w:fill="auto"/>
            <w:tcMar>
              <w:top w:w="113" w:type="dxa"/>
              <w:left w:w="113" w:type="dxa"/>
              <w:bottom w:w="113" w:type="dxa"/>
              <w:right w:w="80" w:type="dxa"/>
            </w:tcMar>
          </w:tcPr>
          <w:p w14:paraId="4D48A498" w14:textId="77777777" w:rsidR="00072189" w:rsidRDefault="00072189">
            <w:pPr>
              <w:pStyle w:val="Tableheader"/>
            </w:pPr>
            <w:bookmarkStart w:id="78" w:name="Title_Table11" w:colFirst="0" w:colLast="0"/>
            <w:r>
              <w:t>Matter</w:t>
            </w:r>
          </w:p>
        </w:tc>
        <w:tc>
          <w:tcPr>
            <w:tcW w:w="2753" w:type="dxa"/>
            <w:tcBorders>
              <w:top w:val="single" w:sz="6" w:space="0" w:color="FFFFFF"/>
              <w:left w:val="single" w:sz="6" w:space="0" w:color="FFFFFF"/>
              <w:bottom w:val="single" w:sz="6" w:space="0" w:color="8A8A84"/>
              <w:right w:val="single" w:sz="6" w:space="0" w:color="FFFFFF"/>
            </w:tcBorders>
            <w:shd w:val="solid" w:color="000000" w:fill="auto"/>
            <w:tcMar>
              <w:top w:w="113" w:type="dxa"/>
              <w:left w:w="113" w:type="dxa"/>
              <w:bottom w:w="113" w:type="dxa"/>
              <w:right w:w="80" w:type="dxa"/>
            </w:tcMar>
          </w:tcPr>
          <w:p w14:paraId="76DF379A" w14:textId="77777777" w:rsidR="00072189" w:rsidRDefault="00072189">
            <w:pPr>
              <w:pStyle w:val="Tableheader"/>
            </w:pPr>
            <w:r>
              <w:t>Decision under review</w:t>
            </w:r>
          </w:p>
        </w:tc>
        <w:tc>
          <w:tcPr>
            <w:tcW w:w="2752" w:type="dxa"/>
            <w:tcBorders>
              <w:top w:val="single" w:sz="6" w:space="0" w:color="FFFFFF"/>
              <w:left w:val="single" w:sz="6" w:space="0" w:color="FFFFFF"/>
              <w:bottom w:val="single" w:sz="6" w:space="0" w:color="8A8A84"/>
              <w:right w:val="single" w:sz="6" w:space="0" w:color="FFFFFF"/>
            </w:tcBorders>
            <w:shd w:val="solid" w:color="000000" w:fill="auto"/>
            <w:tcMar>
              <w:top w:w="113" w:type="dxa"/>
              <w:left w:w="113" w:type="dxa"/>
              <w:bottom w:w="113" w:type="dxa"/>
              <w:right w:w="80" w:type="dxa"/>
            </w:tcMar>
          </w:tcPr>
          <w:p w14:paraId="6C650DB9" w14:textId="77777777" w:rsidR="00072189" w:rsidRDefault="00072189">
            <w:pPr>
              <w:pStyle w:val="Tableheader"/>
            </w:pPr>
            <w:r>
              <w:t>AAT decision</w:t>
            </w:r>
          </w:p>
        </w:tc>
      </w:tr>
      <w:bookmarkEnd w:id="78"/>
      <w:tr w:rsidR="00072189" w14:paraId="1C3CECAB" w14:textId="77777777">
        <w:trPr>
          <w:trHeight w:val="60"/>
        </w:trPr>
        <w:tc>
          <w:tcPr>
            <w:tcW w:w="2752" w:type="dxa"/>
            <w:tcBorders>
              <w:top w:val="single" w:sz="2" w:space="0" w:color="8A8A84"/>
              <w:left w:val="single" w:sz="6" w:space="0" w:color="FFFFFF"/>
              <w:bottom w:val="single" w:sz="2" w:space="0" w:color="8A8A84"/>
              <w:right w:val="single" w:sz="6" w:space="0" w:color="000000"/>
            </w:tcBorders>
            <w:shd w:val="solid" w:color="EBE7E2" w:fill="auto"/>
            <w:tcMar>
              <w:top w:w="113" w:type="dxa"/>
              <w:left w:w="113" w:type="dxa"/>
              <w:bottom w:w="113" w:type="dxa"/>
              <w:right w:w="80" w:type="dxa"/>
            </w:tcMar>
          </w:tcPr>
          <w:p w14:paraId="6C270755" w14:textId="77777777" w:rsidR="00072189" w:rsidRDefault="00072189">
            <w:pPr>
              <w:pStyle w:val="Tabletextbold"/>
            </w:pPr>
            <w:r>
              <w:t>McCutcheon and National Disability Insurance Agency [2015] AATA 624 (21 August 2015)</w:t>
            </w:r>
          </w:p>
        </w:tc>
        <w:tc>
          <w:tcPr>
            <w:tcW w:w="2753" w:type="dxa"/>
            <w:tcBorders>
              <w:top w:val="single" w:sz="2" w:space="0" w:color="8A8A84"/>
              <w:left w:val="single" w:sz="6" w:space="0" w:color="000000"/>
              <w:bottom w:val="single" w:sz="2" w:space="0" w:color="8A8A84"/>
              <w:right w:val="single" w:sz="6" w:space="0" w:color="FFFFFF"/>
            </w:tcBorders>
            <w:shd w:val="solid" w:color="EBE7E2" w:fill="auto"/>
            <w:tcMar>
              <w:top w:w="113" w:type="dxa"/>
              <w:left w:w="113" w:type="dxa"/>
              <w:bottom w:w="113" w:type="dxa"/>
              <w:right w:w="80" w:type="dxa"/>
            </w:tcMar>
          </w:tcPr>
          <w:p w14:paraId="30513E31" w14:textId="77777777" w:rsidR="00072189" w:rsidRDefault="00072189">
            <w:pPr>
              <w:pStyle w:val="Tabletext"/>
            </w:pPr>
            <w:r>
              <w:t>Supports in a plan—whether the funding of chiropractic treatment is a reasonable and necessary support (s 34(1))</w:t>
            </w:r>
          </w:p>
        </w:tc>
        <w:tc>
          <w:tcPr>
            <w:tcW w:w="2752" w:type="dxa"/>
            <w:tcBorders>
              <w:top w:val="single" w:sz="2" w:space="0" w:color="8A8A84"/>
              <w:left w:val="single" w:sz="6" w:space="0" w:color="FFFFFF"/>
              <w:bottom w:val="single" w:sz="2" w:space="0" w:color="8A8A84"/>
              <w:right w:val="single" w:sz="6" w:space="0" w:color="000000"/>
            </w:tcBorders>
            <w:shd w:val="solid" w:color="EBE7E2" w:fill="auto"/>
            <w:tcMar>
              <w:top w:w="113" w:type="dxa"/>
              <w:left w:w="113" w:type="dxa"/>
              <w:bottom w:w="113" w:type="dxa"/>
              <w:right w:w="80" w:type="dxa"/>
            </w:tcMar>
          </w:tcPr>
          <w:p w14:paraId="37CBB073" w14:textId="77777777" w:rsidR="00072189" w:rsidRDefault="00072189">
            <w:pPr>
              <w:pStyle w:val="Tabletext"/>
            </w:pPr>
            <w:r>
              <w:t>Agency decision set aside—the AAT held that chiropractic treatment will be, or will likely be, effective and beneficial for the applicant having regard to current good practice, and is most appropriately funded by the Scheme</w:t>
            </w:r>
          </w:p>
        </w:tc>
      </w:tr>
      <w:tr w:rsidR="00072189" w14:paraId="6EF050D0" w14:textId="77777777">
        <w:trPr>
          <w:trHeight w:val="60"/>
        </w:trPr>
        <w:tc>
          <w:tcPr>
            <w:tcW w:w="2752" w:type="dxa"/>
            <w:tcBorders>
              <w:top w:val="single" w:sz="2" w:space="0" w:color="8A8A84"/>
              <w:left w:val="single" w:sz="6" w:space="0" w:color="FFFFFF"/>
              <w:bottom w:val="single" w:sz="2" w:space="0" w:color="8A8A84"/>
              <w:right w:val="single" w:sz="6" w:space="0" w:color="000000"/>
            </w:tcBorders>
            <w:shd w:val="solid" w:color="EBE7E2" w:fill="auto"/>
            <w:tcMar>
              <w:top w:w="113" w:type="dxa"/>
              <w:left w:w="113" w:type="dxa"/>
              <w:bottom w:w="113" w:type="dxa"/>
              <w:right w:w="80" w:type="dxa"/>
            </w:tcMar>
          </w:tcPr>
          <w:p w14:paraId="68501B22" w14:textId="77777777" w:rsidR="00072189" w:rsidRDefault="00072189">
            <w:pPr>
              <w:pStyle w:val="Tabletextbold"/>
            </w:pPr>
            <w:r>
              <w:t>Fear by his mother Vanda Fear and National Disability Insurance Agency [2015] AATA 706 (14 September 2015)</w:t>
            </w:r>
          </w:p>
        </w:tc>
        <w:tc>
          <w:tcPr>
            <w:tcW w:w="2753" w:type="dxa"/>
            <w:tcBorders>
              <w:top w:val="single" w:sz="2" w:space="0" w:color="8A8A84"/>
              <w:left w:val="single" w:sz="6" w:space="0" w:color="000000"/>
              <w:bottom w:val="single" w:sz="2" w:space="0" w:color="8A8A84"/>
              <w:right w:val="single" w:sz="6" w:space="0" w:color="FFFFFF"/>
            </w:tcBorders>
            <w:shd w:val="solid" w:color="EBE7E2" w:fill="auto"/>
            <w:tcMar>
              <w:top w:w="113" w:type="dxa"/>
              <w:left w:w="113" w:type="dxa"/>
              <w:bottom w:w="113" w:type="dxa"/>
              <w:right w:w="80" w:type="dxa"/>
            </w:tcMar>
          </w:tcPr>
          <w:p w14:paraId="642DDE56" w14:textId="77777777" w:rsidR="00072189" w:rsidRDefault="00072189">
            <w:pPr>
              <w:pStyle w:val="Tabletext"/>
            </w:pPr>
            <w:r>
              <w:t>Supports in a plan—whether the funding of a pulse oximeter and a bedside and a portable oral suctioning machine, are reasonable and necessary supports (s 34(1))</w:t>
            </w:r>
          </w:p>
        </w:tc>
        <w:tc>
          <w:tcPr>
            <w:tcW w:w="2752" w:type="dxa"/>
            <w:tcBorders>
              <w:top w:val="single" w:sz="2" w:space="0" w:color="8A8A84"/>
              <w:left w:val="single" w:sz="6" w:space="0" w:color="FFFFFF"/>
              <w:bottom w:val="single" w:sz="2" w:space="0" w:color="8A8A84"/>
              <w:right w:val="single" w:sz="6" w:space="0" w:color="000000"/>
            </w:tcBorders>
            <w:shd w:val="solid" w:color="EBE7E2" w:fill="auto"/>
            <w:tcMar>
              <w:top w:w="113" w:type="dxa"/>
              <w:left w:w="113" w:type="dxa"/>
              <w:bottom w:w="113" w:type="dxa"/>
              <w:right w:w="80" w:type="dxa"/>
            </w:tcMar>
          </w:tcPr>
          <w:p w14:paraId="4EB7742A" w14:textId="77777777" w:rsidR="00072189" w:rsidRDefault="00072189">
            <w:pPr>
              <w:pStyle w:val="Tabletext"/>
            </w:pPr>
            <w:r>
              <w:t>Agency decision affirmed—the AAT held that these supports are not reasonable and necessary, on the grounds that they are not most appropriately funded under the Scheme, and are more appropriately funded under the general health system</w:t>
            </w:r>
          </w:p>
        </w:tc>
      </w:tr>
      <w:tr w:rsidR="00072189" w14:paraId="00861C02" w14:textId="77777777">
        <w:trPr>
          <w:trHeight w:val="60"/>
        </w:trPr>
        <w:tc>
          <w:tcPr>
            <w:tcW w:w="2752" w:type="dxa"/>
            <w:tcBorders>
              <w:top w:val="single" w:sz="2" w:space="0" w:color="8A8A84"/>
              <w:left w:val="single" w:sz="6" w:space="0" w:color="FFFFFF"/>
              <w:bottom w:val="single" w:sz="2" w:space="0" w:color="8A8A84"/>
              <w:right w:val="single" w:sz="6" w:space="0" w:color="000000"/>
            </w:tcBorders>
            <w:shd w:val="solid" w:color="EBE7E2" w:fill="auto"/>
            <w:tcMar>
              <w:top w:w="113" w:type="dxa"/>
              <w:left w:w="113" w:type="dxa"/>
              <w:bottom w:w="113" w:type="dxa"/>
              <w:right w:w="80" w:type="dxa"/>
            </w:tcMar>
          </w:tcPr>
          <w:p w14:paraId="14592870" w14:textId="77777777" w:rsidR="00072189" w:rsidRDefault="00072189">
            <w:pPr>
              <w:pStyle w:val="Tabletextbold"/>
            </w:pPr>
            <w:r>
              <w:lastRenderedPageBreak/>
              <w:t>PNMJ and National Disability Insurance Agency [2015] AATA 866 (11 November 2015)</w:t>
            </w:r>
          </w:p>
        </w:tc>
        <w:tc>
          <w:tcPr>
            <w:tcW w:w="2753" w:type="dxa"/>
            <w:tcBorders>
              <w:top w:val="single" w:sz="2" w:space="0" w:color="8A8A84"/>
              <w:left w:val="single" w:sz="6" w:space="0" w:color="000000"/>
              <w:bottom w:val="single" w:sz="2" w:space="0" w:color="8A8A84"/>
              <w:right w:val="single" w:sz="6" w:space="0" w:color="FFFFFF"/>
            </w:tcBorders>
            <w:shd w:val="solid" w:color="EBE7E2" w:fill="auto"/>
            <w:tcMar>
              <w:top w:w="113" w:type="dxa"/>
              <w:left w:w="113" w:type="dxa"/>
              <w:bottom w:w="113" w:type="dxa"/>
              <w:right w:w="80" w:type="dxa"/>
            </w:tcMar>
          </w:tcPr>
          <w:p w14:paraId="3B710151" w14:textId="77777777" w:rsidR="00072189" w:rsidRDefault="00072189">
            <w:pPr>
              <w:pStyle w:val="Tabletext"/>
            </w:pPr>
            <w:r>
              <w:t>Supports in a plan—whether the funding of full-time in-home care is a reasonable and necessary support (s 34(1))</w:t>
            </w:r>
          </w:p>
        </w:tc>
        <w:tc>
          <w:tcPr>
            <w:tcW w:w="2752" w:type="dxa"/>
            <w:tcBorders>
              <w:top w:val="single" w:sz="2" w:space="0" w:color="8A8A84"/>
              <w:left w:val="single" w:sz="6" w:space="0" w:color="FFFFFF"/>
              <w:bottom w:val="single" w:sz="2" w:space="0" w:color="8A8A84"/>
              <w:right w:val="single" w:sz="6" w:space="0" w:color="000000"/>
            </w:tcBorders>
            <w:shd w:val="solid" w:color="EBE7E2" w:fill="auto"/>
            <w:tcMar>
              <w:top w:w="113" w:type="dxa"/>
              <w:left w:w="113" w:type="dxa"/>
              <w:bottom w:w="113" w:type="dxa"/>
              <w:right w:w="80" w:type="dxa"/>
            </w:tcMar>
          </w:tcPr>
          <w:p w14:paraId="794C55D7" w14:textId="77777777" w:rsidR="00072189" w:rsidRDefault="00072189">
            <w:pPr>
              <w:pStyle w:val="Tabletext"/>
            </w:pPr>
            <w:r>
              <w:t>Agency decision varied—the AAT held that funding for full-time care for a period of six months is reasonable and necessary having regard to what is reasonable to expect families, carers, informal networks and the community to provide</w:t>
            </w:r>
          </w:p>
        </w:tc>
      </w:tr>
      <w:tr w:rsidR="00072189" w14:paraId="2F0196D5" w14:textId="77777777">
        <w:trPr>
          <w:trHeight w:val="60"/>
        </w:trPr>
        <w:tc>
          <w:tcPr>
            <w:tcW w:w="2752" w:type="dxa"/>
            <w:tcBorders>
              <w:top w:val="single" w:sz="2" w:space="0" w:color="8A8A84"/>
              <w:left w:val="single" w:sz="6" w:space="0" w:color="FFFFFF"/>
              <w:bottom w:val="single" w:sz="2" w:space="0" w:color="8A8A84"/>
              <w:right w:val="single" w:sz="6" w:space="0" w:color="000000"/>
            </w:tcBorders>
            <w:shd w:val="solid" w:color="EBE7E2" w:fill="auto"/>
            <w:tcMar>
              <w:top w:w="113" w:type="dxa"/>
              <w:left w:w="113" w:type="dxa"/>
              <w:bottom w:w="113" w:type="dxa"/>
              <w:right w:w="80" w:type="dxa"/>
            </w:tcMar>
          </w:tcPr>
          <w:p w14:paraId="33ED38CB" w14:textId="77777777" w:rsidR="00072189" w:rsidRDefault="00072189">
            <w:pPr>
              <w:pStyle w:val="Tabletextbold"/>
            </w:pPr>
            <w:r>
              <w:t>Mulligan and National Disability Insurance Agency [2015] AATA 974 (17 December 2015)</w:t>
            </w:r>
          </w:p>
        </w:tc>
        <w:tc>
          <w:tcPr>
            <w:tcW w:w="2753" w:type="dxa"/>
            <w:tcBorders>
              <w:top w:val="single" w:sz="2" w:space="0" w:color="8A8A84"/>
              <w:left w:val="single" w:sz="6" w:space="0" w:color="000000"/>
              <w:bottom w:val="single" w:sz="2" w:space="0" w:color="8A8A84"/>
              <w:right w:val="single" w:sz="6" w:space="0" w:color="FFFFFF"/>
            </w:tcBorders>
            <w:shd w:val="solid" w:color="EBE7E2" w:fill="auto"/>
            <w:tcMar>
              <w:top w:w="113" w:type="dxa"/>
              <w:left w:w="113" w:type="dxa"/>
              <w:bottom w:w="113" w:type="dxa"/>
              <w:right w:w="80" w:type="dxa"/>
            </w:tcMar>
          </w:tcPr>
          <w:p w14:paraId="2EA882D7" w14:textId="77777777" w:rsidR="00072189" w:rsidRDefault="00072189">
            <w:pPr>
              <w:pStyle w:val="Tabletext"/>
            </w:pPr>
            <w:r>
              <w:t>Access—whether the applicant satisfies the disability requirements to meet the access criteria (s 24)</w:t>
            </w:r>
          </w:p>
        </w:tc>
        <w:tc>
          <w:tcPr>
            <w:tcW w:w="2752" w:type="dxa"/>
            <w:tcBorders>
              <w:top w:val="single" w:sz="2" w:space="0" w:color="8A8A84"/>
              <w:left w:val="single" w:sz="6" w:space="0" w:color="FFFFFF"/>
              <w:bottom w:val="single" w:sz="2" w:space="0" w:color="8A8A84"/>
              <w:right w:val="single" w:sz="6" w:space="0" w:color="000000"/>
            </w:tcBorders>
            <w:shd w:val="solid" w:color="EBE7E2" w:fill="auto"/>
            <w:tcMar>
              <w:top w:w="113" w:type="dxa"/>
              <w:left w:w="113" w:type="dxa"/>
              <w:bottom w:w="113" w:type="dxa"/>
              <w:right w:w="80" w:type="dxa"/>
            </w:tcMar>
          </w:tcPr>
          <w:p w14:paraId="11B02ED7" w14:textId="77777777" w:rsidR="00072189" w:rsidRDefault="00072189">
            <w:pPr>
              <w:pStyle w:val="Tabletext"/>
            </w:pPr>
            <w:r>
              <w:t>Agency decision affirmed—the AAT held that the applicant did not meet the disability requirements because it was not satisfied that the applicant had an impairment that was, or was likely to be, permanent that results in substantially reduced functional capacity</w:t>
            </w:r>
          </w:p>
        </w:tc>
      </w:tr>
      <w:tr w:rsidR="00072189" w14:paraId="66A4E2D3" w14:textId="77777777">
        <w:trPr>
          <w:trHeight w:val="60"/>
        </w:trPr>
        <w:tc>
          <w:tcPr>
            <w:tcW w:w="2752" w:type="dxa"/>
            <w:tcBorders>
              <w:top w:val="single" w:sz="2" w:space="0" w:color="8A8A84"/>
              <w:left w:val="single" w:sz="6" w:space="0" w:color="FFFFFF"/>
              <w:bottom w:val="single" w:sz="2" w:space="0" w:color="8A8A84"/>
              <w:right w:val="single" w:sz="6" w:space="0" w:color="000000"/>
            </w:tcBorders>
            <w:shd w:val="solid" w:color="EBE7E2" w:fill="auto"/>
            <w:tcMar>
              <w:top w:w="113" w:type="dxa"/>
              <w:left w:w="113" w:type="dxa"/>
              <w:bottom w:w="113" w:type="dxa"/>
              <w:right w:w="80" w:type="dxa"/>
            </w:tcMar>
          </w:tcPr>
          <w:p w14:paraId="6B04255B" w14:textId="77777777" w:rsidR="00072189" w:rsidRDefault="00072189">
            <w:pPr>
              <w:pStyle w:val="Tabletextbold"/>
            </w:pPr>
            <w:r>
              <w:t>QQNH and National Disability Insurance Agency [2016] AATA 220 (23 February 2016)</w:t>
            </w:r>
          </w:p>
        </w:tc>
        <w:tc>
          <w:tcPr>
            <w:tcW w:w="2753" w:type="dxa"/>
            <w:tcBorders>
              <w:top w:val="single" w:sz="2" w:space="0" w:color="8A8A84"/>
              <w:left w:val="single" w:sz="6" w:space="0" w:color="000000"/>
              <w:bottom w:val="single" w:sz="2" w:space="0" w:color="8A8A84"/>
              <w:right w:val="single" w:sz="6" w:space="0" w:color="FFFFFF"/>
            </w:tcBorders>
            <w:shd w:val="solid" w:color="EBE7E2" w:fill="auto"/>
            <w:tcMar>
              <w:top w:w="113" w:type="dxa"/>
              <w:left w:w="113" w:type="dxa"/>
              <w:bottom w:w="113" w:type="dxa"/>
              <w:right w:w="80" w:type="dxa"/>
            </w:tcMar>
          </w:tcPr>
          <w:p w14:paraId="191A108E" w14:textId="77777777" w:rsidR="00072189" w:rsidRDefault="00072189">
            <w:pPr>
              <w:pStyle w:val="Tabletext"/>
            </w:pPr>
            <w:r>
              <w:t>Jurisdiction—whether the Agency made a decision that the AAT has the jurisdiction to review</w:t>
            </w:r>
          </w:p>
        </w:tc>
        <w:tc>
          <w:tcPr>
            <w:tcW w:w="2752" w:type="dxa"/>
            <w:tcBorders>
              <w:top w:val="single" w:sz="2" w:space="0" w:color="8A8A84"/>
              <w:left w:val="single" w:sz="6" w:space="0" w:color="FFFFFF"/>
              <w:bottom w:val="single" w:sz="2" w:space="0" w:color="8A8A84"/>
              <w:right w:val="single" w:sz="6" w:space="0" w:color="000000"/>
            </w:tcBorders>
            <w:shd w:val="solid" w:color="EBE7E2" w:fill="auto"/>
            <w:tcMar>
              <w:top w:w="113" w:type="dxa"/>
              <w:left w:w="113" w:type="dxa"/>
              <w:bottom w:w="113" w:type="dxa"/>
              <w:right w:w="80" w:type="dxa"/>
            </w:tcMar>
          </w:tcPr>
          <w:p w14:paraId="17F9D674" w14:textId="77777777" w:rsidR="00072189" w:rsidRDefault="00072189">
            <w:pPr>
              <w:pStyle w:val="Tabletext"/>
            </w:pPr>
            <w:r>
              <w:t>The AAT held that it does not have jurisdiction to review a decision because no decision had been made of the sort that could be reviewed by the AAT</w:t>
            </w:r>
          </w:p>
        </w:tc>
      </w:tr>
    </w:tbl>
    <w:p w14:paraId="5E9EABD1" w14:textId="77777777" w:rsidR="00072189" w:rsidRDefault="00072189" w:rsidP="00072189">
      <w:pPr>
        <w:pStyle w:val="BodyCopy"/>
      </w:pPr>
    </w:p>
    <w:p w14:paraId="083251BD" w14:textId="77777777" w:rsidR="00072189" w:rsidRDefault="00072189" w:rsidP="00072189">
      <w:pPr>
        <w:pStyle w:val="BodyCopy"/>
      </w:pPr>
      <w:r>
        <w:t>There were no Federal Court appeals in this financial year, compared to one in 2014–15.</w:t>
      </w:r>
    </w:p>
    <w:p w14:paraId="0D7666DA" w14:textId="01D93F82" w:rsidR="00072189" w:rsidRDefault="00072189" w:rsidP="00BB72F8">
      <w:pPr>
        <w:pStyle w:val="Heading3"/>
      </w:pPr>
      <w:r>
        <w:t>Freedom of information</w:t>
      </w:r>
    </w:p>
    <w:p w14:paraId="12546C99" w14:textId="77777777" w:rsidR="00072189" w:rsidRDefault="00072189" w:rsidP="00072189">
      <w:pPr>
        <w:pStyle w:val="BodyCopy"/>
      </w:pPr>
      <w:r>
        <w:t xml:space="preserve">Under the </w:t>
      </w:r>
      <w:r>
        <w:rPr>
          <w:rStyle w:val="Lightitalic"/>
        </w:rPr>
        <w:t>Freedom of Information Act 1982</w:t>
      </w:r>
      <w:r>
        <w:t xml:space="preserve"> (FOI Act), the Agency is required to publish information to the public as part of the Information Publication Scheme (IPS). This requirement is set out in Part II of the FOI Act and has replaced the former requirement to publish a section 8 statement in an annual report. The Agency has displayed on its website a plan showing what information it publishes in accordance with the IPS requirements. The Agency’s IPS can be accessed on the NDIS website. </w:t>
      </w:r>
    </w:p>
    <w:p w14:paraId="4BD6F449" w14:textId="77777777" w:rsidR="00072189" w:rsidRDefault="00072189" w:rsidP="00072189">
      <w:pPr>
        <w:pStyle w:val="BodyCopy"/>
      </w:pPr>
      <w:r>
        <w:t>The FOI Act gives any person the right to access copies of documents held by the Agency, ask for information the Agency holds about them to be changed or annotated and to seek review of the Agency’s decision not to allow the person access to a copy of a document. Where the Agency does not provide full access to a requested document, a person can ask the Agency to review its decision or ask the Office of Australian Information Commissioner (OAIC) to review the Agency’s decision. A person may also complain to OAIC about how the Agency handled their request and OAIC may investigate the complaint and make recommendations about how the Agency should handle requests.</w:t>
      </w:r>
    </w:p>
    <w:p w14:paraId="10667209" w14:textId="77777777" w:rsidR="00072189" w:rsidRDefault="00072189" w:rsidP="00072189">
      <w:pPr>
        <w:pStyle w:val="BodyCopy"/>
      </w:pPr>
      <w:r>
        <w:t>During 2015–16, the Agency received 31 requests for access to copies of documents. There was one request for internal review of an access decision. There were no requests for OAIC to review the Agency’s access decisions or complaints to OAIC.</w:t>
      </w:r>
    </w:p>
    <w:p w14:paraId="45316AC2" w14:textId="1F941B27" w:rsidR="00072189" w:rsidRDefault="00072189" w:rsidP="00BB72F8">
      <w:pPr>
        <w:pStyle w:val="Heading3"/>
      </w:pPr>
      <w:r>
        <w:lastRenderedPageBreak/>
        <w:t>Ombudsman complaints</w:t>
      </w:r>
    </w:p>
    <w:p w14:paraId="13D963C1" w14:textId="77777777" w:rsidR="00072189" w:rsidRDefault="00072189" w:rsidP="00072189">
      <w:pPr>
        <w:pStyle w:val="BodyCopy"/>
      </w:pPr>
      <w:r>
        <w:t xml:space="preserve">The Commonwealth Ombudsman received 26 complaints about the Agency during 2015–16. </w:t>
      </w:r>
      <w:r>
        <w:br/>
        <w:t xml:space="preserve">The Agency provided file material and responses to the Ombudsman’s questions. The Ombudsman closed 16 of the matters. Of the 26 complaints 16 were </w:t>
      </w:r>
      <w:proofErr w:type="spellStart"/>
      <w:r>
        <w:t>finalised</w:t>
      </w:r>
      <w:proofErr w:type="spellEnd"/>
      <w:r>
        <w:t xml:space="preserve"> without further action.</w:t>
      </w:r>
    </w:p>
    <w:p w14:paraId="15D49D56" w14:textId="05519109" w:rsidR="00072189" w:rsidRDefault="00072189" w:rsidP="00B20B38">
      <w:pPr>
        <w:pStyle w:val="Heading3"/>
      </w:pPr>
      <w:r>
        <w:t>Privacy Act</w:t>
      </w:r>
    </w:p>
    <w:p w14:paraId="18A4A4E4" w14:textId="77777777" w:rsidR="00072189" w:rsidRDefault="00072189" w:rsidP="00072189">
      <w:pPr>
        <w:pStyle w:val="BodyCopy"/>
      </w:pPr>
      <w:r>
        <w:t xml:space="preserve">The Agency complies with its privacy obligations as required under both the </w:t>
      </w:r>
      <w:r>
        <w:rPr>
          <w:rStyle w:val="Lightitalic"/>
        </w:rPr>
        <w:t>Privacy Act 1988 and the National Disability Insurance Scheme Act 2013</w:t>
      </w:r>
      <w:r>
        <w:t xml:space="preserve"> (NDIS Act).</w:t>
      </w:r>
    </w:p>
    <w:p w14:paraId="7F567E97" w14:textId="77777777" w:rsidR="00072189" w:rsidRDefault="00072189" w:rsidP="00072189">
      <w:pPr>
        <w:pStyle w:val="BodyCopy"/>
      </w:pPr>
      <w:r>
        <w:t>Compliance includes the Agency ensuring its practices and procedures are consistent with requirements under the Australian Privacy Principles, such as having an established privacy policy and maintaining a privacy incident and complaints register.</w:t>
      </w:r>
    </w:p>
    <w:p w14:paraId="344356CD" w14:textId="77777777" w:rsidR="00072189" w:rsidRDefault="00072189" w:rsidP="00072189">
      <w:pPr>
        <w:pStyle w:val="BodyCopy"/>
      </w:pPr>
      <w:r>
        <w:t>The Agency actively promotes privacy awareness through the appointment of a Privacy Contact Officer and through the ongoing development of training materials for Agency staff. Advice is also provided to staff regarding the Agency’s privacy obligations under law, particularly as it relates to ensuring promotion of one of the general principles guiding actions under NDIS Act, which is to ensure that people with disability have their privacy and dignity respected.</w:t>
      </w:r>
    </w:p>
    <w:p w14:paraId="3C380E22" w14:textId="4305351C" w:rsidR="003076FF" w:rsidRDefault="003076FF" w:rsidP="0001452B">
      <w:pPr>
        <w:pStyle w:val="Heading2"/>
      </w:pPr>
      <w:bookmarkStart w:id="79" w:name="_Toc464482126"/>
      <w:r>
        <w:lastRenderedPageBreak/>
        <w:t>Facilities and Workplace Health and Safety</w:t>
      </w:r>
      <w:bookmarkEnd w:id="79"/>
    </w:p>
    <w:p w14:paraId="4D83093D" w14:textId="67A04498" w:rsidR="003076FF" w:rsidRDefault="003076FF" w:rsidP="00401AB2">
      <w:pPr>
        <w:pStyle w:val="Heading3"/>
      </w:pPr>
      <w:r>
        <w:t>National Office</w:t>
      </w:r>
    </w:p>
    <w:p w14:paraId="37064FAA" w14:textId="77777777" w:rsidR="003076FF" w:rsidRDefault="003076FF" w:rsidP="003076FF">
      <w:pPr>
        <w:pStyle w:val="IntroPara"/>
      </w:pPr>
      <w:r>
        <w:t xml:space="preserve">The Agency is currently conducting the tender selection process for the new National Office in Geelong, Victoria. </w:t>
      </w:r>
    </w:p>
    <w:p w14:paraId="082AF2D2" w14:textId="77777777" w:rsidR="003076FF" w:rsidRDefault="003076FF" w:rsidP="003076FF">
      <w:pPr>
        <w:pStyle w:val="BodyCopy"/>
      </w:pPr>
      <w:r>
        <w:t>The design specifications for the new National Office will deliver the highest standard of accessibility and bring to life a modern building with the capacity to accommodate the required workforce for delivery of a government agency service to the entire country.</w:t>
      </w:r>
    </w:p>
    <w:p w14:paraId="72B20F65" w14:textId="6C2F718E" w:rsidR="003076FF" w:rsidRDefault="003076FF" w:rsidP="00401AB2">
      <w:pPr>
        <w:pStyle w:val="Heading3"/>
      </w:pPr>
      <w:r>
        <w:t>Work health and safety performance</w:t>
      </w:r>
    </w:p>
    <w:p w14:paraId="34057CDE" w14:textId="77777777" w:rsidR="003076FF" w:rsidRDefault="003076FF" w:rsidP="003076FF">
      <w:pPr>
        <w:pStyle w:val="BodyCopy"/>
      </w:pPr>
      <w:r>
        <w:t xml:space="preserve">The Agency acknowledges its employer responsibilities under the </w:t>
      </w:r>
      <w:r>
        <w:rPr>
          <w:rStyle w:val="Lightitalic"/>
        </w:rPr>
        <w:t>Work Health and Safety Act 2011</w:t>
      </w:r>
      <w:r>
        <w:t xml:space="preserve"> (WHS Act), the </w:t>
      </w:r>
      <w:r>
        <w:rPr>
          <w:rStyle w:val="Lightitalic"/>
        </w:rPr>
        <w:t>Safety, Rehabilitation and Compensation Act 1988</w:t>
      </w:r>
      <w:r>
        <w:t xml:space="preserve"> and anti-discrimination legislation.</w:t>
      </w:r>
    </w:p>
    <w:p w14:paraId="51942F22" w14:textId="77777777" w:rsidR="003076FF" w:rsidRDefault="003076FF" w:rsidP="003076FF">
      <w:pPr>
        <w:pStyle w:val="BodyCopy"/>
      </w:pPr>
      <w:r>
        <w:t xml:space="preserve">The Agency takes all reasonably practicable measures to protect the health, safety and welfare of its workers while at work, including providing a safe work environment. The Agency’s Work Health and Safety Policy, and Health and Safety Management Arrangements promote consultation, prevention and early intervention and are aligned with the Agency’s belief in looking after and valuing its people. The Agency </w:t>
      </w:r>
      <w:proofErr w:type="spellStart"/>
      <w:r>
        <w:t>recognises</w:t>
      </w:r>
      <w:proofErr w:type="spellEnd"/>
      <w:r>
        <w:t xml:space="preserve"> that effective health and safety management systems are good business practice and reduce work-related injury and illness costs. The Agency supports access to information about overall health and wellbeing for its people.</w:t>
      </w:r>
    </w:p>
    <w:p w14:paraId="3CE10710" w14:textId="1FF334D1" w:rsidR="003076FF" w:rsidRDefault="003076FF" w:rsidP="003076FF">
      <w:pPr>
        <w:pStyle w:val="Heading3"/>
      </w:pPr>
      <w:r>
        <w:t>Specific actions taken in 2015–16 included:</w:t>
      </w:r>
    </w:p>
    <w:p w14:paraId="1FD8D73E" w14:textId="77777777" w:rsidR="003076FF" w:rsidRDefault="003076FF" w:rsidP="003076FF">
      <w:pPr>
        <w:pStyle w:val="BodyBullets"/>
      </w:pPr>
      <w:r>
        <w:t>Engagement of external auditors to audit both Work Health and Safety (WHS) and rehabilitation management systems to assist the agency to identify where further growth of these systems is required ensuring continued compliance with legislative requirements.</w:t>
      </w:r>
    </w:p>
    <w:p w14:paraId="5CC6249D" w14:textId="77777777" w:rsidR="003076FF" w:rsidRDefault="003076FF" w:rsidP="003076FF">
      <w:pPr>
        <w:pStyle w:val="BodyBullets"/>
        <w:spacing w:before="43"/>
      </w:pPr>
      <w:r>
        <w:t>Due diligence training for Agency officers rolled out.</w:t>
      </w:r>
    </w:p>
    <w:p w14:paraId="387772A1" w14:textId="77777777" w:rsidR="003076FF" w:rsidRDefault="003076FF" w:rsidP="003076FF">
      <w:pPr>
        <w:pStyle w:val="BodyBullets"/>
        <w:spacing w:before="43"/>
      </w:pPr>
      <w:r>
        <w:t>Health and wellbeing and injury and illness management webpages including a suite of documents to support both managers and staff was added to the WHS intranet page.</w:t>
      </w:r>
    </w:p>
    <w:p w14:paraId="59754AED" w14:textId="77777777" w:rsidR="003076FF" w:rsidRDefault="003076FF" w:rsidP="003076FF">
      <w:pPr>
        <w:pStyle w:val="BodyBullets"/>
        <w:spacing w:before="43"/>
      </w:pPr>
      <w:r>
        <w:t>Health and Safety Representative Network was consolidated and supported by the endorsement of the Work Health and Safety arrangements.</w:t>
      </w:r>
    </w:p>
    <w:p w14:paraId="03C84808" w14:textId="77777777" w:rsidR="003076FF" w:rsidRDefault="003076FF" w:rsidP="003076FF">
      <w:pPr>
        <w:pStyle w:val="BodyBullets"/>
        <w:spacing w:before="43"/>
      </w:pPr>
      <w:r>
        <w:t>Implementation of the Work Health and Safety e-learning package.</w:t>
      </w:r>
    </w:p>
    <w:p w14:paraId="35801DE5" w14:textId="77777777" w:rsidR="003076FF" w:rsidRDefault="003076FF" w:rsidP="003076FF">
      <w:pPr>
        <w:pStyle w:val="BodyBullets"/>
        <w:spacing w:before="43"/>
      </w:pPr>
      <w:r>
        <w:t>Wellbeing Champions Network launched.</w:t>
      </w:r>
    </w:p>
    <w:p w14:paraId="0F079C82" w14:textId="77777777" w:rsidR="003076FF" w:rsidRDefault="003076FF" w:rsidP="003076FF">
      <w:pPr>
        <w:pStyle w:val="BodyBullets"/>
        <w:spacing w:before="43"/>
      </w:pPr>
      <w:r>
        <w:t>Prevention of psychosocial injury training delivered nationwide.</w:t>
      </w:r>
    </w:p>
    <w:p w14:paraId="320BD130" w14:textId="77777777" w:rsidR="003076FF" w:rsidRDefault="003076FF" w:rsidP="003076FF">
      <w:pPr>
        <w:pStyle w:val="BodyBullets"/>
        <w:spacing w:before="43"/>
      </w:pPr>
      <w:r>
        <w:t>176 workstation assessments were undertaken.</w:t>
      </w:r>
    </w:p>
    <w:p w14:paraId="0A64ED7E" w14:textId="77777777" w:rsidR="003076FF" w:rsidRDefault="003076FF" w:rsidP="003076FF">
      <w:pPr>
        <w:pStyle w:val="BodyBullets"/>
        <w:spacing w:before="43"/>
      </w:pPr>
      <w:r>
        <w:t>Rollout of the Agency’s Workplace Health and Safety Early Intervention Program inclusive of training.</w:t>
      </w:r>
    </w:p>
    <w:p w14:paraId="5CF7A016" w14:textId="77777777" w:rsidR="003076FF" w:rsidRDefault="003076FF" w:rsidP="003076FF">
      <w:pPr>
        <w:pStyle w:val="BodyBullets-last"/>
        <w:spacing w:before="43"/>
      </w:pPr>
      <w:r>
        <w:t>Over 376 staff participated in the influenza vaccination program.</w:t>
      </w:r>
    </w:p>
    <w:p w14:paraId="22C5575E" w14:textId="77777777" w:rsidR="003076FF" w:rsidRDefault="003076FF" w:rsidP="003076FF">
      <w:pPr>
        <w:pStyle w:val="BodyCopy"/>
        <w:spacing w:before="0"/>
      </w:pPr>
      <w:r>
        <w:t xml:space="preserve">The Agency will develop an evaluation framework to assess the efficiency of its current and future workplace health and safety initiatives. </w:t>
      </w:r>
    </w:p>
    <w:p w14:paraId="07B56FCB" w14:textId="54B9C7A0" w:rsidR="003076FF" w:rsidRDefault="003076FF" w:rsidP="0001452B">
      <w:pPr>
        <w:pStyle w:val="Heading2"/>
      </w:pPr>
      <w:bookmarkStart w:id="80" w:name="_Toc464482127"/>
      <w:r>
        <w:lastRenderedPageBreak/>
        <w:t>Reportable items</w:t>
      </w:r>
      <w:bookmarkEnd w:id="80"/>
    </w:p>
    <w:p w14:paraId="568E6C87" w14:textId="77777777" w:rsidR="003076FF" w:rsidRDefault="003076FF" w:rsidP="003076FF">
      <w:pPr>
        <w:pStyle w:val="IntroPara"/>
      </w:pPr>
      <w:r>
        <w:t>In 2015–16, the Agency reported zero incidents pursuant to section 38 of the WHS Act. The Agency undertook no investigations under Part 10 of the WHS Act.</w:t>
      </w:r>
    </w:p>
    <w:p w14:paraId="30E65035" w14:textId="77777777" w:rsidR="003076FF" w:rsidRDefault="003076FF" w:rsidP="003076FF">
      <w:pPr>
        <w:pStyle w:val="BodyCopy"/>
      </w:pPr>
      <w:r>
        <w:t>The WHS Act requires the Agency to provide statistics of any notifiable incidents of which it became aware of during the year that arose out of the conduct of business or undertakings by the entity, and any investigations conducted and notices given. Table 16 provides a summary in accordance with the WHS Act.</w:t>
      </w:r>
    </w:p>
    <w:p w14:paraId="0E9FE0F1" w14:textId="5F2D442D" w:rsidR="003076FF" w:rsidRDefault="003076FF" w:rsidP="0001452B">
      <w:pPr>
        <w:pStyle w:val="Heading3Tables"/>
      </w:pPr>
      <w:bookmarkStart w:id="81" w:name="_Toc464481233"/>
      <w:r>
        <w:t>Table 12: Summary of incidents pursuant to section 38 of the WHS Act</w:t>
      </w:r>
      <w:bookmarkEnd w:id="81"/>
    </w:p>
    <w:tbl>
      <w:tblPr>
        <w:tblW w:w="0" w:type="auto"/>
        <w:tblInd w:w="-8" w:type="dxa"/>
        <w:tblLayout w:type="fixed"/>
        <w:tblCellMar>
          <w:left w:w="0" w:type="dxa"/>
          <w:right w:w="0" w:type="dxa"/>
        </w:tblCellMar>
        <w:tblLook w:val="0000" w:firstRow="0" w:lastRow="0" w:firstColumn="0" w:lastColumn="0" w:noHBand="0" w:noVBand="0"/>
      </w:tblPr>
      <w:tblGrid>
        <w:gridCol w:w="6860"/>
        <w:gridCol w:w="1427"/>
      </w:tblGrid>
      <w:tr w:rsidR="003076FF" w14:paraId="387FB2E3" w14:textId="77777777">
        <w:trPr>
          <w:trHeight w:val="60"/>
          <w:tblHeader/>
        </w:trPr>
        <w:tc>
          <w:tcPr>
            <w:tcW w:w="6860" w:type="dxa"/>
            <w:tcBorders>
              <w:top w:val="single" w:sz="6" w:space="0" w:color="FFFFFF"/>
              <w:left w:val="single" w:sz="6" w:space="0" w:color="FFFFFF"/>
              <w:bottom w:val="single" w:sz="6" w:space="0" w:color="8A8A84"/>
              <w:right w:val="single" w:sz="6" w:space="0" w:color="FFFFFF"/>
            </w:tcBorders>
            <w:shd w:val="solid" w:color="000000" w:fill="auto"/>
            <w:tcMar>
              <w:top w:w="113" w:type="dxa"/>
              <w:left w:w="113" w:type="dxa"/>
              <w:bottom w:w="113" w:type="dxa"/>
              <w:right w:w="80" w:type="dxa"/>
            </w:tcMar>
          </w:tcPr>
          <w:p w14:paraId="26852F4E" w14:textId="77777777" w:rsidR="003076FF" w:rsidRDefault="003076FF">
            <w:pPr>
              <w:pStyle w:val="Tableheader"/>
            </w:pPr>
            <w:bookmarkStart w:id="82" w:name="Title_Table12" w:colFirst="0" w:colLast="0"/>
            <w:r>
              <w:t>Action</w:t>
            </w:r>
          </w:p>
        </w:tc>
        <w:tc>
          <w:tcPr>
            <w:tcW w:w="1427" w:type="dxa"/>
            <w:tcBorders>
              <w:top w:val="single" w:sz="6" w:space="0" w:color="FFFFFF"/>
              <w:left w:val="single" w:sz="6" w:space="0" w:color="FFFFFF"/>
              <w:bottom w:val="single" w:sz="6" w:space="0" w:color="8A8A84"/>
              <w:right w:val="single" w:sz="6" w:space="0" w:color="FFFFFF"/>
            </w:tcBorders>
            <w:shd w:val="solid" w:color="000000" w:fill="auto"/>
            <w:tcMar>
              <w:top w:w="113" w:type="dxa"/>
              <w:left w:w="113" w:type="dxa"/>
              <w:bottom w:w="113" w:type="dxa"/>
              <w:right w:w="80" w:type="dxa"/>
            </w:tcMar>
          </w:tcPr>
          <w:p w14:paraId="5E748E30" w14:textId="77777777" w:rsidR="003076FF" w:rsidRDefault="003076FF">
            <w:pPr>
              <w:pStyle w:val="Tableheader"/>
              <w:jc w:val="right"/>
            </w:pPr>
            <w:r>
              <w:t>Number</w:t>
            </w:r>
          </w:p>
        </w:tc>
      </w:tr>
      <w:bookmarkEnd w:id="82"/>
      <w:tr w:rsidR="003076FF" w14:paraId="6F3D79A2" w14:textId="77777777">
        <w:trPr>
          <w:trHeight w:val="60"/>
        </w:trPr>
        <w:tc>
          <w:tcPr>
            <w:tcW w:w="6860" w:type="dxa"/>
            <w:tcBorders>
              <w:top w:val="single" w:sz="2" w:space="0" w:color="8A8A84"/>
              <w:left w:val="single" w:sz="6" w:space="0" w:color="FFFFFF"/>
              <w:bottom w:val="single" w:sz="2" w:space="0" w:color="8A8A84"/>
              <w:right w:val="single" w:sz="6" w:space="0" w:color="FFFFFF"/>
            </w:tcBorders>
            <w:shd w:val="solid" w:color="EBE7E2" w:fill="auto"/>
            <w:tcMar>
              <w:top w:w="113" w:type="dxa"/>
              <w:left w:w="113" w:type="dxa"/>
              <w:bottom w:w="113" w:type="dxa"/>
              <w:right w:w="80" w:type="dxa"/>
            </w:tcMar>
          </w:tcPr>
          <w:p w14:paraId="15FE7413" w14:textId="77777777" w:rsidR="003076FF" w:rsidRDefault="003076FF">
            <w:pPr>
              <w:pStyle w:val="Tabletextbold"/>
            </w:pPr>
            <w:r>
              <w:t xml:space="preserve">Death of a person that required notice to </w:t>
            </w:r>
            <w:proofErr w:type="spellStart"/>
            <w:r>
              <w:t>Comcare</w:t>
            </w:r>
            <w:proofErr w:type="spellEnd"/>
            <w:r>
              <w:t xml:space="preserve"> under s 35</w:t>
            </w:r>
          </w:p>
        </w:tc>
        <w:tc>
          <w:tcPr>
            <w:tcW w:w="1427" w:type="dxa"/>
            <w:tcBorders>
              <w:top w:val="single" w:sz="2" w:space="0" w:color="8A8A84"/>
              <w:left w:val="single" w:sz="6" w:space="0" w:color="FFFFFF"/>
              <w:bottom w:val="single" w:sz="2" w:space="0" w:color="8A8A84"/>
              <w:right w:val="single" w:sz="6" w:space="0" w:color="000000"/>
            </w:tcBorders>
            <w:shd w:val="solid" w:color="EBE7E2" w:fill="auto"/>
            <w:tcMar>
              <w:top w:w="113" w:type="dxa"/>
              <w:left w:w="113" w:type="dxa"/>
              <w:bottom w:w="113" w:type="dxa"/>
              <w:right w:w="80" w:type="dxa"/>
            </w:tcMar>
          </w:tcPr>
          <w:p w14:paraId="5DB7CCED" w14:textId="77777777" w:rsidR="003076FF" w:rsidRDefault="003076FF">
            <w:pPr>
              <w:pStyle w:val="Tabletext"/>
              <w:jc w:val="right"/>
            </w:pPr>
            <w:r>
              <w:t>0</w:t>
            </w:r>
          </w:p>
        </w:tc>
      </w:tr>
      <w:tr w:rsidR="003076FF" w14:paraId="3D489C38" w14:textId="77777777">
        <w:trPr>
          <w:trHeight w:val="60"/>
        </w:trPr>
        <w:tc>
          <w:tcPr>
            <w:tcW w:w="6860" w:type="dxa"/>
            <w:tcBorders>
              <w:top w:val="single" w:sz="2" w:space="0" w:color="8A8A84"/>
              <w:left w:val="single" w:sz="6" w:space="0" w:color="FFFFFF"/>
              <w:bottom w:val="single" w:sz="2" w:space="0" w:color="8A8A84"/>
              <w:right w:val="single" w:sz="6" w:space="0" w:color="FFFFFF"/>
            </w:tcBorders>
            <w:shd w:val="solid" w:color="EBE7E2" w:fill="auto"/>
            <w:tcMar>
              <w:top w:w="113" w:type="dxa"/>
              <w:left w:w="113" w:type="dxa"/>
              <w:bottom w:w="113" w:type="dxa"/>
              <w:right w:w="80" w:type="dxa"/>
            </w:tcMar>
          </w:tcPr>
          <w:p w14:paraId="24703E61" w14:textId="77777777" w:rsidR="003076FF" w:rsidRDefault="003076FF">
            <w:pPr>
              <w:pStyle w:val="Tabletextbold"/>
            </w:pPr>
            <w:r>
              <w:t xml:space="preserve">Serious injury or illness of a person that required notification to </w:t>
            </w:r>
            <w:proofErr w:type="spellStart"/>
            <w:r>
              <w:t>Comcare</w:t>
            </w:r>
            <w:proofErr w:type="spellEnd"/>
            <w:r>
              <w:t xml:space="preserve"> under s 35</w:t>
            </w:r>
          </w:p>
        </w:tc>
        <w:tc>
          <w:tcPr>
            <w:tcW w:w="1427" w:type="dxa"/>
            <w:tcBorders>
              <w:top w:val="single" w:sz="2" w:space="0" w:color="8A8A84"/>
              <w:left w:val="single" w:sz="6" w:space="0" w:color="FFFFFF"/>
              <w:bottom w:val="single" w:sz="2" w:space="0" w:color="8A8A84"/>
              <w:right w:val="single" w:sz="6" w:space="0" w:color="000000"/>
            </w:tcBorders>
            <w:shd w:val="solid" w:color="EBE7E2" w:fill="auto"/>
            <w:tcMar>
              <w:top w:w="113" w:type="dxa"/>
              <w:left w:w="113" w:type="dxa"/>
              <w:bottom w:w="113" w:type="dxa"/>
              <w:right w:w="80" w:type="dxa"/>
            </w:tcMar>
          </w:tcPr>
          <w:p w14:paraId="0115D2E7" w14:textId="77777777" w:rsidR="003076FF" w:rsidRDefault="003076FF">
            <w:pPr>
              <w:pStyle w:val="Tabletext"/>
              <w:jc w:val="right"/>
            </w:pPr>
            <w:r>
              <w:t>0</w:t>
            </w:r>
          </w:p>
        </w:tc>
      </w:tr>
      <w:tr w:rsidR="003076FF" w14:paraId="383D6B04" w14:textId="77777777">
        <w:trPr>
          <w:trHeight w:val="60"/>
        </w:trPr>
        <w:tc>
          <w:tcPr>
            <w:tcW w:w="6860" w:type="dxa"/>
            <w:tcBorders>
              <w:top w:val="single" w:sz="2" w:space="0" w:color="8A8A84"/>
              <w:left w:val="single" w:sz="6" w:space="0" w:color="FFFFFF"/>
              <w:bottom w:val="single" w:sz="2" w:space="0" w:color="8A8A84"/>
              <w:right w:val="single" w:sz="6" w:space="0" w:color="FFFFFF"/>
            </w:tcBorders>
            <w:shd w:val="solid" w:color="EBE7E2" w:fill="auto"/>
            <w:tcMar>
              <w:top w:w="113" w:type="dxa"/>
              <w:left w:w="113" w:type="dxa"/>
              <w:bottom w:w="113" w:type="dxa"/>
              <w:right w:w="80" w:type="dxa"/>
            </w:tcMar>
          </w:tcPr>
          <w:p w14:paraId="259DE1F2" w14:textId="77777777" w:rsidR="003076FF" w:rsidRDefault="003076FF">
            <w:pPr>
              <w:pStyle w:val="Tabletextbold"/>
            </w:pPr>
            <w:r>
              <w:t xml:space="preserve">Dangerous incident that required notification to </w:t>
            </w:r>
            <w:proofErr w:type="spellStart"/>
            <w:r>
              <w:t>Comcare</w:t>
            </w:r>
            <w:proofErr w:type="spellEnd"/>
            <w:r>
              <w:t xml:space="preserve"> under s 35</w:t>
            </w:r>
          </w:p>
        </w:tc>
        <w:tc>
          <w:tcPr>
            <w:tcW w:w="1427" w:type="dxa"/>
            <w:tcBorders>
              <w:top w:val="single" w:sz="2" w:space="0" w:color="8A8A84"/>
              <w:left w:val="single" w:sz="6" w:space="0" w:color="FFFFFF"/>
              <w:bottom w:val="single" w:sz="2" w:space="0" w:color="8A8A84"/>
              <w:right w:val="single" w:sz="6" w:space="0" w:color="000000"/>
            </w:tcBorders>
            <w:shd w:val="solid" w:color="EBE7E2" w:fill="auto"/>
            <w:tcMar>
              <w:top w:w="113" w:type="dxa"/>
              <w:left w:w="113" w:type="dxa"/>
              <w:bottom w:w="113" w:type="dxa"/>
              <w:right w:w="80" w:type="dxa"/>
            </w:tcMar>
          </w:tcPr>
          <w:p w14:paraId="34F1B870" w14:textId="77777777" w:rsidR="003076FF" w:rsidRDefault="003076FF">
            <w:pPr>
              <w:pStyle w:val="Tabletext"/>
              <w:jc w:val="right"/>
            </w:pPr>
            <w:r>
              <w:t>0</w:t>
            </w:r>
          </w:p>
        </w:tc>
      </w:tr>
      <w:tr w:rsidR="003076FF" w14:paraId="1DAA3E44" w14:textId="77777777">
        <w:trPr>
          <w:trHeight w:val="60"/>
        </w:trPr>
        <w:tc>
          <w:tcPr>
            <w:tcW w:w="6860" w:type="dxa"/>
            <w:tcBorders>
              <w:top w:val="single" w:sz="2" w:space="0" w:color="8A8A84"/>
              <w:left w:val="single" w:sz="6" w:space="0" w:color="FFFFFF"/>
              <w:bottom w:val="single" w:sz="2" w:space="0" w:color="8A8A84"/>
              <w:right w:val="single" w:sz="6" w:space="0" w:color="FFFFFF"/>
            </w:tcBorders>
            <w:shd w:val="solid" w:color="EBE7E2" w:fill="auto"/>
            <w:tcMar>
              <w:top w:w="113" w:type="dxa"/>
              <w:left w:w="113" w:type="dxa"/>
              <w:bottom w:w="113" w:type="dxa"/>
              <w:right w:w="80" w:type="dxa"/>
            </w:tcMar>
          </w:tcPr>
          <w:p w14:paraId="273F597D" w14:textId="77777777" w:rsidR="003076FF" w:rsidRDefault="003076FF">
            <w:pPr>
              <w:pStyle w:val="Tabletextbold"/>
            </w:pPr>
            <w:r>
              <w:t>Investigation conducted under Part 10</w:t>
            </w:r>
          </w:p>
        </w:tc>
        <w:tc>
          <w:tcPr>
            <w:tcW w:w="1427" w:type="dxa"/>
            <w:tcBorders>
              <w:top w:val="single" w:sz="2" w:space="0" w:color="8A8A84"/>
              <w:left w:val="single" w:sz="6" w:space="0" w:color="FFFFFF"/>
              <w:bottom w:val="single" w:sz="2" w:space="0" w:color="8A8A84"/>
              <w:right w:val="single" w:sz="6" w:space="0" w:color="000000"/>
            </w:tcBorders>
            <w:shd w:val="solid" w:color="EBE7E2" w:fill="auto"/>
            <w:tcMar>
              <w:top w:w="113" w:type="dxa"/>
              <w:left w:w="113" w:type="dxa"/>
              <w:bottom w:w="113" w:type="dxa"/>
              <w:right w:w="80" w:type="dxa"/>
            </w:tcMar>
          </w:tcPr>
          <w:p w14:paraId="4458CC81" w14:textId="77777777" w:rsidR="003076FF" w:rsidRDefault="003076FF">
            <w:pPr>
              <w:pStyle w:val="Tabletext"/>
              <w:jc w:val="right"/>
            </w:pPr>
            <w:r>
              <w:t>0</w:t>
            </w:r>
          </w:p>
        </w:tc>
      </w:tr>
      <w:tr w:rsidR="003076FF" w14:paraId="53BD4F75" w14:textId="77777777">
        <w:trPr>
          <w:trHeight w:val="60"/>
        </w:trPr>
        <w:tc>
          <w:tcPr>
            <w:tcW w:w="6860" w:type="dxa"/>
            <w:tcBorders>
              <w:top w:val="single" w:sz="2" w:space="0" w:color="8A8A84"/>
              <w:left w:val="single" w:sz="6" w:space="0" w:color="FFFFFF"/>
              <w:bottom w:val="single" w:sz="2" w:space="0" w:color="8A8A84"/>
              <w:right w:val="single" w:sz="6" w:space="0" w:color="FFFFFF"/>
            </w:tcBorders>
            <w:shd w:val="solid" w:color="EBE7E2" w:fill="auto"/>
            <w:tcMar>
              <w:top w:w="113" w:type="dxa"/>
              <w:left w:w="113" w:type="dxa"/>
              <w:bottom w:w="113" w:type="dxa"/>
              <w:right w:w="80" w:type="dxa"/>
            </w:tcMar>
          </w:tcPr>
          <w:p w14:paraId="27238288" w14:textId="77777777" w:rsidR="003076FF" w:rsidRDefault="003076FF">
            <w:pPr>
              <w:pStyle w:val="Tabletextbold"/>
            </w:pPr>
            <w:r>
              <w:t>Notice given to NDIA under s 90 (provisional improvement notice)</w:t>
            </w:r>
          </w:p>
        </w:tc>
        <w:tc>
          <w:tcPr>
            <w:tcW w:w="1427" w:type="dxa"/>
            <w:tcBorders>
              <w:top w:val="single" w:sz="2" w:space="0" w:color="8A8A84"/>
              <w:left w:val="single" w:sz="6" w:space="0" w:color="FFFFFF"/>
              <w:bottom w:val="single" w:sz="2" w:space="0" w:color="8A8A84"/>
              <w:right w:val="single" w:sz="6" w:space="0" w:color="000000"/>
            </w:tcBorders>
            <w:shd w:val="solid" w:color="EBE7E2" w:fill="auto"/>
            <w:tcMar>
              <w:top w:w="113" w:type="dxa"/>
              <w:left w:w="113" w:type="dxa"/>
              <w:bottom w:w="113" w:type="dxa"/>
              <w:right w:w="80" w:type="dxa"/>
            </w:tcMar>
          </w:tcPr>
          <w:p w14:paraId="18536E5B" w14:textId="77777777" w:rsidR="003076FF" w:rsidRDefault="003076FF">
            <w:pPr>
              <w:pStyle w:val="Tabletext"/>
              <w:jc w:val="right"/>
            </w:pPr>
            <w:r>
              <w:t>0</w:t>
            </w:r>
          </w:p>
        </w:tc>
      </w:tr>
      <w:tr w:rsidR="003076FF" w14:paraId="5E35FA2F" w14:textId="77777777">
        <w:trPr>
          <w:trHeight w:val="60"/>
        </w:trPr>
        <w:tc>
          <w:tcPr>
            <w:tcW w:w="6860" w:type="dxa"/>
            <w:tcBorders>
              <w:top w:val="single" w:sz="2" w:space="0" w:color="8A8A84"/>
              <w:left w:val="single" w:sz="6" w:space="0" w:color="FFFFFF"/>
              <w:bottom w:val="single" w:sz="2" w:space="0" w:color="8A8A84"/>
              <w:right w:val="single" w:sz="6" w:space="0" w:color="FFFFFF"/>
            </w:tcBorders>
            <w:shd w:val="solid" w:color="EBE7E2" w:fill="auto"/>
            <w:tcMar>
              <w:top w:w="113" w:type="dxa"/>
              <w:left w:w="113" w:type="dxa"/>
              <w:bottom w:w="113" w:type="dxa"/>
              <w:right w:w="80" w:type="dxa"/>
            </w:tcMar>
          </w:tcPr>
          <w:p w14:paraId="209E1066" w14:textId="77777777" w:rsidR="003076FF" w:rsidRDefault="003076FF">
            <w:pPr>
              <w:pStyle w:val="Tabletextbold"/>
            </w:pPr>
            <w:r>
              <w:t>Notice given to NDIA under s 191 (improvement notice)</w:t>
            </w:r>
          </w:p>
        </w:tc>
        <w:tc>
          <w:tcPr>
            <w:tcW w:w="1427" w:type="dxa"/>
            <w:tcBorders>
              <w:top w:val="single" w:sz="2" w:space="0" w:color="8A8A84"/>
              <w:left w:val="single" w:sz="6" w:space="0" w:color="FFFFFF"/>
              <w:bottom w:val="single" w:sz="2" w:space="0" w:color="8A8A84"/>
              <w:right w:val="single" w:sz="6" w:space="0" w:color="000000"/>
            </w:tcBorders>
            <w:shd w:val="solid" w:color="EBE7E2" w:fill="auto"/>
            <w:tcMar>
              <w:top w:w="113" w:type="dxa"/>
              <w:left w:w="113" w:type="dxa"/>
              <w:bottom w:w="113" w:type="dxa"/>
              <w:right w:w="80" w:type="dxa"/>
            </w:tcMar>
          </w:tcPr>
          <w:p w14:paraId="6AE7EB2C" w14:textId="77777777" w:rsidR="003076FF" w:rsidRDefault="003076FF">
            <w:pPr>
              <w:pStyle w:val="Tabletext"/>
              <w:jc w:val="right"/>
            </w:pPr>
            <w:r>
              <w:t>0</w:t>
            </w:r>
          </w:p>
        </w:tc>
      </w:tr>
      <w:tr w:rsidR="003076FF" w14:paraId="451B818A" w14:textId="77777777">
        <w:trPr>
          <w:trHeight w:val="60"/>
        </w:trPr>
        <w:tc>
          <w:tcPr>
            <w:tcW w:w="6860" w:type="dxa"/>
            <w:tcBorders>
              <w:top w:val="single" w:sz="2" w:space="0" w:color="8A8A84"/>
              <w:left w:val="single" w:sz="6" w:space="0" w:color="FFFFFF"/>
              <w:bottom w:val="single" w:sz="2" w:space="0" w:color="8A8A84"/>
              <w:right w:val="single" w:sz="6" w:space="0" w:color="FFFFFF"/>
            </w:tcBorders>
            <w:shd w:val="solid" w:color="EBE7E2" w:fill="auto"/>
            <w:tcMar>
              <w:top w:w="113" w:type="dxa"/>
              <w:left w:w="113" w:type="dxa"/>
              <w:bottom w:w="113" w:type="dxa"/>
              <w:right w:w="80" w:type="dxa"/>
            </w:tcMar>
          </w:tcPr>
          <w:p w14:paraId="57CBB903" w14:textId="77777777" w:rsidR="003076FF" w:rsidRDefault="003076FF">
            <w:pPr>
              <w:pStyle w:val="Tabletextbold"/>
            </w:pPr>
            <w:r>
              <w:t>Notice given to NDIA under s 195 (prohibition notices)</w:t>
            </w:r>
          </w:p>
        </w:tc>
        <w:tc>
          <w:tcPr>
            <w:tcW w:w="1427" w:type="dxa"/>
            <w:tcBorders>
              <w:top w:val="single" w:sz="2" w:space="0" w:color="8A8A84"/>
              <w:left w:val="single" w:sz="6" w:space="0" w:color="FFFFFF"/>
              <w:bottom w:val="single" w:sz="2" w:space="0" w:color="8A8A84"/>
              <w:right w:val="single" w:sz="6" w:space="0" w:color="000000"/>
            </w:tcBorders>
            <w:shd w:val="solid" w:color="EBE7E2" w:fill="auto"/>
            <w:tcMar>
              <w:top w:w="113" w:type="dxa"/>
              <w:left w:w="113" w:type="dxa"/>
              <w:bottom w:w="113" w:type="dxa"/>
              <w:right w:w="80" w:type="dxa"/>
            </w:tcMar>
          </w:tcPr>
          <w:p w14:paraId="3D857D0F" w14:textId="77777777" w:rsidR="003076FF" w:rsidRDefault="003076FF">
            <w:pPr>
              <w:pStyle w:val="Tabletext"/>
              <w:jc w:val="right"/>
            </w:pPr>
            <w:r>
              <w:t>0</w:t>
            </w:r>
          </w:p>
        </w:tc>
      </w:tr>
      <w:tr w:rsidR="003076FF" w14:paraId="67837504" w14:textId="77777777">
        <w:trPr>
          <w:trHeight w:val="60"/>
        </w:trPr>
        <w:tc>
          <w:tcPr>
            <w:tcW w:w="6860" w:type="dxa"/>
            <w:tcBorders>
              <w:top w:val="single" w:sz="2" w:space="0" w:color="8A8A84"/>
              <w:left w:val="single" w:sz="6" w:space="0" w:color="FFFFFF"/>
              <w:bottom w:val="single" w:sz="2" w:space="0" w:color="8A8A84"/>
              <w:right w:val="single" w:sz="6" w:space="0" w:color="FFFFFF"/>
            </w:tcBorders>
            <w:shd w:val="solid" w:color="EBE7E2" w:fill="auto"/>
            <w:tcMar>
              <w:top w:w="113" w:type="dxa"/>
              <w:left w:w="113" w:type="dxa"/>
              <w:bottom w:w="113" w:type="dxa"/>
              <w:right w:w="80" w:type="dxa"/>
            </w:tcMar>
          </w:tcPr>
          <w:p w14:paraId="4B4563D9" w14:textId="77777777" w:rsidR="003076FF" w:rsidRDefault="003076FF">
            <w:pPr>
              <w:pStyle w:val="Tabletextbold"/>
            </w:pPr>
            <w:r>
              <w:t xml:space="preserve">Directions given to NDIA under s 198 (non-disturbance) </w:t>
            </w:r>
          </w:p>
        </w:tc>
        <w:tc>
          <w:tcPr>
            <w:tcW w:w="1427" w:type="dxa"/>
            <w:tcBorders>
              <w:top w:val="single" w:sz="2" w:space="0" w:color="8A8A84"/>
              <w:left w:val="single" w:sz="6" w:space="0" w:color="FFFFFF"/>
              <w:bottom w:val="single" w:sz="2" w:space="0" w:color="8A8A84"/>
              <w:right w:val="single" w:sz="6" w:space="0" w:color="000000"/>
            </w:tcBorders>
            <w:shd w:val="solid" w:color="EBE7E2" w:fill="auto"/>
            <w:tcMar>
              <w:top w:w="113" w:type="dxa"/>
              <w:left w:w="113" w:type="dxa"/>
              <w:bottom w:w="113" w:type="dxa"/>
              <w:right w:w="80" w:type="dxa"/>
            </w:tcMar>
          </w:tcPr>
          <w:p w14:paraId="40145812" w14:textId="77777777" w:rsidR="003076FF" w:rsidRDefault="003076FF">
            <w:pPr>
              <w:pStyle w:val="Tabletext"/>
              <w:jc w:val="right"/>
            </w:pPr>
            <w:r>
              <w:t>0</w:t>
            </w:r>
          </w:p>
        </w:tc>
      </w:tr>
    </w:tbl>
    <w:p w14:paraId="392D096C" w14:textId="77777777" w:rsidR="003076FF" w:rsidRDefault="003076FF" w:rsidP="003076FF">
      <w:pPr>
        <w:pStyle w:val="BodyCopy"/>
      </w:pPr>
    </w:p>
    <w:p w14:paraId="0FCF4E74" w14:textId="77777777" w:rsidR="003076FF" w:rsidRDefault="003076FF" w:rsidP="003076FF">
      <w:pPr>
        <w:pStyle w:val="BodyCopy"/>
      </w:pPr>
      <w:r>
        <w:t>The Agency’s workers’ compensation premium for 2015–16 was $2.1 million.</w:t>
      </w:r>
    </w:p>
    <w:p w14:paraId="1F015FEE" w14:textId="3566651D" w:rsidR="003076FF" w:rsidRDefault="003076FF" w:rsidP="007E5755">
      <w:pPr>
        <w:pStyle w:val="Heading3"/>
      </w:pPr>
      <w:r>
        <w:t>Ecological sustainable development</w:t>
      </w:r>
    </w:p>
    <w:p w14:paraId="12C9F240" w14:textId="77777777" w:rsidR="003076FF" w:rsidRDefault="003076FF" w:rsidP="003076FF">
      <w:pPr>
        <w:pStyle w:val="IntroPara"/>
      </w:pPr>
      <w:r>
        <w:t>The Agency has continued to introduce ecological and sustainable measures that reduce energy and consumption costs at each of its sites including:</w:t>
      </w:r>
    </w:p>
    <w:p w14:paraId="685F2AFC" w14:textId="77777777" w:rsidR="003076FF" w:rsidRDefault="003076FF" w:rsidP="003076FF">
      <w:pPr>
        <w:pStyle w:val="BodyBullets"/>
      </w:pPr>
      <w:r>
        <w:t>installing energy-efficient T5 fluorescent lights and LEDs for open-plan areas and meeting rooms together with motion sensor control for the lighting</w:t>
      </w:r>
    </w:p>
    <w:p w14:paraId="2600E60E" w14:textId="77777777" w:rsidR="003076FF" w:rsidRDefault="003076FF" w:rsidP="003076FF">
      <w:pPr>
        <w:pStyle w:val="BodyBullets"/>
      </w:pPr>
      <w:r>
        <w:t>installing energy-efficient variable refrigerant flow (VRF) air-conditioning systems that are operated via time clock</w:t>
      </w:r>
    </w:p>
    <w:p w14:paraId="0B867F21" w14:textId="77777777" w:rsidR="003076FF" w:rsidRDefault="003076FF" w:rsidP="003076FF">
      <w:pPr>
        <w:pStyle w:val="BodyBullets"/>
      </w:pPr>
      <w:r>
        <w:t>installing low-flow sanitary fixtures</w:t>
      </w:r>
    </w:p>
    <w:p w14:paraId="41C7D8E0" w14:textId="77777777" w:rsidR="003076FF" w:rsidRDefault="003076FF" w:rsidP="003076FF">
      <w:pPr>
        <w:pStyle w:val="BodyBullets-last"/>
      </w:pPr>
      <w:r>
        <w:t>supplying general waste and recyclable waste bins to suit the size of the tenancy.</w:t>
      </w:r>
    </w:p>
    <w:p w14:paraId="2AD7D295" w14:textId="77777777" w:rsidR="003076FF" w:rsidRDefault="003076FF" w:rsidP="003076FF">
      <w:pPr>
        <w:pStyle w:val="BodyCopy"/>
      </w:pPr>
      <w:r>
        <w:lastRenderedPageBreak/>
        <w:t xml:space="preserve">No energy or green ratings have yet been awarded to any Agency site. The Agency will </w:t>
      </w:r>
      <w:proofErr w:type="spellStart"/>
      <w:r>
        <w:t>endeavour</w:t>
      </w:r>
      <w:proofErr w:type="spellEnd"/>
      <w:r>
        <w:t xml:space="preserve"> to achieve energy or green ratings for stand-alone sites in the future.</w:t>
      </w:r>
    </w:p>
    <w:p w14:paraId="34B6635D" w14:textId="77777777" w:rsidR="003076FF" w:rsidRDefault="003076FF" w:rsidP="003076FF">
      <w:pPr>
        <w:pStyle w:val="BodyCopy"/>
      </w:pPr>
      <w:r>
        <w:t>In addition, the Agency has commenced changing its vehicle fleet to hybrid vehicles. The environmentally friendly vehicles will be transitioned in over the coming year. The vehicles use both a conventional engine and electric motor to achieve significantly better fuel efficiency than their non-hybrid counterparts. In terms of greenhouse emissions, the hybrid vehicles selected reduce tailpipe CO</w:t>
      </w:r>
      <w:r>
        <w:rPr>
          <w:position w:val="6"/>
          <w:vertAlign w:val="subscript"/>
        </w:rPr>
        <w:t>2</w:t>
      </w:r>
      <w:r>
        <w:t xml:space="preserve"> emissions and stationary noise and will considerably reduce annual fuel costs. </w:t>
      </w:r>
    </w:p>
    <w:p w14:paraId="540EBA54" w14:textId="6B3FB79E" w:rsidR="003076FF" w:rsidRDefault="003076FF" w:rsidP="007E5755">
      <w:pPr>
        <w:pStyle w:val="Heading3"/>
      </w:pPr>
      <w:r>
        <w:t>Consultancies, contracts and purchasing policies</w:t>
      </w:r>
    </w:p>
    <w:p w14:paraId="540F16A9" w14:textId="77777777" w:rsidR="003076FF" w:rsidRDefault="003076FF" w:rsidP="003076FF">
      <w:pPr>
        <w:pStyle w:val="IntroPara"/>
      </w:pPr>
      <w:r>
        <w:t>During 2015–16, 54 new consultancy contracts were entered into involving total actual expenditure of $4.7 million (GST inclusive).</w:t>
      </w:r>
    </w:p>
    <w:p w14:paraId="61E52BAE" w14:textId="77777777" w:rsidR="003076FF" w:rsidRDefault="003076FF" w:rsidP="003076FF">
      <w:pPr>
        <w:pStyle w:val="BodyCopy"/>
      </w:pPr>
      <w:r>
        <w:t>In addition, 30 ongoing consultancy contracts were active during 2015–16, involving total actual expenditure of $10.9 million (GST inclusive) in 2015–16.</w:t>
      </w:r>
    </w:p>
    <w:p w14:paraId="2FC9ADB2" w14:textId="77777777" w:rsidR="003076FF" w:rsidRDefault="003076FF" w:rsidP="003076FF">
      <w:pPr>
        <w:pStyle w:val="BodyCopy"/>
      </w:pPr>
      <w:r>
        <w:t xml:space="preserve">In total, during 2015–16, the Agency spent </w:t>
      </w:r>
      <w:r>
        <w:br/>
        <w:t xml:space="preserve">$15.7 million (GST inclusive) on consultancy contract costs. In the 2014-15 financial year, </w:t>
      </w:r>
      <w:r>
        <w:br/>
        <w:t xml:space="preserve">the Agency spent $12.3 million (GST inclusive) </w:t>
      </w:r>
      <w:r>
        <w:br/>
        <w:t xml:space="preserve">on consultancy contracts. </w:t>
      </w:r>
    </w:p>
    <w:p w14:paraId="67194653" w14:textId="77777777" w:rsidR="003076FF" w:rsidRDefault="003076FF" w:rsidP="003076FF">
      <w:pPr>
        <w:pStyle w:val="BodyCopy"/>
      </w:pPr>
      <w:r>
        <w:t xml:space="preserve">This comparison is represented in Table 13. </w:t>
      </w:r>
    </w:p>
    <w:p w14:paraId="4FABD4FD" w14:textId="029E7D36" w:rsidR="003076FF" w:rsidRDefault="003076FF" w:rsidP="007E5755">
      <w:pPr>
        <w:pStyle w:val="Heading3Tables"/>
      </w:pPr>
      <w:bookmarkStart w:id="83" w:name="_Toc464481234"/>
      <w:r>
        <w:t>Table 13: Consultancy contract costs 2014-15 and 2015-16</w:t>
      </w:r>
      <w:bookmarkEnd w:id="83"/>
    </w:p>
    <w:p w14:paraId="75D8AE77" w14:textId="14AA0178" w:rsidR="00D227B3" w:rsidRDefault="00D227B3" w:rsidP="00D227B3">
      <w:pPr>
        <w:pStyle w:val="Heading4"/>
      </w:pPr>
      <w:r>
        <w:t>New consultancy contracts</w:t>
      </w:r>
    </w:p>
    <w:tbl>
      <w:tblPr>
        <w:tblW w:w="0" w:type="auto"/>
        <w:tblInd w:w="-8" w:type="dxa"/>
        <w:tblLayout w:type="fixed"/>
        <w:tblCellMar>
          <w:left w:w="0" w:type="dxa"/>
          <w:right w:w="0" w:type="dxa"/>
        </w:tblCellMar>
        <w:tblLook w:val="0000" w:firstRow="0" w:lastRow="0" w:firstColumn="0" w:lastColumn="0" w:noHBand="0" w:noVBand="0"/>
      </w:tblPr>
      <w:tblGrid>
        <w:gridCol w:w="5641"/>
        <w:gridCol w:w="1301"/>
        <w:gridCol w:w="1327"/>
      </w:tblGrid>
      <w:tr w:rsidR="003076FF" w14:paraId="16724ADF" w14:textId="77777777">
        <w:trPr>
          <w:trHeight w:val="60"/>
          <w:tblHeader/>
        </w:trPr>
        <w:tc>
          <w:tcPr>
            <w:tcW w:w="5641" w:type="dxa"/>
            <w:tcBorders>
              <w:top w:val="single" w:sz="6" w:space="0" w:color="FFFFFF"/>
              <w:left w:val="single" w:sz="6" w:space="0" w:color="FFFFFF"/>
              <w:bottom w:val="single" w:sz="6" w:space="0" w:color="8A8A84"/>
              <w:right w:val="single" w:sz="6" w:space="0" w:color="FFFFFF"/>
            </w:tcBorders>
            <w:shd w:val="solid" w:color="000000" w:fill="auto"/>
            <w:tcMar>
              <w:top w:w="113" w:type="dxa"/>
              <w:left w:w="113" w:type="dxa"/>
              <w:bottom w:w="113" w:type="dxa"/>
              <w:right w:w="80" w:type="dxa"/>
            </w:tcMar>
          </w:tcPr>
          <w:p w14:paraId="0E16CAE6" w14:textId="77777777" w:rsidR="003076FF" w:rsidRDefault="003076FF">
            <w:pPr>
              <w:pStyle w:val="Tableheader"/>
            </w:pPr>
            <w:bookmarkStart w:id="84" w:name="Title_Table13a" w:colFirst="0" w:colLast="0"/>
            <w:r>
              <w:t xml:space="preserve">Matter </w:t>
            </w:r>
          </w:p>
        </w:tc>
        <w:tc>
          <w:tcPr>
            <w:tcW w:w="1301" w:type="dxa"/>
            <w:tcBorders>
              <w:top w:val="single" w:sz="6" w:space="0" w:color="FFFFFF"/>
              <w:left w:val="single" w:sz="6" w:space="0" w:color="FFFFFF"/>
              <w:bottom w:val="single" w:sz="6" w:space="0" w:color="8A8A84"/>
              <w:right w:val="single" w:sz="6" w:space="0" w:color="FFFFFF"/>
            </w:tcBorders>
            <w:shd w:val="solid" w:color="000000" w:fill="auto"/>
            <w:tcMar>
              <w:top w:w="113" w:type="dxa"/>
              <w:left w:w="113" w:type="dxa"/>
              <w:bottom w:w="113" w:type="dxa"/>
              <w:right w:w="80" w:type="dxa"/>
            </w:tcMar>
          </w:tcPr>
          <w:p w14:paraId="1B729CFE" w14:textId="77777777" w:rsidR="003076FF" w:rsidRDefault="003076FF">
            <w:pPr>
              <w:pStyle w:val="Tableheader"/>
              <w:jc w:val="right"/>
            </w:pPr>
            <w:r>
              <w:t>2014–15</w:t>
            </w:r>
          </w:p>
        </w:tc>
        <w:tc>
          <w:tcPr>
            <w:tcW w:w="1327" w:type="dxa"/>
            <w:tcBorders>
              <w:top w:val="single" w:sz="6" w:space="0" w:color="FFFFFF"/>
              <w:left w:val="single" w:sz="6" w:space="0" w:color="FFFFFF"/>
              <w:bottom w:val="single" w:sz="6" w:space="0" w:color="8A8A84"/>
              <w:right w:val="single" w:sz="6" w:space="0" w:color="FFFFFF"/>
            </w:tcBorders>
            <w:shd w:val="solid" w:color="000000" w:fill="auto"/>
            <w:tcMar>
              <w:top w:w="113" w:type="dxa"/>
              <w:left w:w="113" w:type="dxa"/>
              <w:bottom w:w="113" w:type="dxa"/>
              <w:right w:w="80" w:type="dxa"/>
            </w:tcMar>
          </w:tcPr>
          <w:p w14:paraId="16FD8209" w14:textId="77777777" w:rsidR="003076FF" w:rsidRDefault="003076FF">
            <w:pPr>
              <w:pStyle w:val="Tableheader"/>
              <w:jc w:val="right"/>
            </w:pPr>
            <w:r>
              <w:t>2015–16</w:t>
            </w:r>
          </w:p>
        </w:tc>
      </w:tr>
      <w:bookmarkEnd w:id="84"/>
      <w:tr w:rsidR="003076FF" w14:paraId="5B3D3351" w14:textId="77777777">
        <w:trPr>
          <w:trHeight w:val="60"/>
        </w:trPr>
        <w:tc>
          <w:tcPr>
            <w:tcW w:w="5641" w:type="dxa"/>
            <w:tcBorders>
              <w:top w:val="single" w:sz="2" w:space="0" w:color="8A8A84"/>
              <w:left w:val="single" w:sz="6" w:space="0" w:color="FFFFFF"/>
              <w:bottom w:val="single" w:sz="2" w:space="0" w:color="8A8A84"/>
              <w:right w:val="single" w:sz="6" w:space="0" w:color="000000"/>
            </w:tcBorders>
            <w:shd w:val="solid" w:color="EBE7E2" w:fill="auto"/>
            <w:tcMar>
              <w:top w:w="113" w:type="dxa"/>
              <w:left w:w="113" w:type="dxa"/>
              <w:bottom w:w="113" w:type="dxa"/>
              <w:right w:w="80" w:type="dxa"/>
            </w:tcMar>
          </w:tcPr>
          <w:p w14:paraId="33E617AF" w14:textId="77777777" w:rsidR="003076FF" w:rsidRDefault="003076FF">
            <w:pPr>
              <w:pStyle w:val="Tabletext"/>
            </w:pPr>
            <w:r>
              <w:t>Number of new consultancy contracts</w:t>
            </w:r>
          </w:p>
        </w:tc>
        <w:tc>
          <w:tcPr>
            <w:tcW w:w="1301" w:type="dxa"/>
            <w:tcBorders>
              <w:top w:val="single" w:sz="2" w:space="0" w:color="8A8A84"/>
              <w:left w:val="single" w:sz="6" w:space="0" w:color="000000"/>
              <w:bottom w:val="single" w:sz="2" w:space="0" w:color="8A8A84"/>
              <w:right w:val="single" w:sz="6" w:space="0" w:color="000000"/>
            </w:tcBorders>
            <w:shd w:val="solid" w:color="EBE7E2" w:fill="auto"/>
            <w:tcMar>
              <w:top w:w="113" w:type="dxa"/>
              <w:left w:w="113" w:type="dxa"/>
              <w:bottom w:w="113" w:type="dxa"/>
              <w:right w:w="80" w:type="dxa"/>
            </w:tcMar>
          </w:tcPr>
          <w:p w14:paraId="1D276978" w14:textId="77777777" w:rsidR="003076FF" w:rsidRDefault="003076FF">
            <w:pPr>
              <w:pStyle w:val="Tabletext"/>
              <w:jc w:val="right"/>
            </w:pPr>
            <w:r>
              <w:t>63</w:t>
            </w:r>
          </w:p>
        </w:tc>
        <w:tc>
          <w:tcPr>
            <w:tcW w:w="1327" w:type="dxa"/>
            <w:tcBorders>
              <w:top w:val="single" w:sz="2" w:space="0" w:color="8A8A84"/>
              <w:left w:val="single" w:sz="6" w:space="0" w:color="000000"/>
              <w:bottom w:val="single" w:sz="2" w:space="0" w:color="8A8A84"/>
              <w:right w:val="single" w:sz="6" w:space="0" w:color="000000"/>
            </w:tcBorders>
            <w:shd w:val="solid" w:color="EBE7E2" w:fill="auto"/>
            <w:tcMar>
              <w:top w:w="113" w:type="dxa"/>
              <w:left w:w="113" w:type="dxa"/>
              <w:bottom w:w="113" w:type="dxa"/>
              <w:right w:w="80" w:type="dxa"/>
            </w:tcMar>
          </w:tcPr>
          <w:p w14:paraId="0C05F2B8" w14:textId="77777777" w:rsidR="003076FF" w:rsidRDefault="003076FF">
            <w:pPr>
              <w:pStyle w:val="Tabletext"/>
              <w:jc w:val="right"/>
            </w:pPr>
            <w:r>
              <w:t>54</w:t>
            </w:r>
          </w:p>
        </w:tc>
      </w:tr>
      <w:tr w:rsidR="003076FF" w14:paraId="281B6668" w14:textId="77777777">
        <w:trPr>
          <w:trHeight w:val="60"/>
        </w:trPr>
        <w:tc>
          <w:tcPr>
            <w:tcW w:w="5641" w:type="dxa"/>
            <w:tcBorders>
              <w:top w:val="single" w:sz="2" w:space="0" w:color="8A8A84"/>
              <w:left w:val="single" w:sz="6" w:space="0" w:color="FFFFFF"/>
              <w:bottom w:val="single" w:sz="2" w:space="0" w:color="8A8A84"/>
              <w:right w:val="single" w:sz="6" w:space="0" w:color="000000"/>
            </w:tcBorders>
            <w:shd w:val="solid" w:color="EBE7E2" w:fill="auto"/>
            <w:tcMar>
              <w:top w:w="113" w:type="dxa"/>
              <w:left w:w="113" w:type="dxa"/>
              <w:bottom w:w="113" w:type="dxa"/>
              <w:right w:w="80" w:type="dxa"/>
            </w:tcMar>
          </w:tcPr>
          <w:p w14:paraId="55E68649" w14:textId="77777777" w:rsidR="003076FF" w:rsidRDefault="003076FF">
            <w:pPr>
              <w:pStyle w:val="Tabletext"/>
            </w:pPr>
            <w:r>
              <w:t>Actual expenditure for new consultancy contracts (GST inclusive)</w:t>
            </w:r>
          </w:p>
        </w:tc>
        <w:tc>
          <w:tcPr>
            <w:tcW w:w="1301" w:type="dxa"/>
            <w:tcBorders>
              <w:top w:val="single" w:sz="2" w:space="0" w:color="8A8A84"/>
              <w:left w:val="single" w:sz="6" w:space="0" w:color="000000"/>
              <w:bottom w:val="single" w:sz="2" w:space="0" w:color="8A8A84"/>
              <w:right w:val="single" w:sz="6" w:space="0" w:color="000000"/>
            </w:tcBorders>
            <w:shd w:val="solid" w:color="EBE7E2" w:fill="auto"/>
            <w:tcMar>
              <w:top w:w="113" w:type="dxa"/>
              <w:left w:w="113" w:type="dxa"/>
              <w:bottom w:w="113" w:type="dxa"/>
              <w:right w:w="80" w:type="dxa"/>
            </w:tcMar>
          </w:tcPr>
          <w:p w14:paraId="07BA92E3" w14:textId="77777777" w:rsidR="003076FF" w:rsidRDefault="003076FF">
            <w:pPr>
              <w:pStyle w:val="Tabletext"/>
              <w:jc w:val="right"/>
            </w:pPr>
            <w:r>
              <w:t>$8 945 746.75</w:t>
            </w:r>
          </w:p>
        </w:tc>
        <w:tc>
          <w:tcPr>
            <w:tcW w:w="1327" w:type="dxa"/>
            <w:tcBorders>
              <w:top w:val="single" w:sz="2" w:space="0" w:color="8A8A84"/>
              <w:left w:val="single" w:sz="6" w:space="0" w:color="000000"/>
              <w:bottom w:val="single" w:sz="2" w:space="0" w:color="8A8A84"/>
              <w:right w:val="single" w:sz="6" w:space="0" w:color="000000"/>
            </w:tcBorders>
            <w:shd w:val="solid" w:color="EBE7E2" w:fill="auto"/>
            <w:tcMar>
              <w:top w:w="113" w:type="dxa"/>
              <w:left w:w="113" w:type="dxa"/>
              <w:bottom w:w="113" w:type="dxa"/>
              <w:right w:w="80" w:type="dxa"/>
            </w:tcMar>
          </w:tcPr>
          <w:p w14:paraId="1BA1C551" w14:textId="77777777" w:rsidR="003076FF" w:rsidRDefault="003076FF">
            <w:pPr>
              <w:pStyle w:val="Tabletext"/>
              <w:jc w:val="right"/>
            </w:pPr>
            <w:r>
              <w:t>$4 708 476.80</w:t>
            </w:r>
          </w:p>
        </w:tc>
      </w:tr>
    </w:tbl>
    <w:p w14:paraId="02248559" w14:textId="77777777" w:rsidR="003076FF" w:rsidRDefault="003076FF" w:rsidP="003076FF">
      <w:pPr>
        <w:pStyle w:val="BodyCopy"/>
      </w:pPr>
    </w:p>
    <w:p w14:paraId="5CD25594" w14:textId="3960047B" w:rsidR="00D227B3" w:rsidRDefault="00D227B3" w:rsidP="00D227B3">
      <w:pPr>
        <w:pStyle w:val="Heading4"/>
      </w:pPr>
      <w:r>
        <w:t>Ongoing</w:t>
      </w:r>
      <w:r>
        <w:t xml:space="preserve"> consultancy contracts</w:t>
      </w:r>
    </w:p>
    <w:tbl>
      <w:tblPr>
        <w:tblW w:w="0" w:type="auto"/>
        <w:tblInd w:w="-8" w:type="dxa"/>
        <w:tblLayout w:type="fixed"/>
        <w:tblCellMar>
          <w:left w:w="0" w:type="dxa"/>
          <w:right w:w="0" w:type="dxa"/>
        </w:tblCellMar>
        <w:tblLook w:val="0000" w:firstRow="0" w:lastRow="0" w:firstColumn="0" w:lastColumn="0" w:noHBand="0" w:noVBand="0"/>
      </w:tblPr>
      <w:tblGrid>
        <w:gridCol w:w="5641"/>
        <w:gridCol w:w="1301"/>
        <w:gridCol w:w="1327"/>
      </w:tblGrid>
      <w:tr w:rsidR="00D227B3" w14:paraId="01A28166" w14:textId="77777777" w:rsidTr="00F04D4B">
        <w:trPr>
          <w:trHeight w:val="60"/>
          <w:tblHeader/>
        </w:trPr>
        <w:tc>
          <w:tcPr>
            <w:tcW w:w="5641" w:type="dxa"/>
            <w:tcBorders>
              <w:top w:val="single" w:sz="6" w:space="0" w:color="FFFFFF"/>
              <w:left w:val="single" w:sz="6" w:space="0" w:color="FFFFFF"/>
              <w:bottom w:val="single" w:sz="6" w:space="0" w:color="8A8A84"/>
              <w:right w:val="single" w:sz="6" w:space="0" w:color="FFFFFF"/>
            </w:tcBorders>
            <w:shd w:val="solid" w:color="000000" w:fill="auto"/>
            <w:tcMar>
              <w:top w:w="113" w:type="dxa"/>
              <w:left w:w="113" w:type="dxa"/>
              <w:bottom w:w="113" w:type="dxa"/>
              <w:right w:w="80" w:type="dxa"/>
            </w:tcMar>
          </w:tcPr>
          <w:p w14:paraId="168EC562" w14:textId="77777777" w:rsidR="00D227B3" w:rsidRDefault="00D227B3" w:rsidP="00F04D4B">
            <w:pPr>
              <w:pStyle w:val="Tableheader"/>
            </w:pPr>
            <w:bookmarkStart w:id="85" w:name="Title_Table13b" w:colFirst="0" w:colLast="0"/>
            <w:r>
              <w:t xml:space="preserve">Matter </w:t>
            </w:r>
          </w:p>
        </w:tc>
        <w:tc>
          <w:tcPr>
            <w:tcW w:w="1301" w:type="dxa"/>
            <w:tcBorders>
              <w:top w:val="single" w:sz="6" w:space="0" w:color="FFFFFF"/>
              <w:left w:val="single" w:sz="6" w:space="0" w:color="FFFFFF"/>
              <w:bottom w:val="single" w:sz="6" w:space="0" w:color="8A8A84"/>
              <w:right w:val="single" w:sz="6" w:space="0" w:color="FFFFFF"/>
            </w:tcBorders>
            <w:shd w:val="solid" w:color="000000" w:fill="auto"/>
            <w:tcMar>
              <w:top w:w="113" w:type="dxa"/>
              <w:left w:w="113" w:type="dxa"/>
              <w:bottom w:w="113" w:type="dxa"/>
              <w:right w:w="80" w:type="dxa"/>
            </w:tcMar>
          </w:tcPr>
          <w:p w14:paraId="7E370562" w14:textId="77777777" w:rsidR="00D227B3" w:rsidRDefault="00D227B3" w:rsidP="00F04D4B">
            <w:pPr>
              <w:pStyle w:val="Tableheader"/>
              <w:jc w:val="right"/>
            </w:pPr>
            <w:r>
              <w:t>2014–15</w:t>
            </w:r>
          </w:p>
        </w:tc>
        <w:tc>
          <w:tcPr>
            <w:tcW w:w="1327" w:type="dxa"/>
            <w:tcBorders>
              <w:top w:val="single" w:sz="6" w:space="0" w:color="FFFFFF"/>
              <w:left w:val="single" w:sz="6" w:space="0" w:color="FFFFFF"/>
              <w:bottom w:val="single" w:sz="6" w:space="0" w:color="8A8A84"/>
              <w:right w:val="single" w:sz="6" w:space="0" w:color="FFFFFF"/>
            </w:tcBorders>
            <w:shd w:val="solid" w:color="000000" w:fill="auto"/>
            <w:tcMar>
              <w:top w:w="113" w:type="dxa"/>
              <w:left w:w="113" w:type="dxa"/>
              <w:bottom w:w="113" w:type="dxa"/>
              <w:right w:w="80" w:type="dxa"/>
            </w:tcMar>
          </w:tcPr>
          <w:p w14:paraId="1FD67711" w14:textId="77777777" w:rsidR="00D227B3" w:rsidRDefault="00D227B3" w:rsidP="00F04D4B">
            <w:pPr>
              <w:pStyle w:val="Tableheader"/>
              <w:jc w:val="right"/>
            </w:pPr>
            <w:r>
              <w:t>2015–16</w:t>
            </w:r>
          </w:p>
        </w:tc>
      </w:tr>
      <w:bookmarkEnd w:id="85"/>
      <w:tr w:rsidR="00D227B3" w14:paraId="167B73A8" w14:textId="77777777" w:rsidTr="00F04D4B">
        <w:trPr>
          <w:trHeight w:val="60"/>
        </w:trPr>
        <w:tc>
          <w:tcPr>
            <w:tcW w:w="5641" w:type="dxa"/>
            <w:tcBorders>
              <w:top w:val="single" w:sz="2" w:space="0" w:color="8A8A84"/>
              <w:left w:val="single" w:sz="6" w:space="0" w:color="FFFFFF"/>
              <w:bottom w:val="single" w:sz="2" w:space="0" w:color="8A8A84"/>
              <w:right w:val="single" w:sz="6" w:space="0" w:color="000000"/>
            </w:tcBorders>
            <w:shd w:val="solid" w:color="EBE7E2" w:fill="auto"/>
            <w:tcMar>
              <w:top w:w="113" w:type="dxa"/>
              <w:left w:w="113" w:type="dxa"/>
              <w:bottom w:w="113" w:type="dxa"/>
              <w:right w:w="80" w:type="dxa"/>
            </w:tcMar>
          </w:tcPr>
          <w:p w14:paraId="38648597" w14:textId="77777777" w:rsidR="00D227B3" w:rsidRDefault="00D227B3" w:rsidP="00F04D4B">
            <w:pPr>
              <w:pStyle w:val="Tabletext"/>
            </w:pPr>
            <w:r>
              <w:t>Number of ongoing consultancy contracts</w:t>
            </w:r>
          </w:p>
        </w:tc>
        <w:tc>
          <w:tcPr>
            <w:tcW w:w="1301" w:type="dxa"/>
            <w:tcBorders>
              <w:top w:val="single" w:sz="2" w:space="0" w:color="8A8A84"/>
              <w:left w:val="single" w:sz="6" w:space="0" w:color="000000"/>
              <w:bottom w:val="single" w:sz="2" w:space="0" w:color="8A8A84"/>
              <w:right w:val="single" w:sz="6" w:space="0" w:color="000000"/>
            </w:tcBorders>
            <w:shd w:val="solid" w:color="EBE7E2" w:fill="auto"/>
            <w:tcMar>
              <w:top w:w="113" w:type="dxa"/>
              <w:left w:w="113" w:type="dxa"/>
              <w:bottom w:w="113" w:type="dxa"/>
              <w:right w:w="80" w:type="dxa"/>
            </w:tcMar>
          </w:tcPr>
          <w:p w14:paraId="0365B9DE" w14:textId="77777777" w:rsidR="00D227B3" w:rsidRDefault="00D227B3" w:rsidP="00F04D4B">
            <w:pPr>
              <w:pStyle w:val="Tabletext"/>
              <w:jc w:val="right"/>
            </w:pPr>
            <w:r>
              <w:t>13</w:t>
            </w:r>
          </w:p>
        </w:tc>
        <w:tc>
          <w:tcPr>
            <w:tcW w:w="1327" w:type="dxa"/>
            <w:tcBorders>
              <w:top w:val="single" w:sz="2" w:space="0" w:color="8A8A84"/>
              <w:left w:val="single" w:sz="6" w:space="0" w:color="000000"/>
              <w:bottom w:val="single" w:sz="2" w:space="0" w:color="8A8A84"/>
              <w:right w:val="single" w:sz="6" w:space="0" w:color="000000"/>
            </w:tcBorders>
            <w:shd w:val="solid" w:color="EBE7E2" w:fill="auto"/>
            <w:tcMar>
              <w:top w:w="113" w:type="dxa"/>
              <w:left w:w="113" w:type="dxa"/>
              <w:bottom w:w="113" w:type="dxa"/>
              <w:right w:w="80" w:type="dxa"/>
            </w:tcMar>
          </w:tcPr>
          <w:p w14:paraId="70981C1D" w14:textId="77777777" w:rsidR="00D227B3" w:rsidRDefault="00D227B3" w:rsidP="00F04D4B">
            <w:pPr>
              <w:pStyle w:val="Tabletext"/>
              <w:jc w:val="right"/>
            </w:pPr>
            <w:r>
              <w:t>30</w:t>
            </w:r>
          </w:p>
        </w:tc>
      </w:tr>
      <w:tr w:rsidR="00D227B3" w14:paraId="77C03811" w14:textId="77777777" w:rsidTr="00F04D4B">
        <w:trPr>
          <w:trHeight w:val="60"/>
        </w:trPr>
        <w:tc>
          <w:tcPr>
            <w:tcW w:w="5641" w:type="dxa"/>
            <w:tcBorders>
              <w:top w:val="single" w:sz="2" w:space="0" w:color="8A8A84"/>
              <w:left w:val="single" w:sz="6" w:space="0" w:color="FFFFFF"/>
              <w:bottom w:val="single" w:sz="2" w:space="0" w:color="8A8A84"/>
              <w:right w:val="single" w:sz="6" w:space="0" w:color="000000"/>
            </w:tcBorders>
            <w:shd w:val="solid" w:color="EBE7E2" w:fill="auto"/>
            <w:tcMar>
              <w:top w:w="113" w:type="dxa"/>
              <w:left w:w="113" w:type="dxa"/>
              <w:bottom w:w="113" w:type="dxa"/>
              <w:right w:w="80" w:type="dxa"/>
            </w:tcMar>
          </w:tcPr>
          <w:p w14:paraId="1910B5E5" w14:textId="77777777" w:rsidR="00D227B3" w:rsidRDefault="00D227B3" w:rsidP="00F04D4B">
            <w:pPr>
              <w:pStyle w:val="Tabletext"/>
            </w:pPr>
            <w:r>
              <w:t>Actual expenditure for ongoing consultancy contracts (GST inclusive)</w:t>
            </w:r>
          </w:p>
        </w:tc>
        <w:tc>
          <w:tcPr>
            <w:tcW w:w="1301" w:type="dxa"/>
            <w:tcBorders>
              <w:top w:val="single" w:sz="2" w:space="0" w:color="8A8A84"/>
              <w:left w:val="single" w:sz="6" w:space="0" w:color="000000"/>
              <w:bottom w:val="single" w:sz="2" w:space="0" w:color="8A8A84"/>
              <w:right w:val="single" w:sz="6" w:space="0" w:color="000000"/>
            </w:tcBorders>
            <w:shd w:val="solid" w:color="EBE7E2" w:fill="auto"/>
            <w:tcMar>
              <w:top w:w="113" w:type="dxa"/>
              <w:left w:w="113" w:type="dxa"/>
              <w:bottom w:w="113" w:type="dxa"/>
              <w:right w:w="80" w:type="dxa"/>
            </w:tcMar>
          </w:tcPr>
          <w:p w14:paraId="311EDF12" w14:textId="77777777" w:rsidR="00D227B3" w:rsidRDefault="00D227B3" w:rsidP="00F04D4B">
            <w:pPr>
              <w:pStyle w:val="Tabletext"/>
              <w:jc w:val="right"/>
            </w:pPr>
            <w:r>
              <w:t>$3 378 035.35</w:t>
            </w:r>
          </w:p>
        </w:tc>
        <w:tc>
          <w:tcPr>
            <w:tcW w:w="1327" w:type="dxa"/>
            <w:tcBorders>
              <w:top w:val="single" w:sz="2" w:space="0" w:color="8A8A84"/>
              <w:left w:val="single" w:sz="6" w:space="0" w:color="000000"/>
              <w:bottom w:val="single" w:sz="2" w:space="0" w:color="8A8A84"/>
              <w:right w:val="single" w:sz="6" w:space="0" w:color="000000"/>
            </w:tcBorders>
            <w:shd w:val="solid" w:color="EBE7E2" w:fill="auto"/>
            <w:tcMar>
              <w:top w:w="113" w:type="dxa"/>
              <w:left w:w="113" w:type="dxa"/>
              <w:bottom w:w="113" w:type="dxa"/>
              <w:right w:w="80" w:type="dxa"/>
            </w:tcMar>
          </w:tcPr>
          <w:p w14:paraId="086076F5" w14:textId="77777777" w:rsidR="00D227B3" w:rsidRDefault="00D227B3" w:rsidP="00F04D4B">
            <w:pPr>
              <w:pStyle w:val="Tabletext"/>
              <w:jc w:val="right"/>
            </w:pPr>
            <w:r>
              <w:t>$10 950 350.31</w:t>
            </w:r>
          </w:p>
        </w:tc>
      </w:tr>
    </w:tbl>
    <w:p w14:paraId="51AA8A77" w14:textId="77777777" w:rsidR="00D227B3" w:rsidRDefault="00D227B3" w:rsidP="003076FF">
      <w:pPr>
        <w:pStyle w:val="BodyCopy"/>
      </w:pPr>
    </w:p>
    <w:p w14:paraId="4E1C551D" w14:textId="77777777" w:rsidR="003076FF" w:rsidRDefault="003076FF" w:rsidP="003076FF">
      <w:pPr>
        <w:pStyle w:val="BodyCopy"/>
      </w:pPr>
      <w:r>
        <w:t xml:space="preserve">As the Agency rolls out full Scheme, there is a continuing requirement for </w:t>
      </w:r>
      <w:proofErr w:type="spellStart"/>
      <w:r>
        <w:t>specialised</w:t>
      </w:r>
      <w:proofErr w:type="spellEnd"/>
      <w:r>
        <w:t xml:space="preserve"> services from consultants to support this transition. Contracts for consultancy services provided to the Agency included: </w:t>
      </w:r>
    </w:p>
    <w:p w14:paraId="2FFA12B4" w14:textId="77777777" w:rsidR="003076FF" w:rsidRDefault="003076FF" w:rsidP="003076FF">
      <w:pPr>
        <w:pStyle w:val="BodyBullets"/>
      </w:pPr>
      <w:r>
        <w:t>the Scheme Actuary role and actuarial advisory services</w:t>
      </w:r>
    </w:p>
    <w:p w14:paraId="27AC53B7" w14:textId="77777777" w:rsidR="003076FF" w:rsidRDefault="003076FF" w:rsidP="003076FF">
      <w:pPr>
        <w:pStyle w:val="BodyBullets"/>
      </w:pPr>
      <w:r>
        <w:lastRenderedPageBreak/>
        <w:t>internal auditing services</w:t>
      </w:r>
    </w:p>
    <w:p w14:paraId="19146288" w14:textId="77777777" w:rsidR="003076FF" w:rsidRDefault="003076FF" w:rsidP="003076FF">
      <w:pPr>
        <w:pStyle w:val="BodyBullets"/>
      </w:pPr>
      <w:r>
        <w:t>assistance and support for building the ICT platform</w:t>
      </w:r>
    </w:p>
    <w:p w14:paraId="3E14C716" w14:textId="77777777" w:rsidR="003076FF" w:rsidRDefault="003076FF" w:rsidP="003076FF">
      <w:pPr>
        <w:pStyle w:val="BodyBullets"/>
      </w:pPr>
      <w:r>
        <w:t xml:space="preserve">strategic planning and advice on risk management, property design and documentation services </w:t>
      </w:r>
    </w:p>
    <w:p w14:paraId="3E265C00" w14:textId="77777777" w:rsidR="003076FF" w:rsidRDefault="003076FF" w:rsidP="003076FF">
      <w:pPr>
        <w:pStyle w:val="BodyBullets"/>
      </w:pPr>
      <w:r>
        <w:t>strategic analysis for rolling out full Scheme</w:t>
      </w:r>
    </w:p>
    <w:p w14:paraId="60A45100" w14:textId="77777777" w:rsidR="003076FF" w:rsidRDefault="003076FF" w:rsidP="003076FF">
      <w:pPr>
        <w:pStyle w:val="BodyBullets-last"/>
      </w:pPr>
      <w:r>
        <w:t>external legal services.</w:t>
      </w:r>
    </w:p>
    <w:p w14:paraId="1AC46783" w14:textId="77777777" w:rsidR="003076FF" w:rsidRDefault="003076FF" w:rsidP="003076FF">
      <w:pPr>
        <w:pStyle w:val="BodyCopy"/>
      </w:pPr>
      <w:r>
        <w:t>Consultancy contracts are undertaken in line with the Agency’s commitment to conduct procurements in accordance with the Commonwealth Procurement Rules (CPRs). The Agency has procurement policies that govern procurement of all goods and services. The Agency is committed to achieving value-for-money outcomes for all procurement activities. This includes encouraging competition, ensuring efficient, effective, economical and ethical use of resources and ensuring accountability and transparency in decision-making.</w:t>
      </w:r>
    </w:p>
    <w:p w14:paraId="7BC3BF63" w14:textId="77777777" w:rsidR="003076FF" w:rsidRDefault="003076FF" w:rsidP="003076FF">
      <w:pPr>
        <w:pStyle w:val="BodyCopy"/>
      </w:pPr>
      <w:r>
        <w:t xml:space="preserve">The Agency undertakes a range of procurement and contract management activities in accordance with Agency policies but does not report these contractual arrangements via </w:t>
      </w:r>
      <w:proofErr w:type="spellStart"/>
      <w:r>
        <w:t>AusTender</w:t>
      </w:r>
      <w:proofErr w:type="spellEnd"/>
      <w:r>
        <w:t xml:space="preserve"> as this is not a requirement for a non-prescribed corporate Commonwealth entity.</w:t>
      </w:r>
    </w:p>
    <w:p w14:paraId="1F923F04" w14:textId="4E1905A8" w:rsidR="003076FF" w:rsidRDefault="003076FF" w:rsidP="003076FF">
      <w:pPr>
        <w:pStyle w:val="BodyCopy"/>
      </w:pPr>
      <w:r>
        <w:t xml:space="preserve">The Agency supports small business participation in the Commonwealth Government procurement market through its commitment to undertake procurement activities in line with the CPRs. Small and medium enterprises and small enterprise participation statistics are available on the </w:t>
      </w:r>
      <w:hyperlink r:id="rId11" w:history="1">
        <w:r w:rsidR="003D4273" w:rsidRPr="003D4273">
          <w:rPr>
            <w:rStyle w:val="Hyperlink"/>
          </w:rPr>
          <w:t>Department of Finance’s website</w:t>
        </w:r>
      </w:hyperlink>
      <w:r w:rsidR="003D4273">
        <w:rPr>
          <w:rStyle w:val="FootnoteReference"/>
        </w:rPr>
        <w:footnoteReference w:id="5"/>
      </w:r>
      <w:r>
        <w:t>.</w:t>
      </w:r>
    </w:p>
    <w:p w14:paraId="48882E48" w14:textId="77777777" w:rsidR="003076FF" w:rsidRDefault="003076FF" w:rsidP="003076FF">
      <w:pPr>
        <w:pStyle w:val="BodyCopy"/>
      </w:pPr>
      <w:r>
        <w:t xml:space="preserve">Additional ways the Agency’s procurement practices support small businesses include: </w:t>
      </w:r>
    </w:p>
    <w:p w14:paraId="2B6451FB" w14:textId="77777777" w:rsidR="003076FF" w:rsidRDefault="003076FF" w:rsidP="003076FF">
      <w:pPr>
        <w:pStyle w:val="BodyBullets"/>
      </w:pPr>
      <w:r>
        <w:t>encouraging credit card payment for purchases under $10 000</w:t>
      </w:r>
    </w:p>
    <w:p w14:paraId="42A9CB26" w14:textId="77777777" w:rsidR="003076FF" w:rsidRDefault="003076FF" w:rsidP="003076FF">
      <w:pPr>
        <w:pStyle w:val="BodyBullets"/>
      </w:pPr>
      <w:r>
        <w:t>communicating with vendors in clear, easily understood language and providing access to information in a consistent, accessible format</w:t>
      </w:r>
    </w:p>
    <w:p w14:paraId="06E336CB" w14:textId="77777777" w:rsidR="003076FF" w:rsidRDefault="003076FF" w:rsidP="003076FF">
      <w:pPr>
        <w:pStyle w:val="BodyBullets-last"/>
      </w:pPr>
      <w:r>
        <w:t>providing a rolling training program to support awareness for Agency staff who conduct procurement activities.</w:t>
      </w:r>
    </w:p>
    <w:p w14:paraId="55B9AFE2" w14:textId="3BEC4260" w:rsidR="003076FF" w:rsidRDefault="003076FF" w:rsidP="003076FF">
      <w:pPr>
        <w:pStyle w:val="BodyCopy"/>
      </w:pPr>
      <w:r>
        <w:t>The results of the Survey of Australian Government Payments to Small Business are available on th</w:t>
      </w:r>
      <w:r w:rsidR="001F425B">
        <w:t xml:space="preserve">e </w:t>
      </w:r>
      <w:hyperlink r:id="rId12" w:history="1">
        <w:r w:rsidR="001F425B" w:rsidRPr="001F425B">
          <w:rPr>
            <w:rStyle w:val="Hyperlink"/>
          </w:rPr>
          <w:t>Treasury website</w:t>
        </w:r>
      </w:hyperlink>
      <w:r w:rsidR="001F425B">
        <w:rPr>
          <w:rStyle w:val="FootnoteReference"/>
        </w:rPr>
        <w:footnoteReference w:id="6"/>
      </w:r>
      <w:r>
        <w:t>.</w:t>
      </w:r>
    </w:p>
    <w:p w14:paraId="4F9D5C66" w14:textId="646AB0BC" w:rsidR="003076FF" w:rsidRDefault="003076FF" w:rsidP="002D2E36">
      <w:pPr>
        <w:pStyle w:val="Heading3"/>
      </w:pPr>
      <w:r>
        <w:t xml:space="preserve">Australian National Audit Office Access clauses </w:t>
      </w:r>
    </w:p>
    <w:p w14:paraId="62EE9316" w14:textId="77777777" w:rsidR="003076FF" w:rsidRDefault="003076FF" w:rsidP="003076FF">
      <w:pPr>
        <w:pStyle w:val="BodyCopy"/>
      </w:pPr>
      <w:r>
        <w:t xml:space="preserve">The Agency does not have any contracts let during the reporting period, which do not provide for the Auditor-General to have access to the contractor’s premises. </w:t>
      </w:r>
    </w:p>
    <w:p w14:paraId="758DB19E" w14:textId="3FDD44E8" w:rsidR="003076FF" w:rsidRDefault="003076FF" w:rsidP="002D2E36">
      <w:pPr>
        <w:pStyle w:val="Heading3"/>
      </w:pPr>
      <w:r>
        <w:t>Advertising and market research</w:t>
      </w:r>
    </w:p>
    <w:p w14:paraId="57E3F98D" w14:textId="77777777" w:rsidR="003076FF" w:rsidRDefault="003076FF" w:rsidP="003076FF">
      <w:pPr>
        <w:pStyle w:val="BodyCopy"/>
      </w:pPr>
      <w:r>
        <w:t xml:space="preserve">The Agency placed advertising for staff recruitment </w:t>
      </w:r>
      <w:proofErr w:type="spellStart"/>
      <w:r>
        <w:t>totalling</w:t>
      </w:r>
      <w:proofErr w:type="spellEnd"/>
      <w:r>
        <w:t xml:space="preserve"> $15 963 (GST inclusive) through </w:t>
      </w:r>
      <w:proofErr w:type="spellStart"/>
      <w:r>
        <w:t>Adcorp</w:t>
      </w:r>
      <w:proofErr w:type="spellEnd"/>
      <w:r>
        <w:t xml:space="preserve"> Recruitment Advertising, via the Whole of Government arrangement. </w:t>
      </w:r>
    </w:p>
    <w:p w14:paraId="5FE97980" w14:textId="3704ACE3" w:rsidR="003076FF" w:rsidRDefault="003076FF" w:rsidP="002D2E36">
      <w:pPr>
        <w:pStyle w:val="Heading3"/>
      </w:pPr>
      <w:r>
        <w:t>Grants Programs</w:t>
      </w:r>
    </w:p>
    <w:p w14:paraId="1AE71731" w14:textId="77777777" w:rsidR="003076FF" w:rsidRDefault="003076FF" w:rsidP="003076FF">
      <w:pPr>
        <w:pStyle w:val="IntroPara"/>
      </w:pPr>
      <w:r>
        <w:t xml:space="preserve">Three sets of grants were administered by the Agency in the 2015-16 financial year: </w:t>
      </w:r>
    </w:p>
    <w:p w14:paraId="2E7177A9" w14:textId="77777777" w:rsidR="003076FF" w:rsidRDefault="003076FF" w:rsidP="003076FF">
      <w:pPr>
        <w:pStyle w:val="BodyBullets"/>
      </w:pPr>
      <w:r>
        <w:lastRenderedPageBreak/>
        <w:t>Community Inclusion and Capacity Development (CICD) grants</w:t>
      </w:r>
    </w:p>
    <w:p w14:paraId="52086576" w14:textId="77777777" w:rsidR="003076FF" w:rsidRDefault="003076FF" w:rsidP="003076FF">
      <w:pPr>
        <w:pStyle w:val="BodyBullets"/>
      </w:pPr>
      <w:r>
        <w:t>grants to support Local Area Coordination (LAC) Activities</w:t>
      </w:r>
    </w:p>
    <w:p w14:paraId="27293C41" w14:textId="77777777" w:rsidR="003076FF" w:rsidRDefault="003076FF" w:rsidP="003076FF">
      <w:pPr>
        <w:pStyle w:val="BodyBullets-last"/>
      </w:pPr>
      <w:r>
        <w:t xml:space="preserve">miscellaneous NDIA grants. </w:t>
      </w:r>
    </w:p>
    <w:p w14:paraId="73F96207" w14:textId="77777777" w:rsidR="003076FF" w:rsidRDefault="003076FF" w:rsidP="003076FF">
      <w:pPr>
        <w:pStyle w:val="BodyCopy"/>
      </w:pPr>
      <w:r>
        <w:t>The individual CICD grants awarded in 2015-16 are listed within Program 1.2 Community Inclusion and Capacity Development Grants page 102.</w:t>
      </w:r>
    </w:p>
    <w:p w14:paraId="41328D45" w14:textId="77777777" w:rsidR="003076FF" w:rsidRDefault="003076FF" w:rsidP="003076FF">
      <w:pPr>
        <w:pStyle w:val="BodyCopy"/>
      </w:pPr>
      <w:r>
        <w:t xml:space="preserve">Following an extended community consultation process, the Agency has developed the Information, Linkages and Capacity Building Framework that will inform the grants provided under the Community Inclusion and Capacity Development Grants Program from 1 July 2016. </w:t>
      </w:r>
    </w:p>
    <w:p w14:paraId="4B626B1B" w14:textId="3427B2E8" w:rsidR="003076FF" w:rsidRDefault="003076FF" w:rsidP="002D2E36">
      <w:pPr>
        <w:pStyle w:val="Heading3"/>
      </w:pPr>
      <w:r>
        <w:t>Australian National Audit Office</w:t>
      </w:r>
    </w:p>
    <w:p w14:paraId="19B3B8E3" w14:textId="77777777" w:rsidR="003076FF" w:rsidRDefault="003076FF" w:rsidP="003076FF">
      <w:pPr>
        <w:pStyle w:val="BodyCopy"/>
      </w:pPr>
      <w:r>
        <w:t>The ANAO conducts an annual audit of the Agency’s financial statements under the PGPA Act and their audit report is included in Section 4 of this annual report. During 2015-16, the ANAO has also conducted a performance audit on market transition activities, however the report has not yet been released.</w:t>
      </w:r>
    </w:p>
    <w:p w14:paraId="1EC89A48" w14:textId="77777777" w:rsidR="003076FF" w:rsidRDefault="003076FF" w:rsidP="003076FF">
      <w:pPr>
        <w:pStyle w:val="BodyCopy"/>
      </w:pPr>
      <w:r>
        <w:t>In developing and monitoring the Agency’s operating model and financial management framework, the Agency has regard to the ANAO’s publications and reports including better practice guides on various topics of administration and internal control, as well as other examples of best practice in the Commonwealth, including resource management guides in support of the Commonwealth Resource Management Framework.</w:t>
      </w:r>
    </w:p>
    <w:p w14:paraId="10D39061" w14:textId="3B584409" w:rsidR="003076FF" w:rsidRDefault="003076FF" w:rsidP="002D2E36">
      <w:pPr>
        <w:pStyle w:val="Heading3"/>
      </w:pPr>
      <w:r>
        <w:t>Internal audit</w:t>
      </w:r>
    </w:p>
    <w:p w14:paraId="1F569303" w14:textId="77777777" w:rsidR="003076FF" w:rsidRDefault="003076FF" w:rsidP="003076FF">
      <w:pPr>
        <w:pStyle w:val="BodyCopy"/>
      </w:pPr>
      <w:r>
        <w:t>The Agency had an internal audit program in place throughout 2015–16. The program is based on identified areas of significant financial or operational risk and contributes to the effectiveness of controls and governance processes in place to manage those risks.</w:t>
      </w:r>
    </w:p>
    <w:p w14:paraId="57528F4A" w14:textId="77777777" w:rsidR="003076FF" w:rsidRDefault="003076FF" w:rsidP="003076FF">
      <w:pPr>
        <w:pStyle w:val="BodyCopy"/>
      </w:pPr>
      <w:r>
        <w:t>The objectives of the Agency’s internal audit program are to provide assurance to the CEO and Board that the Agency’s financial and operational controls are functioning efficiently, effectively, economically and ethically whilst assisting management in improving the Agency’s business performance.</w:t>
      </w:r>
    </w:p>
    <w:p w14:paraId="154FE260" w14:textId="77777777" w:rsidR="003076FF" w:rsidRDefault="003076FF" w:rsidP="003076FF">
      <w:pPr>
        <w:pStyle w:val="BodyCopy"/>
      </w:pPr>
      <w:r>
        <w:t>The Board’s ARFC has overall responsibility for the internal audit program, including determining the audits to be conducted, receiving reports, and monitoring management action taken to address audit findings. The ARFC has endorsed a two-year internal audit plan covering 2016 to 2018, which is reviewed and updated annually.</w:t>
      </w:r>
    </w:p>
    <w:p w14:paraId="34AC4435" w14:textId="77777777" w:rsidR="003076FF" w:rsidRDefault="003076FF" w:rsidP="003076FF">
      <w:pPr>
        <w:pStyle w:val="BodyCopy"/>
      </w:pPr>
      <w:r>
        <w:t>The 2015–16 internal audit program focused on transition to full Scheme, and included the Agency’s participant self-management processes, property management, readiness for transition, and fraud control processes.</w:t>
      </w:r>
    </w:p>
    <w:p w14:paraId="4FC17C18" w14:textId="476D99E7" w:rsidR="003076FF" w:rsidRDefault="003076FF" w:rsidP="002D2E36">
      <w:pPr>
        <w:pStyle w:val="Heading3"/>
      </w:pPr>
      <w:r>
        <w:t xml:space="preserve">Purchaser-provider </w:t>
      </w:r>
      <w:r>
        <w:br/>
        <w:t>arrangements</w:t>
      </w:r>
    </w:p>
    <w:p w14:paraId="4CC29290" w14:textId="77777777" w:rsidR="003076FF" w:rsidRDefault="003076FF" w:rsidP="003076FF">
      <w:pPr>
        <w:pStyle w:val="BodyCopy"/>
      </w:pPr>
      <w:r>
        <w:t>The Agency has a Memorandum of Understanding (MoU) with the Department of Social Services (DSS) for the provision of corporate and ICT services, which ended on 30 June 2016. DSS will continue to provide a range of other services to the Agency. During the 2015–16 financial year, the provision of ICT services (e.g. End User Computing) was transferred to the Department of Human Services (DHS). From 1 July 2016, the majority of the Agency’s corporate services will be provided by the DHS through a shared services arrangement.</w:t>
      </w:r>
    </w:p>
    <w:p w14:paraId="5F7D8317" w14:textId="77777777" w:rsidR="003076FF" w:rsidRDefault="003076FF" w:rsidP="003076FF">
      <w:pPr>
        <w:pStyle w:val="BodyCopy"/>
      </w:pPr>
      <w:r>
        <w:t>The Agency also has bilateral agreements with states and territories that outline how the Scheme is expected to operate in sites including the roles and responsibilities of the Commonwealth and respective state and territory governments.</w:t>
      </w:r>
    </w:p>
    <w:p w14:paraId="6D1AEEF5" w14:textId="5CAFC920" w:rsidR="003076FF" w:rsidRDefault="003076FF" w:rsidP="002D2E36">
      <w:pPr>
        <w:pStyle w:val="Heading3"/>
      </w:pPr>
      <w:r>
        <w:lastRenderedPageBreak/>
        <w:t>Risk management</w:t>
      </w:r>
    </w:p>
    <w:p w14:paraId="3D4E1288" w14:textId="77777777" w:rsidR="003076FF" w:rsidRDefault="003076FF" w:rsidP="003076FF">
      <w:pPr>
        <w:pStyle w:val="BodyCopy"/>
      </w:pPr>
      <w:r>
        <w:t>The approach adopted by the Board is set out in the Agency’s risk management strategy that has been developed to comply with the NDIS Risk Management Rules 2013 (RMR). Consistent with the RMR, and reflecting the insurance basis of the Scheme, the Board uses the Australian Prudential Regulation Authority’s Prudential Risk Standard (CPS220) as the standard by which risk management activities are assessed in the Agency.</w:t>
      </w:r>
    </w:p>
    <w:p w14:paraId="7729CA0A" w14:textId="77777777" w:rsidR="003076FF" w:rsidRDefault="003076FF" w:rsidP="003076FF">
      <w:pPr>
        <w:pStyle w:val="BodyCopy"/>
      </w:pPr>
      <w:r>
        <w:t>The risk management strategy:</w:t>
      </w:r>
    </w:p>
    <w:p w14:paraId="1938CB49" w14:textId="77777777" w:rsidR="003076FF" w:rsidRDefault="003076FF" w:rsidP="003076FF">
      <w:pPr>
        <w:pStyle w:val="BodyBullets"/>
      </w:pPr>
      <w:r>
        <w:t>outlines the risk governance relationship between the Board, committees of the Board and Agency senior management</w:t>
      </w:r>
    </w:p>
    <w:p w14:paraId="32DB677E" w14:textId="77777777" w:rsidR="003076FF" w:rsidRDefault="003076FF" w:rsidP="003076FF">
      <w:pPr>
        <w:pStyle w:val="BodyBullets"/>
      </w:pPr>
      <w:r>
        <w:t>sets out specific risk management roles and responsibilities</w:t>
      </w:r>
    </w:p>
    <w:p w14:paraId="261E1A8D" w14:textId="77777777" w:rsidR="003076FF" w:rsidRDefault="003076FF" w:rsidP="003076FF">
      <w:pPr>
        <w:pStyle w:val="BodyBullets-last"/>
      </w:pPr>
      <w:r>
        <w:t xml:space="preserve">describes the processes for identifying and assessing risks, for how the Agency raises staff risk awareness and develops an appropriate risk culture, and for the annual review process by which the Agency assesses the effectiveness </w:t>
      </w:r>
      <w:r>
        <w:br/>
        <w:t>of its risk management framework.</w:t>
      </w:r>
    </w:p>
    <w:p w14:paraId="6BED5B87" w14:textId="77777777" w:rsidR="003076FF" w:rsidRDefault="003076FF" w:rsidP="003076FF">
      <w:pPr>
        <w:pStyle w:val="BodyCopy"/>
      </w:pPr>
      <w:r>
        <w:t>The Board and the Agency focus extensively on risk identification, monitoring and mitigation, in particular for strategic risks that could materially impact on the success of the Scheme.</w:t>
      </w:r>
    </w:p>
    <w:p w14:paraId="0BDD2EC0" w14:textId="77777777" w:rsidR="003076FF" w:rsidRDefault="003076FF" w:rsidP="003076FF">
      <w:pPr>
        <w:pStyle w:val="BodyCopy"/>
      </w:pPr>
      <w:r>
        <w:t xml:space="preserve">The Agency has in place a Chief Risk Officer and associated Risk and Assurance Team, who are operationally independent and are responsible </w:t>
      </w:r>
      <w:r>
        <w:br/>
        <w:t>for implementing the risk management strategy.</w:t>
      </w:r>
    </w:p>
    <w:p w14:paraId="3F573406" w14:textId="77777777" w:rsidR="003076FF" w:rsidRDefault="003076FF" w:rsidP="003076FF">
      <w:pPr>
        <w:pStyle w:val="BodyBullets"/>
      </w:pPr>
      <w:r>
        <w:t xml:space="preserve">The Board regularly considers advice from management on how the Agency tackles risks to the delivery of the corporate plan. This includes oversight of the status and progress of major projects and service delivery operations. </w:t>
      </w:r>
    </w:p>
    <w:p w14:paraId="0F738D78" w14:textId="77777777" w:rsidR="003076FF" w:rsidRDefault="003076FF" w:rsidP="003076FF">
      <w:pPr>
        <w:pStyle w:val="BodyBullets"/>
      </w:pPr>
      <w:r>
        <w:t>The Board has established an Audit, Risk and Finance Committee to provide relevant assurance and advice.</w:t>
      </w:r>
    </w:p>
    <w:p w14:paraId="5F06EC6A" w14:textId="77777777" w:rsidR="003076FF" w:rsidRDefault="003076FF" w:rsidP="003076FF">
      <w:pPr>
        <w:pStyle w:val="BodyBullets"/>
      </w:pPr>
      <w:r>
        <w:t xml:space="preserve">The Board has also established a Sustainability Committee to assess, monitor, report and manage Scheme financial sustainability. This role of the committee includes oversight of Scheme sustainability risks. </w:t>
      </w:r>
    </w:p>
    <w:p w14:paraId="27A884B6" w14:textId="77777777" w:rsidR="003076FF" w:rsidRDefault="003076FF" w:rsidP="003076FF">
      <w:pPr>
        <w:pStyle w:val="BodyBullets"/>
      </w:pPr>
      <w:r>
        <w:t xml:space="preserve">The Scheme legislation (NDIS Act) establishes the role of the Scheme Actuary who is responsible for financial sustainability and risk management. The Scheme Actuary produces regular financial sustainability reports and has implemented a continuous evaluation framework of Scheme performance. </w:t>
      </w:r>
    </w:p>
    <w:p w14:paraId="06F80AAB" w14:textId="77777777" w:rsidR="003076FF" w:rsidRDefault="003076FF" w:rsidP="003076FF">
      <w:pPr>
        <w:pStyle w:val="BodyBullets-last"/>
      </w:pPr>
      <w:r>
        <w:t xml:space="preserve">In addition, the Agency has appointed a Chief Risk Officer to assist the Board and its executive by providing objective risk review, oversight, monitoring and reporting. This oversight role has independent reporting access to the Board through the Audit, Risk and Finance Committee. </w:t>
      </w:r>
    </w:p>
    <w:p w14:paraId="74BDFFB6" w14:textId="533F18C0" w:rsidR="003076FF" w:rsidRDefault="003076FF" w:rsidP="004A6277">
      <w:pPr>
        <w:pStyle w:val="Heading3"/>
      </w:pPr>
      <w:r>
        <w:t>Operational implementation</w:t>
      </w:r>
    </w:p>
    <w:p w14:paraId="3807CECC" w14:textId="77777777" w:rsidR="003076FF" w:rsidRDefault="003076FF" w:rsidP="003076FF">
      <w:pPr>
        <w:pStyle w:val="BodyCopy"/>
      </w:pPr>
      <w:r>
        <w:t xml:space="preserve">Operational and project risks are monitored and managed by the Agency’s senior executives regularly. Senior executives are supported in this task by an Agency wide framework which facilitates the rigorous identification and reporting of risks for consideration and action. </w:t>
      </w:r>
    </w:p>
    <w:p w14:paraId="02549CA4" w14:textId="09DB4DA4" w:rsidR="006D1BCE" w:rsidRPr="006D1BCE" w:rsidRDefault="006D1BCE" w:rsidP="006D1BCE">
      <w:pPr>
        <w:pStyle w:val="Heading1"/>
        <w:rPr>
          <w:lang w:val="en-GB"/>
        </w:rPr>
      </w:pPr>
      <w:bookmarkStart w:id="87" w:name="_Toc464482128"/>
      <w:r w:rsidRPr="006D1BCE">
        <w:rPr>
          <w:lang w:val="en-GB"/>
        </w:rPr>
        <w:lastRenderedPageBreak/>
        <w:t>Section 4</w:t>
      </w:r>
      <w:r>
        <w:rPr>
          <w:lang w:val="en-GB"/>
        </w:rPr>
        <w:t xml:space="preserve">: </w:t>
      </w:r>
      <w:r w:rsidRPr="006D1BCE">
        <w:rPr>
          <w:lang w:val="en-GB"/>
        </w:rPr>
        <w:t>Scheme sustainability and financial performance</w:t>
      </w:r>
      <w:bookmarkEnd w:id="87"/>
    </w:p>
    <w:p w14:paraId="58ECC201" w14:textId="3B621A88" w:rsidR="001E2BF3" w:rsidRDefault="001E2BF3" w:rsidP="001E2BF3">
      <w:pPr>
        <w:pStyle w:val="Heading2"/>
      </w:pPr>
      <w:bookmarkStart w:id="88" w:name="_Toc464482129"/>
      <w:r>
        <w:lastRenderedPageBreak/>
        <w:t>Annual financial sustainability report 2015-16</w:t>
      </w:r>
      <w:bookmarkEnd w:id="88"/>
    </w:p>
    <w:p w14:paraId="0DDB976D" w14:textId="77777777" w:rsidR="001E2BF3" w:rsidRDefault="001E2BF3" w:rsidP="001E2BF3">
      <w:pPr>
        <w:pStyle w:val="BodyCopy"/>
      </w:pPr>
      <w:r>
        <w:t xml:space="preserve">Sarah Johnson </w:t>
      </w:r>
      <w:proofErr w:type="spellStart"/>
      <w:r>
        <w:t>BCom</w:t>
      </w:r>
      <w:proofErr w:type="spellEnd"/>
      <w:r>
        <w:t xml:space="preserve"> FIAA</w:t>
      </w:r>
      <w:r>
        <w:t> </w:t>
      </w:r>
      <w:r>
        <w:t>|</w:t>
      </w:r>
      <w:r>
        <w:t> </w:t>
      </w:r>
      <w:r>
        <w:rPr>
          <w:rStyle w:val="Bold"/>
        </w:rPr>
        <w:t>Scheme Actuary</w:t>
      </w:r>
    </w:p>
    <w:p w14:paraId="3C4CFC20" w14:textId="4945FC9C" w:rsidR="001E2BF3" w:rsidRDefault="001E2BF3" w:rsidP="001E2BF3">
      <w:pPr>
        <w:pStyle w:val="Heading3"/>
      </w:pPr>
      <w:r>
        <w:t>Introduction</w:t>
      </w:r>
    </w:p>
    <w:p w14:paraId="7071350F" w14:textId="77777777" w:rsidR="001E2BF3" w:rsidRDefault="001E2BF3" w:rsidP="001E2BF3">
      <w:pPr>
        <w:pStyle w:val="IntroPara"/>
      </w:pPr>
      <w:r>
        <w:t xml:space="preserve">This annual financial sustainability report is required under section 180B of the NDIS Act. This report provides an assessment of the financial sustainability of the NDIS after </w:t>
      </w:r>
      <w:r>
        <w:br/>
        <w:t>the three year trial period.</w:t>
      </w:r>
    </w:p>
    <w:p w14:paraId="420D6DB2" w14:textId="5A7BB6D8" w:rsidR="001E2BF3" w:rsidRDefault="001E2BF3" w:rsidP="001E2BF3">
      <w:pPr>
        <w:pStyle w:val="Heading3"/>
      </w:pPr>
      <w:r>
        <w:t>The Scheme at 30 June 2016</w:t>
      </w:r>
    </w:p>
    <w:p w14:paraId="18361936" w14:textId="77777777" w:rsidR="001E2BF3" w:rsidRDefault="001E2BF3" w:rsidP="001E2BF3">
      <w:pPr>
        <w:pStyle w:val="BodyCopy"/>
      </w:pPr>
      <w:r>
        <w:t>At 30 June 2016, 30 281 participants have had approved plans. Comparison between the revenue received during the trial from both the Commonwealth and state and territory governments (the “funding envelope”) and the amount of support used by participants, results in a small surplus over the three years (approximately 1.5 per cent of the funding envelope).</w:t>
      </w:r>
    </w:p>
    <w:p w14:paraId="6E71F465" w14:textId="2092009B" w:rsidR="001E2BF3" w:rsidRDefault="001E2BF3" w:rsidP="001E2BF3">
      <w:pPr>
        <w:pStyle w:val="Heading3"/>
      </w:pPr>
      <w:r>
        <w:t>Current pressures</w:t>
      </w:r>
    </w:p>
    <w:p w14:paraId="24B9C758" w14:textId="77777777" w:rsidR="001E2BF3" w:rsidRDefault="001E2BF3" w:rsidP="001E2BF3">
      <w:pPr>
        <w:pStyle w:val="BodyCopy"/>
      </w:pPr>
      <w:r>
        <w:t>Whilst the Scheme was within the funding envelope for the three years of trial, there are some current pressures which are requiring management responses. These pressures are:</w:t>
      </w:r>
    </w:p>
    <w:p w14:paraId="0621502B" w14:textId="77777777" w:rsidR="001E2BF3" w:rsidRDefault="001E2BF3" w:rsidP="001E2BF3">
      <w:pPr>
        <w:pStyle w:val="BodyBulletscopy"/>
      </w:pPr>
      <w:r>
        <w:t xml:space="preserve">higher than expected numbers of children entering the Scheme </w:t>
      </w:r>
    </w:p>
    <w:p w14:paraId="470D22E4" w14:textId="77777777" w:rsidR="001E2BF3" w:rsidRDefault="001E2BF3" w:rsidP="001E2BF3">
      <w:pPr>
        <w:pStyle w:val="BodyBulletscopy"/>
      </w:pPr>
      <w:r>
        <w:t>increasing package costs over and above the impacts of inflation and ageing (“super-imposed” inflation)</w:t>
      </w:r>
    </w:p>
    <w:p w14:paraId="5E00512E" w14:textId="77777777" w:rsidR="001E2BF3" w:rsidRDefault="001E2BF3" w:rsidP="001E2BF3">
      <w:pPr>
        <w:pStyle w:val="BodyBulletscopy"/>
      </w:pPr>
      <w:r>
        <w:t>potential participants continuing to approach the Scheme</w:t>
      </w:r>
    </w:p>
    <w:p w14:paraId="4D372F12" w14:textId="77777777" w:rsidR="001E2BF3" w:rsidRDefault="001E2BF3" w:rsidP="001E2BF3">
      <w:pPr>
        <w:pStyle w:val="BodyBulletscopy"/>
      </w:pPr>
      <w:r>
        <w:t xml:space="preserve">lower than expected participants exiting the Scheme </w:t>
      </w:r>
    </w:p>
    <w:p w14:paraId="5915ABD1" w14:textId="77777777" w:rsidR="001E2BF3" w:rsidRDefault="001E2BF3" w:rsidP="001E2BF3">
      <w:pPr>
        <w:pStyle w:val="BodyBullets-last"/>
      </w:pPr>
      <w:r>
        <w:t xml:space="preserve">a mismatch between benchmark package </w:t>
      </w:r>
      <w:r>
        <w:br/>
        <w:t xml:space="preserve">costs and actual package costs. </w:t>
      </w:r>
    </w:p>
    <w:p w14:paraId="2F6D4872" w14:textId="010A4129" w:rsidR="001E2BF3" w:rsidRDefault="001E2BF3" w:rsidP="001E2BF3">
      <w:pPr>
        <w:pStyle w:val="Heading3"/>
      </w:pPr>
      <w:r>
        <w:t>NDIS insurance approach</w:t>
      </w:r>
    </w:p>
    <w:p w14:paraId="0E80F6E3" w14:textId="77777777" w:rsidR="001E2BF3" w:rsidRDefault="001E2BF3" w:rsidP="001E2BF3">
      <w:pPr>
        <w:pStyle w:val="BodyCopy"/>
      </w:pPr>
      <w:r>
        <w:t>The NDIS insurance approach allows pressures on the Scheme to be identified early and for management responses put in place to respond to these pressures. Specifically, data is collected on participants (including the characteristics of the participants, costs and outcomes), and this actual experience is compared with the baseline projection. This actuarial monitoring occurs continuously and allows management to put in place strategies as required.</w:t>
      </w:r>
    </w:p>
    <w:p w14:paraId="048C2228" w14:textId="77777777" w:rsidR="001E2BF3" w:rsidRDefault="001E2BF3" w:rsidP="001E2BF3">
      <w:pPr>
        <w:pStyle w:val="BodyCopy"/>
      </w:pPr>
      <w:r>
        <w:t>It is not unreasonable that some emerging pressures are evident after three years of the Scheme. This is common in any statutory insurance or social welfare reform, and also reflects the fast implementation of the NDIS. The current pressures are a reflection of the original implementation, and learning from this implementation has assisted with the management responses.</w:t>
      </w:r>
    </w:p>
    <w:p w14:paraId="0F071B25" w14:textId="08B8EE5C" w:rsidR="001E2BF3" w:rsidRDefault="001E2BF3" w:rsidP="001E2BF3">
      <w:pPr>
        <w:pStyle w:val="Heading3"/>
      </w:pPr>
      <w:r>
        <w:t>Management responses</w:t>
      </w:r>
    </w:p>
    <w:p w14:paraId="1EA92047" w14:textId="77777777" w:rsidR="001E2BF3" w:rsidRDefault="001E2BF3" w:rsidP="001E2BF3">
      <w:pPr>
        <w:pStyle w:val="BodyCopy"/>
      </w:pPr>
      <w:r>
        <w:t xml:space="preserve">Importantly the data and evidence is available to understand what is driving these pressures and operational responses are underway to address the cost pressures. All else being equal, if these responses are as effective as expected then the </w:t>
      </w:r>
      <w:r>
        <w:lastRenderedPageBreak/>
        <w:t>trends identified should be mitigated, and it is reasonable to expect financial sustainability throughout transition and full Scheme.</w:t>
      </w:r>
    </w:p>
    <w:p w14:paraId="5948025B" w14:textId="77777777" w:rsidR="001E2BF3" w:rsidRDefault="001E2BF3" w:rsidP="001E2BF3">
      <w:pPr>
        <w:pStyle w:val="BodyCopy"/>
      </w:pPr>
      <w:r>
        <w:t xml:space="preserve">Two specific initiatives are the Early Childhood Early Intervention (ECEI) approach and the reference package and first plan approach. </w:t>
      </w:r>
    </w:p>
    <w:p w14:paraId="3A8F5099" w14:textId="77777777" w:rsidR="001E2BF3" w:rsidRDefault="001E2BF3" w:rsidP="001E2BF3">
      <w:pPr>
        <w:pStyle w:val="BodyBulletscopy"/>
      </w:pPr>
      <w:r>
        <w:t>The ECEI approach is being progressively rolled out. The ECEI approach provides a gateway to the Scheme for children 0-6 years, which aims to ensure only children meeting the eligibly criteria for the NDIS enter as a participant. The gateway also provides support for children to access mainstream and community services when they do not meet the criteria, but need some support to access these services.</w:t>
      </w:r>
    </w:p>
    <w:p w14:paraId="2713DADF" w14:textId="77777777" w:rsidR="001E2BF3" w:rsidRDefault="001E2BF3" w:rsidP="001E2BF3">
      <w:pPr>
        <w:pStyle w:val="BodyBullets-last"/>
      </w:pPr>
      <w:r>
        <w:t xml:space="preserve">The reference package and first plan process is a method for better aligning the level of function and need with support packages for participants when they first enter the Scheme. This process is now underway, but ongoing refinement of this process to ensure the right assessment tools and questions are used is critical. This method for allocating funds should also be a focus at plan review. Importantly, this process assists in determining the reasonable and necessary support package from which participants can then plan their supports to meet their goals. </w:t>
      </w:r>
    </w:p>
    <w:p w14:paraId="3FC055F5" w14:textId="77777777" w:rsidR="001E2BF3" w:rsidRDefault="001E2BF3" w:rsidP="001E2BF3">
      <w:pPr>
        <w:pStyle w:val="BodyCopy"/>
      </w:pPr>
      <w:r>
        <w:t>In addition to these two initiatives, NDIA management has put in place a Sustainability and Liability Review Working Group led by the CEO to oversee the initiatives addressing the cost pressures identified above. Further initiatives include:</w:t>
      </w:r>
    </w:p>
    <w:p w14:paraId="50AE73A4" w14:textId="77777777" w:rsidR="001E2BF3" w:rsidRDefault="001E2BF3" w:rsidP="001E2BF3">
      <w:pPr>
        <w:pStyle w:val="BodyBulletscopy"/>
      </w:pPr>
      <w:r>
        <w:t>Analysis of reasonable and necessary costs across the lifespan with emphasis on levels of community participation and supports to live outside of the family home (including supported independent living). This analysis leverages work undertaken by the Independent Advisory Council (IAC or the Council) on reasonable and necessary support.</w:t>
      </w:r>
    </w:p>
    <w:p w14:paraId="4F973A09" w14:textId="77777777" w:rsidR="001E2BF3" w:rsidRDefault="001E2BF3" w:rsidP="001E2BF3">
      <w:pPr>
        <w:pStyle w:val="BodyBulletscopy"/>
      </w:pPr>
      <w:r>
        <w:t>Development of guidelines on reasonable levels of family support across the lifespan.</w:t>
      </w:r>
    </w:p>
    <w:p w14:paraId="779A54D7" w14:textId="77777777" w:rsidR="001E2BF3" w:rsidRDefault="001E2BF3" w:rsidP="001E2BF3">
      <w:pPr>
        <w:pStyle w:val="BodyBulletscopy"/>
      </w:pPr>
      <w:r>
        <w:t xml:space="preserve">Analysis of the possibility of a gateway for people with psychosocial disability to make sure that the right people with psychosocial disability enter the Scheme and that people are supported to access mainstream and community services. Further, work on reference packages for people with psychosocial disability is also underway. </w:t>
      </w:r>
    </w:p>
    <w:p w14:paraId="76B5B9AF" w14:textId="77777777" w:rsidR="001E2BF3" w:rsidRDefault="001E2BF3" w:rsidP="001E2BF3">
      <w:pPr>
        <w:pStyle w:val="BodyBulletscopy"/>
      </w:pPr>
      <w:r>
        <w:t>Further guidance on chronic health conditions and the role of other support systems in supporting people with chronic health conditions.</w:t>
      </w:r>
    </w:p>
    <w:p w14:paraId="34A158E6" w14:textId="77777777" w:rsidR="001E2BF3" w:rsidRDefault="001E2BF3" w:rsidP="001E2BF3">
      <w:pPr>
        <w:pStyle w:val="BodyBullets-last"/>
      </w:pPr>
      <w:r>
        <w:t xml:space="preserve">Investment in the School Leavers Employment Support (SLES) initiative to assist school leavers into employment. This initiative also has the potential for wider economic benefits, such as reduced reliance on income support. </w:t>
      </w:r>
    </w:p>
    <w:p w14:paraId="2CDC3FCE" w14:textId="77777777" w:rsidR="001E2BF3" w:rsidRDefault="001E2BF3" w:rsidP="001E2BF3">
      <w:pPr>
        <w:pStyle w:val="BodyCopy"/>
      </w:pPr>
      <w:r>
        <w:t>A change management strategy is required to ensure these initiatives are implemented successfully. Specifically:</w:t>
      </w:r>
    </w:p>
    <w:p w14:paraId="188889EB" w14:textId="77777777" w:rsidR="001E2BF3" w:rsidRDefault="001E2BF3" w:rsidP="001E2BF3">
      <w:pPr>
        <w:pStyle w:val="BodyBulletscopy"/>
      </w:pPr>
      <w:r>
        <w:t>training for staff and ECEI partners in the new approaches, along with appropriate support</w:t>
      </w:r>
    </w:p>
    <w:p w14:paraId="491FCC2B" w14:textId="77777777" w:rsidR="001E2BF3" w:rsidRDefault="001E2BF3" w:rsidP="001E2BF3">
      <w:pPr>
        <w:pStyle w:val="BodyBulletscopy"/>
      </w:pPr>
      <w:r>
        <w:t xml:space="preserve">communication to the sector on the approaches, along with working with the </w:t>
      </w:r>
      <w:r>
        <w:br/>
        <w:t xml:space="preserve">sector to achieve the intended outcomes </w:t>
      </w:r>
      <w:r>
        <w:br/>
        <w:t>of the Scheme</w:t>
      </w:r>
    </w:p>
    <w:p w14:paraId="63E8789E" w14:textId="77777777" w:rsidR="001E2BF3" w:rsidRDefault="001E2BF3" w:rsidP="001E2BF3">
      <w:pPr>
        <w:pStyle w:val="BodyBullets-last"/>
      </w:pPr>
      <w:r>
        <w:t>project management to oversee the implementation of the initiatives.</w:t>
      </w:r>
    </w:p>
    <w:p w14:paraId="68682DEC" w14:textId="77777777" w:rsidR="001E2BF3" w:rsidRDefault="001E2BF3" w:rsidP="001E2BF3">
      <w:pPr>
        <w:pStyle w:val="BodyCopy"/>
      </w:pPr>
      <w:r>
        <w:t>It will also be critically important to collect appropriate data and carefully monitor these change initiatives and the implementation of the change management strategy. The actuarial team will work closely with management to provide ongoing reporting and feedback on the process and outcomes of the above measures.</w:t>
      </w:r>
    </w:p>
    <w:p w14:paraId="1F0F57CA" w14:textId="0673CFAF" w:rsidR="005D3385" w:rsidRDefault="005D3385" w:rsidP="00127E8C">
      <w:pPr>
        <w:pStyle w:val="Heading2"/>
      </w:pPr>
      <w:bookmarkStart w:id="89" w:name="_Toc464482130"/>
      <w:r>
        <w:lastRenderedPageBreak/>
        <w:t>National Disability Insurance Scheme Launch Transition Agency</w:t>
      </w:r>
      <w:r w:rsidR="00127E8C">
        <w:t xml:space="preserve"> f</w:t>
      </w:r>
      <w:r>
        <w:t>inancial statements</w:t>
      </w:r>
      <w:r w:rsidR="00127E8C">
        <w:t xml:space="preserve"> </w:t>
      </w:r>
      <w:r w:rsidR="00127E8C">
        <w:br/>
      </w:r>
      <w:r>
        <w:t>for the period ending 30 June 2016</w:t>
      </w:r>
      <w:bookmarkEnd w:id="89"/>
    </w:p>
    <w:p w14:paraId="4384A747" w14:textId="77777777" w:rsidR="00B54935" w:rsidRDefault="00B54935" w:rsidP="00DA2590">
      <w:pPr>
        <w:sectPr w:rsidR="00B54935" w:rsidSect="0083526C">
          <w:footerReference w:type="default" r:id="rId13"/>
          <w:pgSz w:w="12240" w:h="15840"/>
          <w:pgMar w:top="720" w:right="720" w:bottom="720" w:left="720" w:header="720" w:footer="720" w:gutter="0"/>
          <w:cols w:space="720"/>
          <w:noEndnote/>
        </w:sectPr>
      </w:pPr>
    </w:p>
    <w:p w14:paraId="73257AF7" w14:textId="77777777" w:rsidR="00505BF7" w:rsidRDefault="00505BF7" w:rsidP="00505BF7">
      <w:pPr>
        <w:pStyle w:val="PolicytextDept"/>
      </w:pPr>
      <w:r>
        <w:lastRenderedPageBreak/>
        <w:t>In our opinion, the attached financial statements for the period ended 30 June 2016 comply with subsection 42(2) of the Public Governance, Performance and Accountability Act 2013 (PGPA Act), and are based on properly maintained financial records as per subsection 41(2) of the PGPA Act.</w:t>
      </w:r>
    </w:p>
    <w:p w14:paraId="44391163" w14:textId="28D0EF05" w:rsidR="00A43992" w:rsidRPr="00BA6414" w:rsidRDefault="00505BF7" w:rsidP="00A43992">
      <w:pPr>
        <w:pStyle w:val="PolicytextDept"/>
      </w:pPr>
      <w:r>
        <w:t>In our opinion, at the date of this statement, there are reasonable grounds to believe that the National Disability Insurance Scheme Launch Transition Agency will be able to pay its debts as and when they fall due.</w:t>
      </w:r>
    </w:p>
    <w:p w14:paraId="5C5CD8AE" w14:textId="77777777" w:rsidR="00A43992" w:rsidRPr="00BA6414" w:rsidRDefault="00A43992" w:rsidP="00A43992">
      <w:pPr>
        <w:pStyle w:val="PolicytextDept"/>
      </w:pPr>
    </w:p>
    <w:p w14:paraId="70F1839E" w14:textId="77777777" w:rsidR="00A43992" w:rsidRPr="00BA6414" w:rsidRDefault="00A43992" w:rsidP="00A43992">
      <w:pPr>
        <w:pStyle w:val="PolicytextDept"/>
      </w:pPr>
    </w:p>
    <w:p w14:paraId="7C5340A0" w14:textId="77777777" w:rsidR="00A43992" w:rsidRPr="00BA6414" w:rsidRDefault="00A43992" w:rsidP="00A43992">
      <w:pPr>
        <w:pStyle w:val="PolicytextDept"/>
      </w:pPr>
    </w:p>
    <w:p w14:paraId="20E340A0" w14:textId="77777777" w:rsidR="00A43992" w:rsidRPr="00BA6414" w:rsidRDefault="00A43992" w:rsidP="00A43992">
      <w:pPr>
        <w:pStyle w:val="PolicytextDept"/>
      </w:pPr>
      <w:r>
        <w:rPr>
          <w:noProof/>
          <w:lang w:val="en-US"/>
        </w:rPr>
        <mc:AlternateContent>
          <mc:Choice Requires="wps">
            <w:drawing>
              <wp:anchor distT="0" distB="0" distL="114300" distR="114300" simplePos="0" relativeHeight="251659264" behindDoc="0" locked="0" layoutInCell="1" allowOverlap="1" wp14:anchorId="27E266ED" wp14:editId="3393680B">
                <wp:simplePos x="0" y="0"/>
                <wp:positionH relativeFrom="column">
                  <wp:posOffset>2412724</wp:posOffset>
                </wp:positionH>
                <wp:positionV relativeFrom="paragraph">
                  <wp:posOffset>176889</wp:posOffset>
                </wp:positionV>
                <wp:extent cx="1539240" cy="874643"/>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9240" cy="874643"/>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63490AE4" w14:textId="77777777" w:rsidR="00521622" w:rsidRPr="00D54E7F" w:rsidRDefault="00521622" w:rsidP="00A43992">
                            <w:pPr>
                              <w:pStyle w:val="NormalWeb"/>
                              <w:spacing w:before="0" w:beforeAutospacing="0" w:after="120" w:afterAutospacing="0"/>
                              <w:rPr>
                                <w:rFonts w:ascii="Arial" w:hAnsi="Arial" w:cs="Arial"/>
                              </w:rPr>
                            </w:pPr>
                            <w:r w:rsidRPr="00D54E7F">
                              <w:rPr>
                                <w:rFonts w:ascii="Arial" w:hAnsi="Arial" w:cs="Arial"/>
                                <w:color w:val="000000" w:themeColor="text1"/>
                                <w:sz w:val="18"/>
                                <w:szCs w:val="18"/>
                              </w:rPr>
                              <w:t>Signed..........</w:t>
                            </w:r>
                          </w:p>
                          <w:p w14:paraId="0433C7F0" w14:textId="77777777" w:rsidR="00521622" w:rsidRPr="000118A3" w:rsidRDefault="00521622" w:rsidP="00A43992">
                            <w:pPr>
                              <w:pStyle w:val="ReferenceText"/>
                              <w:ind w:hanging="142"/>
                            </w:pPr>
                            <w:r w:rsidRPr="000118A3">
                              <w:t>David Bowen</w:t>
                            </w:r>
                          </w:p>
                          <w:p w14:paraId="518A065F" w14:textId="77777777" w:rsidR="00521622" w:rsidRPr="000118A3" w:rsidRDefault="00521622" w:rsidP="00A43992">
                            <w:pPr>
                              <w:pStyle w:val="ReferenceText"/>
                              <w:ind w:hanging="142"/>
                            </w:pPr>
                            <w:r w:rsidRPr="000118A3">
                              <w:t>Chief Executive Officer</w:t>
                            </w:r>
                          </w:p>
                          <w:p w14:paraId="37234F97" w14:textId="77777777" w:rsidR="00521622" w:rsidRPr="000118A3" w:rsidRDefault="00521622" w:rsidP="00A43992">
                            <w:pPr>
                              <w:pStyle w:val="NormalWeb"/>
                              <w:spacing w:before="120" w:beforeAutospacing="0" w:after="120" w:afterAutospacing="0"/>
                              <w:rPr>
                                <w:rFonts w:ascii="Arial" w:eastAsia="Times New Roman" w:hAnsi="Arial"/>
                                <w:sz w:val="18"/>
                                <w:szCs w:val="20"/>
                              </w:rPr>
                            </w:pPr>
                            <w:r>
                              <w:rPr>
                                <w:rFonts w:ascii="Arial" w:eastAsia="Times New Roman" w:hAnsi="Arial"/>
                                <w:sz w:val="18"/>
                                <w:szCs w:val="20"/>
                              </w:rPr>
                              <w:t>21</w:t>
                            </w:r>
                            <w:r w:rsidRPr="000118A3">
                              <w:rPr>
                                <w:rFonts w:ascii="Arial" w:eastAsia="Times New Roman" w:hAnsi="Arial"/>
                                <w:sz w:val="18"/>
                                <w:szCs w:val="20"/>
                              </w:rPr>
                              <w:t xml:space="preserve"> September 2016</w:t>
                            </w:r>
                          </w:p>
                        </w:txbxContent>
                      </wps:txbx>
                      <wps:bodyPr vertOverflow="clip" horz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type w14:anchorId="27E266ED" id="_x0000_t202" coordsize="21600,21600" o:spt="202" path="m0,0l0,21600,21600,21600,21600,0xe">
                <v:stroke joinstyle="miter"/>
                <v:path gradientshapeok="t" o:connecttype="rect"/>
              </v:shapetype>
              <v:shape id="Text Box 6" o:spid="_x0000_s1026" type="#_x0000_t202" style="position:absolute;margin-left:190pt;margin-top:13.95pt;width:121.2pt;height:68.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" filled="f" stroked="f">
                <v:path arrowok="t"/>
                <v:textbox>
                  <w:txbxContent>
                    <w:p w14:paraId="63490AE4" w14:textId="77777777" w:rsidR="00521622" w:rsidRPr="00D54E7F" w:rsidRDefault="00521622" w:rsidP="00A43992">
                      <w:pPr>
                        <w:pStyle w:val="NormalWeb"/>
                        <w:spacing w:before="0" w:beforeAutospacing="0" w:after="120" w:afterAutospacing="0"/>
                        <w:rPr>
                          <w:rFonts w:ascii="Arial" w:hAnsi="Arial" w:cs="Arial"/>
                        </w:rPr>
                      </w:pPr>
                      <w:r w:rsidRPr="00D54E7F">
                        <w:rPr>
                          <w:rFonts w:ascii="Arial" w:hAnsi="Arial" w:cs="Arial"/>
                          <w:color w:val="000000" w:themeColor="text1"/>
                          <w:sz w:val="18"/>
                          <w:szCs w:val="18"/>
                        </w:rPr>
                        <w:t>Signed..........</w:t>
                      </w:r>
                    </w:p>
                    <w:p w14:paraId="0433C7F0" w14:textId="77777777" w:rsidR="00521622" w:rsidRPr="000118A3" w:rsidRDefault="00521622" w:rsidP="00A43992">
                      <w:pPr>
                        <w:pStyle w:val="ReferenceText"/>
                        <w:ind w:hanging="142"/>
                      </w:pPr>
                      <w:r w:rsidRPr="000118A3">
                        <w:t>David Bowen</w:t>
                      </w:r>
                    </w:p>
                    <w:p w14:paraId="518A065F" w14:textId="77777777" w:rsidR="00521622" w:rsidRPr="000118A3" w:rsidRDefault="00521622" w:rsidP="00A43992">
                      <w:pPr>
                        <w:pStyle w:val="ReferenceText"/>
                        <w:ind w:hanging="142"/>
                      </w:pPr>
                      <w:r w:rsidRPr="000118A3">
                        <w:t>Chief Executive Officer</w:t>
                      </w:r>
                    </w:p>
                    <w:p w14:paraId="37234F97" w14:textId="77777777" w:rsidR="00521622" w:rsidRPr="000118A3" w:rsidRDefault="00521622" w:rsidP="00A43992">
                      <w:pPr>
                        <w:pStyle w:val="NormalWeb"/>
                        <w:spacing w:before="120" w:beforeAutospacing="0" w:after="120" w:afterAutospacing="0"/>
                        <w:rPr>
                          <w:rFonts w:ascii="Arial" w:eastAsia="Times New Roman" w:hAnsi="Arial"/>
                          <w:sz w:val="18"/>
                          <w:szCs w:val="20"/>
                        </w:rPr>
                      </w:pPr>
                      <w:r>
                        <w:rPr>
                          <w:rFonts w:ascii="Arial" w:eastAsia="Times New Roman" w:hAnsi="Arial"/>
                          <w:sz w:val="18"/>
                          <w:szCs w:val="20"/>
                        </w:rPr>
                        <w:t>21</w:t>
                      </w:r>
                      <w:r w:rsidRPr="000118A3">
                        <w:rPr>
                          <w:rFonts w:ascii="Arial" w:eastAsia="Times New Roman" w:hAnsi="Arial"/>
                          <w:sz w:val="18"/>
                          <w:szCs w:val="20"/>
                        </w:rPr>
                        <w:t xml:space="preserve"> September 2016</w:t>
                      </w:r>
                    </w:p>
                  </w:txbxContent>
                </v:textbox>
              </v:shape>
            </w:pict>
          </mc:Fallback>
        </mc:AlternateContent>
      </w:r>
    </w:p>
    <w:p w14:paraId="4932EF66" w14:textId="77777777" w:rsidR="00A43992" w:rsidRPr="00BA6414" w:rsidRDefault="00A43992" w:rsidP="00A43992">
      <w:pPr>
        <w:pStyle w:val="PolicytextDept"/>
      </w:pPr>
      <w:r w:rsidRPr="00BA6414">
        <w:t>Signed..........</w:t>
      </w:r>
    </w:p>
    <w:p w14:paraId="4216FB83" w14:textId="77777777" w:rsidR="00A43992" w:rsidRPr="000118A3" w:rsidRDefault="00A43992" w:rsidP="00A43992">
      <w:pPr>
        <w:pStyle w:val="PolicytextDept"/>
      </w:pPr>
      <w:r w:rsidRPr="000118A3">
        <w:t>Bruce Bonyhady AM</w:t>
      </w:r>
    </w:p>
    <w:p w14:paraId="06BBBA2B" w14:textId="77777777" w:rsidR="00A43992" w:rsidRPr="000118A3" w:rsidRDefault="00A43992" w:rsidP="00A43992">
      <w:pPr>
        <w:pStyle w:val="PolicytextDept"/>
      </w:pPr>
      <w:r w:rsidRPr="000118A3">
        <w:t>Chairman</w:t>
      </w:r>
    </w:p>
    <w:p w14:paraId="6AE1B479" w14:textId="77777777" w:rsidR="00A43992" w:rsidRDefault="00A43992" w:rsidP="00A43992">
      <w:pPr>
        <w:pStyle w:val="PolicytextDept"/>
      </w:pPr>
      <w:r>
        <w:t>21</w:t>
      </w:r>
      <w:r w:rsidRPr="000118A3">
        <w:t xml:space="preserve"> September 2016</w:t>
      </w:r>
    </w:p>
    <w:p w14:paraId="6FD57047" w14:textId="77777777" w:rsidR="00A43992" w:rsidRDefault="00A43992" w:rsidP="00A43992">
      <w:pPr>
        <w:pStyle w:val="PolicytextDept"/>
      </w:pPr>
      <w:r>
        <w:rPr>
          <w:noProof/>
          <w:lang w:val="en-US"/>
        </w:rPr>
        <mc:AlternateContent>
          <mc:Choice Requires="wps">
            <w:drawing>
              <wp:anchor distT="0" distB="0" distL="114300" distR="114300" simplePos="0" relativeHeight="251660288" behindDoc="0" locked="0" layoutInCell="1" allowOverlap="1" wp14:anchorId="390B2E96" wp14:editId="7D06F9FE">
                <wp:simplePos x="0" y="0"/>
                <wp:positionH relativeFrom="column">
                  <wp:posOffset>2414996</wp:posOffset>
                </wp:positionH>
                <wp:positionV relativeFrom="paragraph">
                  <wp:posOffset>149992</wp:posOffset>
                </wp:positionV>
                <wp:extent cx="2517569" cy="1057523"/>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7569" cy="1057523"/>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0863B524" w14:textId="77777777" w:rsidR="00521622" w:rsidRPr="00D54E7F" w:rsidRDefault="00521622" w:rsidP="00A43992">
                            <w:pPr>
                              <w:pStyle w:val="NormalWeb"/>
                              <w:spacing w:before="0" w:beforeAutospacing="0" w:after="120" w:afterAutospacing="0"/>
                              <w:rPr>
                                <w:rFonts w:ascii="Arial" w:hAnsi="Arial" w:cs="Arial"/>
                              </w:rPr>
                            </w:pPr>
                            <w:r w:rsidRPr="00D54E7F">
                              <w:rPr>
                                <w:rFonts w:ascii="Arial" w:hAnsi="Arial" w:cs="Arial"/>
                                <w:color w:val="000000" w:themeColor="text1"/>
                                <w:sz w:val="18"/>
                                <w:szCs w:val="18"/>
                              </w:rPr>
                              <w:t>Signed..........</w:t>
                            </w:r>
                          </w:p>
                          <w:p w14:paraId="7428DFC5" w14:textId="77777777" w:rsidR="00521622" w:rsidRPr="000118A3" w:rsidRDefault="00521622" w:rsidP="00A43992">
                            <w:pPr>
                              <w:pStyle w:val="NormalWeb"/>
                              <w:spacing w:before="0" w:beforeAutospacing="0" w:after="120" w:afterAutospacing="0"/>
                              <w:rPr>
                                <w:rFonts w:ascii="Arial" w:hAnsi="Arial" w:cs="Arial"/>
                                <w:color w:val="000000" w:themeColor="text1"/>
                                <w:sz w:val="18"/>
                                <w:szCs w:val="18"/>
                              </w:rPr>
                            </w:pPr>
                            <w:r w:rsidRPr="000118A3">
                              <w:rPr>
                                <w:rFonts w:ascii="Arial" w:hAnsi="Arial" w:cs="Arial"/>
                                <w:color w:val="000000" w:themeColor="text1"/>
                                <w:sz w:val="18"/>
                                <w:szCs w:val="18"/>
                              </w:rPr>
                              <w:t>John Hill PSM</w:t>
                            </w:r>
                          </w:p>
                          <w:p w14:paraId="5F1D8386" w14:textId="77777777" w:rsidR="00521622" w:rsidRDefault="00521622" w:rsidP="00A43992">
                            <w:pPr>
                              <w:pStyle w:val="NormalWeb"/>
                              <w:spacing w:before="0" w:beforeAutospacing="0" w:after="80" w:afterAutospacing="0"/>
                              <w:rPr>
                                <w:rFonts w:ascii="Arial" w:hAnsi="Arial" w:cs="Arial"/>
                                <w:color w:val="000000" w:themeColor="text1"/>
                                <w:sz w:val="18"/>
                                <w:szCs w:val="18"/>
                              </w:rPr>
                            </w:pPr>
                            <w:r w:rsidRPr="000118A3">
                              <w:rPr>
                                <w:rFonts w:ascii="Arial" w:hAnsi="Arial" w:cs="Arial"/>
                                <w:color w:val="000000" w:themeColor="text1"/>
                                <w:sz w:val="18"/>
                                <w:szCs w:val="18"/>
                              </w:rPr>
                              <w:t>Director</w:t>
                            </w:r>
                          </w:p>
                          <w:p w14:paraId="0A4B885F" w14:textId="77777777" w:rsidR="00521622" w:rsidRPr="000118A3" w:rsidRDefault="00521622" w:rsidP="00A43992">
                            <w:pPr>
                              <w:pStyle w:val="NormalWeb"/>
                              <w:spacing w:before="0" w:beforeAutospacing="0" w:after="20" w:afterAutospacing="0"/>
                              <w:rPr>
                                <w:rFonts w:ascii="Arial" w:hAnsi="Arial" w:cs="Arial"/>
                                <w:color w:val="000000" w:themeColor="text1"/>
                                <w:sz w:val="18"/>
                                <w:szCs w:val="18"/>
                              </w:rPr>
                            </w:pPr>
                            <w:r w:rsidRPr="000118A3">
                              <w:rPr>
                                <w:rFonts w:ascii="Arial" w:hAnsi="Arial" w:cs="Arial"/>
                                <w:color w:val="000000" w:themeColor="text1"/>
                                <w:sz w:val="18"/>
                                <w:szCs w:val="18"/>
                              </w:rPr>
                              <w:t>Audit</w:t>
                            </w:r>
                            <w:r>
                              <w:rPr>
                                <w:rFonts w:ascii="Arial" w:hAnsi="Arial" w:cs="Arial"/>
                                <w:color w:val="000000" w:themeColor="text1"/>
                                <w:sz w:val="18"/>
                                <w:szCs w:val="18"/>
                              </w:rPr>
                              <w:t>,</w:t>
                            </w:r>
                            <w:r w:rsidRPr="000118A3">
                              <w:rPr>
                                <w:rFonts w:ascii="Arial" w:hAnsi="Arial" w:cs="Arial"/>
                                <w:color w:val="000000" w:themeColor="text1"/>
                                <w:sz w:val="18"/>
                                <w:szCs w:val="18"/>
                              </w:rPr>
                              <w:t xml:space="preserve"> Risk</w:t>
                            </w:r>
                            <w:r>
                              <w:rPr>
                                <w:rFonts w:ascii="Arial" w:hAnsi="Arial" w:cs="Arial"/>
                                <w:color w:val="000000" w:themeColor="text1"/>
                                <w:sz w:val="18"/>
                                <w:szCs w:val="18"/>
                              </w:rPr>
                              <w:t xml:space="preserve"> </w:t>
                            </w:r>
                            <w:r w:rsidRPr="000118A3">
                              <w:rPr>
                                <w:rFonts w:ascii="Arial" w:hAnsi="Arial" w:cs="Arial"/>
                                <w:color w:val="000000" w:themeColor="text1"/>
                                <w:sz w:val="18"/>
                                <w:szCs w:val="18"/>
                              </w:rPr>
                              <w:t>and</w:t>
                            </w:r>
                            <w:r>
                              <w:rPr>
                                <w:rFonts w:ascii="Arial" w:hAnsi="Arial" w:cs="Arial"/>
                                <w:color w:val="000000" w:themeColor="text1"/>
                                <w:sz w:val="18"/>
                                <w:szCs w:val="18"/>
                              </w:rPr>
                              <w:t xml:space="preserve"> Finance</w:t>
                            </w:r>
                            <w:r w:rsidRPr="000118A3">
                              <w:rPr>
                                <w:rFonts w:ascii="Arial" w:hAnsi="Arial" w:cs="Arial"/>
                                <w:color w:val="000000" w:themeColor="text1"/>
                                <w:sz w:val="18"/>
                                <w:szCs w:val="18"/>
                              </w:rPr>
                              <w:t xml:space="preserve"> Committee Chairman</w:t>
                            </w:r>
                          </w:p>
                          <w:p w14:paraId="0EBB4C14" w14:textId="77777777" w:rsidR="00521622" w:rsidRDefault="00521622" w:rsidP="00A43992">
                            <w:r>
                              <w:rPr>
                                <w:rFonts w:ascii="Arial" w:eastAsiaTheme="minorEastAsia" w:hAnsi="Arial" w:cs="Arial"/>
                                <w:color w:val="000000" w:themeColor="text1"/>
                                <w:sz w:val="18"/>
                                <w:szCs w:val="18"/>
                                <w:lang w:eastAsia="en-AU"/>
                              </w:rPr>
                              <w:t>21</w:t>
                            </w:r>
                            <w:r w:rsidRPr="00B72474">
                              <w:rPr>
                                <w:rFonts w:ascii="Arial" w:eastAsiaTheme="minorEastAsia" w:hAnsi="Arial" w:cs="Arial"/>
                                <w:color w:val="000000" w:themeColor="text1"/>
                                <w:sz w:val="18"/>
                                <w:szCs w:val="18"/>
                                <w:lang w:eastAsia="en-AU"/>
                              </w:rPr>
                              <w:t xml:space="preserve"> September 2016</w:t>
                            </w:r>
                          </w:p>
                          <w:p w14:paraId="42624B25" w14:textId="77777777" w:rsidR="00521622" w:rsidRPr="00D54E7F" w:rsidRDefault="00521622" w:rsidP="00A43992">
                            <w:pPr>
                              <w:pStyle w:val="NormalWeb"/>
                              <w:spacing w:before="0" w:beforeAutospacing="0" w:after="120" w:afterAutospacing="0"/>
                              <w:rPr>
                                <w:rFonts w:ascii="Arial" w:hAnsi="Arial" w:cs="Arial"/>
                              </w:rPr>
                            </w:pPr>
                          </w:p>
                        </w:txbxContent>
                      </wps:txbx>
                      <wps:bodyPr vertOverflow="clip" horz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 w14:anchorId="390B2E96" id="Text Box 1" o:spid="_x0000_s1027" type="#_x0000_t202" style="position:absolute;margin-left:190.15pt;margin-top:11.8pt;width:198.25pt;height:8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" filled="f" stroked="f">
                <v:path arrowok="t"/>
                <v:textbox>
                  <w:txbxContent>
                    <w:p w14:paraId="0863B524" w14:textId="77777777" w:rsidR="00521622" w:rsidRPr="00D54E7F" w:rsidRDefault="00521622" w:rsidP="00A43992">
                      <w:pPr>
                        <w:pStyle w:val="NormalWeb"/>
                        <w:spacing w:before="0" w:beforeAutospacing="0" w:after="120" w:afterAutospacing="0"/>
                        <w:rPr>
                          <w:rFonts w:ascii="Arial" w:hAnsi="Arial" w:cs="Arial"/>
                        </w:rPr>
                      </w:pPr>
                      <w:r w:rsidRPr="00D54E7F">
                        <w:rPr>
                          <w:rFonts w:ascii="Arial" w:hAnsi="Arial" w:cs="Arial"/>
                          <w:color w:val="000000" w:themeColor="text1"/>
                          <w:sz w:val="18"/>
                          <w:szCs w:val="18"/>
                        </w:rPr>
                        <w:t>Signed..........</w:t>
                      </w:r>
                    </w:p>
                    <w:p w14:paraId="7428DFC5" w14:textId="77777777" w:rsidR="00521622" w:rsidRPr="000118A3" w:rsidRDefault="00521622" w:rsidP="00A43992">
                      <w:pPr>
                        <w:pStyle w:val="NormalWeb"/>
                        <w:spacing w:before="0" w:beforeAutospacing="0" w:after="120" w:afterAutospacing="0"/>
                        <w:rPr>
                          <w:rFonts w:ascii="Arial" w:hAnsi="Arial" w:cs="Arial"/>
                          <w:color w:val="000000" w:themeColor="text1"/>
                          <w:sz w:val="18"/>
                          <w:szCs w:val="18"/>
                        </w:rPr>
                      </w:pPr>
                      <w:r w:rsidRPr="000118A3">
                        <w:rPr>
                          <w:rFonts w:ascii="Arial" w:hAnsi="Arial" w:cs="Arial"/>
                          <w:color w:val="000000" w:themeColor="text1"/>
                          <w:sz w:val="18"/>
                          <w:szCs w:val="18"/>
                        </w:rPr>
                        <w:t>John Hill PSM</w:t>
                      </w:r>
                    </w:p>
                    <w:p w14:paraId="5F1D8386" w14:textId="77777777" w:rsidR="00521622" w:rsidRDefault="00521622" w:rsidP="00A43992">
                      <w:pPr>
                        <w:pStyle w:val="NormalWeb"/>
                        <w:spacing w:before="0" w:beforeAutospacing="0" w:after="80" w:afterAutospacing="0"/>
                        <w:rPr>
                          <w:rFonts w:ascii="Arial" w:hAnsi="Arial" w:cs="Arial"/>
                          <w:color w:val="000000" w:themeColor="text1"/>
                          <w:sz w:val="18"/>
                          <w:szCs w:val="18"/>
                        </w:rPr>
                      </w:pPr>
                      <w:r w:rsidRPr="000118A3">
                        <w:rPr>
                          <w:rFonts w:ascii="Arial" w:hAnsi="Arial" w:cs="Arial"/>
                          <w:color w:val="000000" w:themeColor="text1"/>
                          <w:sz w:val="18"/>
                          <w:szCs w:val="18"/>
                        </w:rPr>
                        <w:t>Director</w:t>
                      </w:r>
                    </w:p>
                    <w:p w14:paraId="0A4B885F" w14:textId="77777777" w:rsidR="00521622" w:rsidRPr="000118A3" w:rsidRDefault="00521622" w:rsidP="00A43992">
                      <w:pPr>
                        <w:pStyle w:val="NormalWeb"/>
                        <w:spacing w:before="0" w:beforeAutospacing="0" w:after="20" w:afterAutospacing="0"/>
                        <w:rPr>
                          <w:rFonts w:ascii="Arial" w:hAnsi="Arial" w:cs="Arial"/>
                          <w:color w:val="000000" w:themeColor="text1"/>
                          <w:sz w:val="18"/>
                          <w:szCs w:val="18"/>
                        </w:rPr>
                      </w:pPr>
                      <w:r w:rsidRPr="000118A3">
                        <w:rPr>
                          <w:rFonts w:ascii="Arial" w:hAnsi="Arial" w:cs="Arial"/>
                          <w:color w:val="000000" w:themeColor="text1"/>
                          <w:sz w:val="18"/>
                          <w:szCs w:val="18"/>
                        </w:rPr>
                        <w:t>Audit</w:t>
                      </w:r>
                      <w:r>
                        <w:rPr>
                          <w:rFonts w:ascii="Arial" w:hAnsi="Arial" w:cs="Arial"/>
                          <w:color w:val="000000" w:themeColor="text1"/>
                          <w:sz w:val="18"/>
                          <w:szCs w:val="18"/>
                        </w:rPr>
                        <w:t>,</w:t>
                      </w:r>
                      <w:r w:rsidRPr="000118A3">
                        <w:rPr>
                          <w:rFonts w:ascii="Arial" w:hAnsi="Arial" w:cs="Arial"/>
                          <w:color w:val="000000" w:themeColor="text1"/>
                          <w:sz w:val="18"/>
                          <w:szCs w:val="18"/>
                        </w:rPr>
                        <w:t xml:space="preserve"> Risk</w:t>
                      </w:r>
                      <w:r>
                        <w:rPr>
                          <w:rFonts w:ascii="Arial" w:hAnsi="Arial" w:cs="Arial"/>
                          <w:color w:val="000000" w:themeColor="text1"/>
                          <w:sz w:val="18"/>
                          <w:szCs w:val="18"/>
                        </w:rPr>
                        <w:t xml:space="preserve"> </w:t>
                      </w:r>
                      <w:r w:rsidRPr="000118A3">
                        <w:rPr>
                          <w:rFonts w:ascii="Arial" w:hAnsi="Arial" w:cs="Arial"/>
                          <w:color w:val="000000" w:themeColor="text1"/>
                          <w:sz w:val="18"/>
                          <w:szCs w:val="18"/>
                        </w:rPr>
                        <w:t>and</w:t>
                      </w:r>
                      <w:r>
                        <w:rPr>
                          <w:rFonts w:ascii="Arial" w:hAnsi="Arial" w:cs="Arial"/>
                          <w:color w:val="000000" w:themeColor="text1"/>
                          <w:sz w:val="18"/>
                          <w:szCs w:val="18"/>
                        </w:rPr>
                        <w:t xml:space="preserve"> Finance</w:t>
                      </w:r>
                      <w:r w:rsidRPr="000118A3">
                        <w:rPr>
                          <w:rFonts w:ascii="Arial" w:hAnsi="Arial" w:cs="Arial"/>
                          <w:color w:val="000000" w:themeColor="text1"/>
                          <w:sz w:val="18"/>
                          <w:szCs w:val="18"/>
                        </w:rPr>
                        <w:t xml:space="preserve"> Committee Chairman</w:t>
                      </w:r>
                    </w:p>
                    <w:p w14:paraId="0EBB4C14" w14:textId="77777777" w:rsidR="00521622" w:rsidRDefault="00521622" w:rsidP="00A43992">
                      <w:r>
                        <w:rPr>
                          <w:rFonts w:ascii="Arial" w:eastAsiaTheme="minorEastAsia" w:hAnsi="Arial" w:cs="Arial"/>
                          <w:color w:val="000000" w:themeColor="text1"/>
                          <w:sz w:val="18"/>
                          <w:szCs w:val="18"/>
                          <w:lang w:eastAsia="en-AU"/>
                        </w:rPr>
                        <w:t>21</w:t>
                      </w:r>
                      <w:r w:rsidRPr="00B72474">
                        <w:rPr>
                          <w:rFonts w:ascii="Arial" w:eastAsiaTheme="minorEastAsia" w:hAnsi="Arial" w:cs="Arial"/>
                          <w:color w:val="000000" w:themeColor="text1"/>
                          <w:sz w:val="18"/>
                          <w:szCs w:val="18"/>
                          <w:lang w:eastAsia="en-AU"/>
                        </w:rPr>
                        <w:t xml:space="preserve"> September 2016</w:t>
                      </w:r>
                    </w:p>
                    <w:p w14:paraId="42624B25" w14:textId="77777777" w:rsidR="00521622" w:rsidRPr="00D54E7F" w:rsidRDefault="00521622" w:rsidP="00A43992">
                      <w:pPr>
                        <w:pStyle w:val="NormalWeb"/>
                        <w:spacing w:before="0" w:beforeAutospacing="0" w:after="120" w:afterAutospacing="0"/>
                        <w:rPr>
                          <w:rFonts w:ascii="Arial" w:hAnsi="Arial" w:cs="Arial"/>
                        </w:rPr>
                      </w:pPr>
                    </w:p>
                  </w:txbxContent>
                </v:textbox>
              </v:shape>
            </w:pict>
          </mc:Fallback>
        </mc:AlternateContent>
      </w:r>
    </w:p>
    <w:p w14:paraId="6A414A67" w14:textId="77777777" w:rsidR="00A43992" w:rsidRPr="00BA6414" w:rsidRDefault="00A43992" w:rsidP="00A43992">
      <w:pPr>
        <w:pStyle w:val="PolicytextDept"/>
      </w:pPr>
      <w:r w:rsidRPr="00BA6414">
        <w:t>Signed..........</w:t>
      </w:r>
    </w:p>
    <w:p w14:paraId="65D03FEF" w14:textId="77777777" w:rsidR="00A43992" w:rsidRPr="000118A3" w:rsidRDefault="00A43992" w:rsidP="00A43992">
      <w:pPr>
        <w:pStyle w:val="PolicytextDept"/>
      </w:pPr>
      <w:r w:rsidRPr="00CE6084">
        <w:t xml:space="preserve">Steve </w:t>
      </w:r>
      <w:proofErr w:type="spellStart"/>
      <w:r w:rsidRPr="00CE6084">
        <w:t>Jennaway</w:t>
      </w:r>
      <w:proofErr w:type="spellEnd"/>
    </w:p>
    <w:p w14:paraId="0131B0F5" w14:textId="77777777" w:rsidR="00A43992" w:rsidRPr="000118A3" w:rsidRDefault="00A43992" w:rsidP="00A43992">
      <w:pPr>
        <w:pStyle w:val="PolicytextDept"/>
      </w:pPr>
      <w:r w:rsidRPr="000118A3">
        <w:t>Chief Financial Officer</w:t>
      </w:r>
    </w:p>
    <w:p w14:paraId="6A5E6784" w14:textId="77777777" w:rsidR="00A43992" w:rsidRDefault="00A43992" w:rsidP="00A43992">
      <w:pPr>
        <w:pStyle w:val="PolicytextDept"/>
      </w:pPr>
      <w:r>
        <w:t>21</w:t>
      </w:r>
      <w:r w:rsidRPr="000118A3">
        <w:t xml:space="preserve"> September 2016</w:t>
      </w:r>
    </w:p>
    <w:p w14:paraId="42B61BDB" w14:textId="77777777" w:rsidR="00A43992" w:rsidRPr="00BA6414" w:rsidRDefault="00A43992" w:rsidP="00A43992">
      <w:pPr>
        <w:pStyle w:val="PolicytextDept"/>
      </w:pPr>
    </w:p>
    <w:p w14:paraId="5F576AE3" w14:textId="77777777" w:rsidR="00A43992" w:rsidRDefault="00A43992" w:rsidP="00A43992">
      <w:pPr>
        <w:pStyle w:val="PolicytextDept"/>
      </w:pPr>
    </w:p>
    <w:p w14:paraId="564DE620" w14:textId="77777777" w:rsidR="00A43992" w:rsidRPr="005E5430" w:rsidRDefault="00A43992" w:rsidP="00A43992">
      <w:pPr>
        <w:spacing w:line="240" w:lineRule="auto"/>
        <w:sectPr w:rsidR="00A43992" w:rsidRPr="005E5430" w:rsidSect="005730B4">
          <w:headerReference w:type="even" r:id="rId14"/>
          <w:headerReference w:type="default" r:id="rId15"/>
          <w:footerReference w:type="default" r:id="rId16"/>
          <w:headerReference w:type="first" r:id="rId17"/>
          <w:pgSz w:w="11906" w:h="16838" w:code="9"/>
          <w:pgMar w:top="1134" w:right="1134" w:bottom="1134" w:left="1134" w:header="958" w:footer="737" w:gutter="0"/>
          <w:cols w:space="708"/>
          <w:docGrid w:linePitch="360"/>
        </w:sectPr>
      </w:pPr>
    </w:p>
    <w:tbl>
      <w:tblPr>
        <w:tblW w:w="9087" w:type="dxa"/>
        <w:tblInd w:w="80" w:type="dxa"/>
        <w:tblLayout w:type="fixed"/>
        <w:tblLook w:val="04A0" w:firstRow="1" w:lastRow="0" w:firstColumn="1" w:lastColumn="0" w:noHBand="0" w:noVBand="1"/>
      </w:tblPr>
      <w:tblGrid>
        <w:gridCol w:w="4400"/>
        <w:gridCol w:w="1077"/>
        <w:gridCol w:w="1078"/>
        <w:gridCol w:w="236"/>
        <w:gridCol w:w="1030"/>
        <w:gridCol w:w="236"/>
        <w:gridCol w:w="1030"/>
      </w:tblGrid>
      <w:tr w:rsidR="00A43992" w14:paraId="34F46F27" w14:textId="77777777" w:rsidTr="007211E3">
        <w:trPr>
          <w:trHeight w:val="480"/>
        </w:trPr>
        <w:tc>
          <w:tcPr>
            <w:tcW w:w="4400" w:type="dxa"/>
            <w:tcBorders>
              <w:top w:val="single" w:sz="4" w:space="0" w:color="6B2976"/>
              <w:left w:val="nil"/>
              <w:bottom w:val="nil"/>
              <w:right w:val="nil"/>
            </w:tcBorders>
            <w:shd w:val="clear" w:color="FFFFFF" w:fill="FFFFFF"/>
            <w:noWrap/>
            <w:vAlign w:val="bottom"/>
            <w:hideMark/>
          </w:tcPr>
          <w:p w14:paraId="05822EF9" w14:textId="77777777" w:rsidR="00A43992" w:rsidRDefault="00A43992" w:rsidP="007211E3">
            <w:pPr>
              <w:rPr>
                <w:rFonts w:ascii="Arial" w:hAnsi="Arial" w:cs="Arial"/>
                <w:sz w:val="18"/>
                <w:szCs w:val="18"/>
              </w:rPr>
            </w:pPr>
            <w:bookmarkStart w:id="90" w:name="Note_DPLTABLE1" w:colFirst="0" w:colLast="0"/>
            <w:r>
              <w:rPr>
                <w:rFonts w:ascii="Arial" w:hAnsi="Arial" w:cs="Arial"/>
                <w:sz w:val="18"/>
                <w:szCs w:val="18"/>
              </w:rPr>
              <w:lastRenderedPageBreak/>
              <w:t> </w:t>
            </w:r>
          </w:p>
        </w:tc>
        <w:tc>
          <w:tcPr>
            <w:tcW w:w="1077" w:type="dxa"/>
            <w:tcBorders>
              <w:top w:val="single" w:sz="4" w:space="0" w:color="6B2976"/>
              <w:left w:val="nil"/>
              <w:bottom w:val="nil"/>
              <w:right w:val="nil"/>
            </w:tcBorders>
            <w:shd w:val="clear" w:color="FFFFFF" w:fill="FFFFFF"/>
            <w:noWrap/>
            <w:vAlign w:val="bottom"/>
            <w:hideMark/>
          </w:tcPr>
          <w:p w14:paraId="6E50B5A9" w14:textId="77777777" w:rsidR="00A43992" w:rsidRDefault="00A43992" w:rsidP="007211E3">
            <w:pPr>
              <w:rPr>
                <w:rFonts w:ascii="Arial" w:hAnsi="Arial" w:cs="Arial"/>
                <w:sz w:val="18"/>
                <w:szCs w:val="18"/>
              </w:rPr>
            </w:pPr>
            <w:r>
              <w:rPr>
                <w:rFonts w:ascii="Arial" w:hAnsi="Arial" w:cs="Arial"/>
                <w:sz w:val="18"/>
                <w:szCs w:val="18"/>
              </w:rPr>
              <w:t> </w:t>
            </w:r>
          </w:p>
        </w:tc>
        <w:tc>
          <w:tcPr>
            <w:tcW w:w="1078" w:type="dxa"/>
            <w:tcBorders>
              <w:top w:val="single" w:sz="4" w:space="0" w:color="6B2976"/>
              <w:left w:val="nil"/>
              <w:bottom w:val="nil"/>
              <w:right w:val="nil"/>
            </w:tcBorders>
            <w:shd w:val="clear" w:color="FFFFFF" w:fill="FFFFFF"/>
            <w:noWrap/>
            <w:vAlign w:val="bottom"/>
            <w:hideMark/>
          </w:tcPr>
          <w:p w14:paraId="2955FEDF" w14:textId="77777777" w:rsidR="00A43992" w:rsidRDefault="00A43992" w:rsidP="007211E3">
            <w:pPr>
              <w:jc w:val="right"/>
              <w:rPr>
                <w:rFonts w:ascii="Arial" w:hAnsi="Arial" w:cs="Arial"/>
                <w:b/>
                <w:bCs/>
                <w:sz w:val="18"/>
                <w:szCs w:val="18"/>
              </w:rPr>
            </w:pPr>
            <w:r>
              <w:rPr>
                <w:rFonts w:ascii="Arial" w:hAnsi="Arial" w:cs="Arial"/>
                <w:b/>
                <w:bCs/>
                <w:sz w:val="18"/>
                <w:szCs w:val="18"/>
              </w:rPr>
              <w:t> </w:t>
            </w:r>
          </w:p>
        </w:tc>
        <w:tc>
          <w:tcPr>
            <w:tcW w:w="236" w:type="dxa"/>
            <w:tcBorders>
              <w:top w:val="single" w:sz="4" w:space="0" w:color="6B2976"/>
              <w:left w:val="nil"/>
              <w:bottom w:val="nil"/>
              <w:right w:val="nil"/>
            </w:tcBorders>
            <w:shd w:val="clear" w:color="FFFFFF" w:fill="FFFFFF"/>
            <w:noWrap/>
            <w:vAlign w:val="bottom"/>
            <w:hideMark/>
          </w:tcPr>
          <w:p w14:paraId="631F68D5" w14:textId="77777777" w:rsidR="00A43992" w:rsidRDefault="00A43992" w:rsidP="007211E3">
            <w:pPr>
              <w:rPr>
                <w:rFonts w:ascii="Arial" w:hAnsi="Arial" w:cs="Arial"/>
                <w:sz w:val="18"/>
                <w:szCs w:val="18"/>
              </w:rPr>
            </w:pPr>
            <w:r>
              <w:rPr>
                <w:rFonts w:ascii="Arial" w:hAnsi="Arial" w:cs="Arial"/>
                <w:sz w:val="18"/>
                <w:szCs w:val="18"/>
              </w:rPr>
              <w:t> </w:t>
            </w:r>
          </w:p>
        </w:tc>
        <w:tc>
          <w:tcPr>
            <w:tcW w:w="1030" w:type="dxa"/>
            <w:tcBorders>
              <w:top w:val="single" w:sz="4" w:space="0" w:color="6B2976"/>
              <w:left w:val="nil"/>
              <w:bottom w:val="nil"/>
              <w:right w:val="nil"/>
            </w:tcBorders>
            <w:shd w:val="clear" w:color="FFFFFF" w:fill="FFFFFF"/>
            <w:noWrap/>
            <w:vAlign w:val="bottom"/>
            <w:hideMark/>
          </w:tcPr>
          <w:p w14:paraId="47059995" w14:textId="77777777" w:rsidR="00A43992" w:rsidRDefault="00A43992" w:rsidP="007211E3">
            <w:pPr>
              <w:jc w:val="right"/>
              <w:rPr>
                <w:rFonts w:ascii="Arial" w:hAnsi="Arial" w:cs="Arial"/>
                <w:sz w:val="18"/>
                <w:szCs w:val="18"/>
              </w:rPr>
            </w:pPr>
            <w:r>
              <w:rPr>
                <w:rFonts w:ascii="Arial" w:hAnsi="Arial" w:cs="Arial"/>
                <w:sz w:val="18"/>
                <w:szCs w:val="18"/>
              </w:rPr>
              <w:t> </w:t>
            </w:r>
          </w:p>
        </w:tc>
        <w:tc>
          <w:tcPr>
            <w:tcW w:w="236" w:type="dxa"/>
            <w:tcBorders>
              <w:top w:val="single" w:sz="4" w:space="0" w:color="6B2976"/>
              <w:left w:val="nil"/>
              <w:bottom w:val="nil"/>
              <w:right w:val="nil"/>
            </w:tcBorders>
            <w:shd w:val="clear" w:color="FFFFFF" w:fill="FFFFFF"/>
            <w:noWrap/>
            <w:vAlign w:val="bottom"/>
            <w:hideMark/>
          </w:tcPr>
          <w:p w14:paraId="3CE1B9AD" w14:textId="77777777" w:rsidR="00A43992" w:rsidRDefault="00A43992" w:rsidP="007211E3">
            <w:pPr>
              <w:rPr>
                <w:rFonts w:ascii="Arial" w:hAnsi="Arial" w:cs="Arial"/>
                <w:sz w:val="18"/>
                <w:szCs w:val="18"/>
              </w:rPr>
            </w:pPr>
            <w:r>
              <w:rPr>
                <w:rFonts w:ascii="Arial" w:hAnsi="Arial" w:cs="Arial"/>
                <w:sz w:val="18"/>
                <w:szCs w:val="18"/>
              </w:rPr>
              <w:t> </w:t>
            </w:r>
          </w:p>
        </w:tc>
        <w:tc>
          <w:tcPr>
            <w:tcW w:w="1030" w:type="dxa"/>
            <w:tcBorders>
              <w:top w:val="single" w:sz="4" w:space="0" w:color="6B2976"/>
              <w:left w:val="nil"/>
              <w:bottom w:val="nil"/>
              <w:right w:val="nil"/>
            </w:tcBorders>
            <w:shd w:val="clear" w:color="FFFFFF" w:fill="FFFFFF"/>
            <w:vAlign w:val="bottom"/>
            <w:hideMark/>
          </w:tcPr>
          <w:p w14:paraId="3A9D05CD" w14:textId="77777777" w:rsidR="00A43992" w:rsidRPr="00724409" w:rsidRDefault="00A43992" w:rsidP="007211E3">
            <w:pPr>
              <w:jc w:val="right"/>
              <w:rPr>
                <w:rFonts w:ascii="Arial" w:hAnsi="Arial" w:cs="Arial"/>
                <w:color w:val="6B2976"/>
                <w:sz w:val="18"/>
                <w:szCs w:val="18"/>
              </w:rPr>
            </w:pPr>
            <w:r w:rsidRPr="00724409">
              <w:rPr>
                <w:rFonts w:ascii="Arial" w:hAnsi="Arial" w:cs="Arial"/>
                <w:color w:val="6B2976"/>
                <w:sz w:val="18"/>
                <w:szCs w:val="18"/>
              </w:rPr>
              <w:t>Original</w:t>
            </w:r>
            <w:r w:rsidRPr="00724409">
              <w:rPr>
                <w:rFonts w:ascii="Arial" w:hAnsi="Arial" w:cs="Arial"/>
                <w:color w:val="6B2976"/>
                <w:sz w:val="18"/>
                <w:szCs w:val="18"/>
              </w:rPr>
              <w:br/>
              <w:t>Budget</w:t>
            </w:r>
          </w:p>
        </w:tc>
      </w:tr>
      <w:bookmarkEnd w:id="90"/>
      <w:tr w:rsidR="00A43992" w14:paraId="32FADDFF" w14:textId="77777777" w:rsidTr="007211E3">
        <w:trPr>
          <w:trHeight w:val="255"/>
        </w:trPr>
        <w:tc>
          <w:tcPr>
            <w:tcW w:w="4400" w:type="dxa"/>
            <w:tcBorders>
              <w:top w:val="nil"/>
              <w:left w:val="nil"/>
              <w:bottom w:val="nil"/>
              <w:right w:val="nil"/>
            </w:tcBorders>
            <w:shd w:val="clear" w:color="FFFFFF" w:fill="FFFFFF"/>
            <w:noWrap/>
            <w:vAlign w:val="bottom"/>
            <w:hideMark/>
          </w:tcPr>
          <w:p w14:paraId="2058F14E" w14:textId="77777777" w:rsidR="00A43992" w:rsidRDefault="00A43992" w:rsidP="007211E3">
            <w:pPr>
              <w:rPr>
                <w:rFonts w:ascii="Arial" w:hAnsi="Arial" w:cs="Arial"/>
                <w:sz w:val="18"/>
                <w:szCs w:val="18"/>
              </w:rPr>
            </w:pPr>
            <w:r>
              <w:rPr>
                <w:rFonts w:ascii="Arial" w:hAnsi="Arial" w:cs="Arial"/>
                <w:sz w:val="18"/>
                <w:szCs w:val="18"/>
              </w:rPr>
              <w:t> </w:t>
            </w:r>
          </w:p>
        </w:tc>
        <w:tc>
          <w:tcPr>
            <w:tcW w:w="1077" w:type="dxa"/>
            <w:tcBorders>
              <w:top w:val="nil"/>
              <w:left w:val="nil"/>
              <w:bottom w:val="nil"/>
              <w:right w:val="nil"/>
            </w:tcBorders>
            <w:shd w:val="clear" w:color="FFFFFF" w:fill="FFFFFF"/>
            <w:noWrap/>
            <w:vAlign w:val="bottom"/>
            <w:hideMark/>
          </w:tcPr>
          <w:p w14:paraId="0F2DF16A" w14:textId="77777777" w:rsidR="00A43992" w:rsidRDefault="00A43992" w:rsidP="007211E3">
            <w:pPr>
              <w:rPr>
                <w:rFonts w:ascii="Arial" w:hAnsi="Arial" w:cs="Arial"/>
                <w:sz w:val="18"/>
                <w:szCs w:val="18"/>
              </w:rPr>
            </w:pPr>
            <w:r>
              <w:rPr>
                <w:rFonts w:ascii="Arial" w:hAnsi="Arial" w:cs="Arial"/>
                <w:sz w:val="18"/>
                <w:szCs w:val="18"/>
              </w:rPr>
              <w:t> </w:t>
            </w:r>
          </w:p>
        </w:tc>
        <w:tc>
          <w:tcPr>
            <w:tcW w:w="1078" w:type="dxa"/>
            <w:tcBorders>
              <w:top w:val="nil"/>
              <w:left w:val="nil"/>
              <w:bottom w:val="nil"/>
              <w:right w:val="nil"/>
            </w:tcBorders>
            <w:shd w:val="clear" w:color="FFFFFF" w:fill="FFFFFF"/>
            <w:noWrap/>
            <w:vAlign w:val="bottom"/>
            <w:hideMark/>
          </w:tcPr>
          <w:p w14:paraId="70932C32" w14:textId="77777777" w:rsidR="00A43992" w:rsidRDefault="00A43992" w:rsidP="007211E3">
            <w:pPr>
              <w:jc w:val="right"/>
              <w:rPr>
                <w:rFonts w:ascii="Arial" w:hAnsi="Arial" w:cs="Arial"/>
                <w:b/>
                <w:bCs/>
                <w:sz w:val="18"/>
                <w:szCs w:val="18"/>
              </w:rPr>
            </w:pPr>
            <w:r>
              <w:rPr>
                <w:rFonts w:ascii="Arial" w:hAnsi="Arial" w:cs="Arial"/>
                <w:b/>
                <w:bCs/>
                <w:sz w:val="18"/>
                <w:szCs w:val="18"/>
              </w:rPr>
              <w:t>2016</w:t>
            </w:r>
          </w:p>
        </w:tc>
        <w:tc>
          <w:tcPr>
            <w:tcW w:w="236" w:type="dxa"/>
            <w:tcBorders>
              <w:top w:val="nil"/>
              <w:left w:val="nil"/>
              <w:bottom w:val="nil"/>
              <w:right w:val="nil"/>
            </w:tcBorders>
            <w:shd w:val="clear" w:color="FFFFFF" w:fill="FFFFFF"/>
            <w:noWrap/>
            <w:vAlign w:val="bottom"/>
            <w:hideMark/>
          </w:tcPr>
          <w:p w14:paraId="59137F4F" w14:textId="77777777" w:rsidR="00A43992" w:rsidRDefault="00A43992" w:rsidP="007211E3">
            <w:pPr>
              <w:rPr>
                <w:rFonts w:ascii="Arial" w:hAnsi="Arial" w:cs="Arial"/>
                <w:sz w:val="18"/>
                <w:szCs w:val="18"/>
              </w:rPr>
            </w:pPr>
            <w:r>
              <w:rPr>
                <w:rFonts w:ascii="Arial" w:hAnsi="Arial" w:cs="Arial"/>
                <w:sz w:val="18"/>
                <w:szCs w:val="18"/>
              </w:rPr>
              <w:t> </w:t>
            </w:r>
          </w:p>
        </w:tc>
        <w:tc>
          <w:tcPr>
            <w:tcW w:w="1030" w:type="dxa"/>
            <w:tcBorders>
              <w:top w:val="nil"/>
              <w:left w:val="nil"/>
              <w:bottom w:val="nil"/>
              <w:right w:val="nil"/>
            </w:tcBorders>
            <w:shd w:val="clear" w:color="FFFFFF" w:fill="FFFFFF"/>
            <w:noWrap/>
            <w:vAlign w:val="bottom"/>
            <w:hideMark/>
          </w:tcPr>
          <w:p w14:paraId="5C07F15C" w14:textId="77777777" w:rsidR="00A43992" w:rsidRDefault="00A43992" w:rsidP="007211E3">
            <w:pPr>
              <w:jc w:val="right"/>
              <w:rPr>
                <w:rFonts w:ascii="Arial" w:hAnsi="Arial" w:cs="Arial"/>
                <w:sz w:val="18"/>
                <w:szCs w:val="18"/>
              </w:rPr>
            </w:pPr>
            <w:r>
              <w:rPr>
                <w:rFonts w:ascii="Arial" w:hAnsi="Arial" w:cs="Arial"/>
                <w:sz w:val="18"/>
                <w:szCs w:val="18"/>
              </w:rPr>
              <w:t>2015</w:t>
            </w:r>
          </w:p>
        </w:tc>
        <w:tc>
          <w:tcPr>
            <w:tcW w:w="236" w:type="dxa"/>
            <w:tcBorders>
              <w:top w:val="nil"/>
              <w:left w:val="nil"/>
              <w:right w:val="nil"/>
            </w:tcBorders>
            <w:shd w:val="clear" w:color="FFFFFF" w:fill="FFFFFF"/>
            <w:noWrap/>
            <w:vAlign w:val="bottom"/>
            <w:hideMark/>
          </w:tcPr>
          <w:p w14:paraId="37C33355" w14:textId="77777777" w:rsidR="00A43992" w:rsidRDefault="00A43992" w:rsidP="007211E3">
            <w:pPr>
              <w:rPr>
                <w:rFonts w:ascii="Arial" w:hAnsi="Arial" w:cs="Arial"/>
                <w:sz w:val="18"/>
                <w:szCs w:val="18"/>
              </w:rPr>
            </w:pPr>
            <w:r>
              <w:rPr>
                <w:rFonts w:ascii="Arial" w:hAnsi="Arial" w:cs="Arial"/>
                <w:sz w:val="18"/>
                <w:szCs w:val="18"/>
              </w:rPr>
              <w:t> </w:t>
            </w:r>
          </w:p>
        </w:tc>
        <w:tc>
          <w:tcPr>
            <w:tcW w:w="1030" w:type="dxa"/>
            <w:tcBorders>
              <w:top w:val="nil"/>
              <w:left w:val="nil"/>
              <w:bottom w:val="nil"/>
              <w:right w:val="nil"/>
            </w:tcBorders>
            <w:shd w:val="clear" w:color="FFFFFF" w:fill="FFFFFF"/>
            <w:noWrap/>
            <w:vAlign w:val="bottom"/>
            <w:hideMark/>
          </w:tcPr>
          <w:p w14:paraId="569526B5" w14:textId="77777777" w:rsidR="00A43992" w:rsidRPr="00724409" w:rsidRDefault="00A43992" w:rsidP="007211E3">
            <w:pPr>
              <w:jc w:val="right"/>
              <w:rPr>
                <w:rFonts w:ascii="Arial" w:hAnsi="Arial" w:cs="Arial"/>
                <w:color w:val="6B2976"/>
                <w:sz w:val="18"/>
                <w:szCs w:val="18"/>
              </w:rPr>
            </w:pPr>
            <w:r w:rsidRPr="00724409">
              <w:rPr>
                <w:rFonts w:ascii="Arial" w:hAnsi="Arial" w:cs="Arial"/>
                <w:color w:val="6B2976"/>
                <w:sz w:val="18"/>
                <w:szCs w:val="18"/>
              </w:rPr>
              <w:t>2016</w:t>
            </w:r>
          </w:p>
        </w:tc>
      </w:tr>
      <w:tr w:rsidR="00A43992" w14:paraId="5682F0A5" w14:textId="77777777" w:rsidTr="007211E3">
        <w:trPr>
          <w:trHeight w:val="270"/>
        </w:trPr>
        <w:tc>
          <w:tcPr>
            <w:tcW w:w="4400" w:type="dxa"/>
            <w:tcBorders>
              <w:top w:val="nil"/>
              <w:left w:val="nil"/>
              <w:bottom w:val="single" w:sz="4" w:space="0" w:color="6B2976"/>
              <w:right w:val="nil"/>
            </w:tcBorders>
            <w:shd w:val="clear" w:color="FFFFFF" w:fill="FFFFFF"/>
            <w:noWrap/>
            <w:vAlign w:val="bottom"/>
            <w:hideMark/>
          </w:tcPr>
          <w:p w14:paraId="5D235D38" w14:textId="77777777" w:rsidR="00A43992" w:rsidRDefault="00A43992" w:rsidP="007211E3">
            <w:pPr>
              <w:rPr>
                <w:rFonts w:ascii="Arial" w:hAnsi="Arial" w:cs="Arial"/>
                <w:sz w:val="18"/>
                <w:szCs w:val="18"/>
              </w:rPr>
            </w:pPr>
            <w:r>
              <w:rPr>
                <w:rFonts w:ascii="Arial" w:hAnsi="Arial" w:cs="Arial"/>
                <w:sz w:val="18"/>
                <w:szCs w:val="18"/>
              </w:rPr>
              <w:t> </w:t>
            </w:r>
          </w:p>
        </w:tc>
        <w:tc>
          <w:tcPr>
            <w:tcW w:w="1077" w:type="dxa"/>
            <w:tcBorders>
              <w:top w:val="nil"/>
              <w:left w:val="nil"/>
              <w:bottom w:val="single" w:sz="4" w:space="0" w:color="6B2976"/>
              <w:right w:val="nil"/>
            </w:tcBorders>
            <w:shd w:val="clear" w:color="FFFFFF" w:fill="FFFFFF"/>
            <w:noWrap/>
            <w:vAlign w:val="bottom"/>
            <w:hideMark/>
          </w:tcPr>
          <w:p w14:paraId="30BC2887" w14:textId="77777777" w:rsidR="00A43992" w:rsidRDefault="00A43992" w:rsidP="007211E3">
            <w:pPr>
              <w:jc w:val="center"/>
              <w:rPr>
                <w:rFonts w:ascii="Arial" w:hAnsi="Arial" w:cs="Arial"/>
                <w:b/>
                <w:bCs/>
                <w:sz w:val="18"/>
                <w:szCs w:val="18"/>
              </w:rPr>
            </w:pPr>
            <w:r>
              <w:rPr>
                <w:rFonts w:ascii="Arial" w:hAnsi="Arial" w:cs="Arial"/>
                <w:b/>
                <w:bCs/>
                <w:sz w:val="18"/>
                <w:szCs w:val="18"/>
              </w:rPr>
              <w:t>Notes</w:t>
            </w:r>
          </w:p>
        </w:tc>
        <w:tc>
          <w:tcPr>
            <w:tcW w:w="1078" w:type="dxa"/>
            <w:tcBorders>
              <w:top w:val="nil"/>
              <w:left w:val="nil"/>
              <w:bottom w:val="single" w:sz="4" w:space="0" w:color="6B2976"/>
              <w:right w:val="nil"/>
            </w:tcBorders>
            <w:shd w:val="clear" w:color="FFFFFF" w:fill="FFFFFF"/>
            <w:noWrap/>
            <w:vAlign w:val="bottom"/>
            <w:hideMark/>
          </w:tcPr>
          <w:p w14:paraId="3D6B8E32" w14:textId="77777777" w:rsidR="00A43992" w:rsidRDefault="00A43992" w:rsidP="007211E3">
            <w:pPr>
              <w:jc w:val="right"/>
              <w:rPr>
                <w:rFonts w:ascii="Arial" w:hAnsi="Arial" w:cs="Arial"/>
                <w:b/>
                <w:bCs/>
                <w:sz w:val="18"/>
                <w:szCs w:val="18"/>
              </w:rPr>
            </w:pPr>
            <w:r>
              <w:rPr>
                <w:rFonts w:ascii="Arial" w:hAnsi="Arial" w:cs="Arial"/>
                <w:b/>
                <w:bCs/>
                <w:sz w:val="18"/>
                <w:szCs w:val="18"/>
              </w:rPr>
              <w:t>$'000</w:t>
            </w:r>
          </w:p>
        </w:tc>
        <w:tc>
          <w:tcPr>
            <w:tcW w:w="236" w:type="dxa"/>
            <w:tcBorders>
              <w:top w:val="nil"/>
              <w:left w:val="nil"/>
              <w:bottom w:val="single" w:sz="4" w:space="0" w:color="6B2976"/>
              <w:right w:val="nil"/>
            </w:tcBorders>
            <w:shd w:val="clear" w:color="FFFFFF" w:fill="FFFFFF"/>
            <w:noWrap/>
            <w:vAlign w:val="bottom"/>
            <w:hideMark/>
          </w:tcPr>
          <w:p w14:paraId="623AF51F" w14:textId="77777777" w:rsidR="00A43992" w:rsidRDefault="00A43992" w:rsidP="007211E3">
            <w:pPr>
              <w:rPr>
                <w:rFonts w:ascii="Arial" w:hAnsi="Arial" w:cs="Arial"/>
                <w:sz w:val="18"/>
                <w:szCs w:val="18"/>
              </w:rPr>
            </w:pPr>
            <w:r>
              <w:rPr>
                <w:rFonts w:ascii="Arial" w:hAnsi="Arial" w:cs="Arial"/>
                <w:sz w:val="18"/>
                <w:szCs w:val="18"/>
              </w:rPr>
              <w:t> </w:t>
            </w:r>
          </w:p>
        </w:tc>
        <w:tc>
          <w:tcPr>
            <w:tcW w:w="1030" w:type="dxa"/>
            <w:tcBorders>
              <w:top w:val="nil"/>
              <w:left w:val="nil"/>
              <w:bottom w:val="single" w:sz="4" w:space="0" w:color="6B2976"/>
            </w:tcBorders>
            <w:shd w:val="clear" w:color="FFFFFF" w:fill="FFFFFF"/>
            <w:noWrap/>
            <w:vAlign w:val="bottom"/>
            <w:hideMark/>
          </w:tcPr>
          <w:p w14:paraId="0ADA81C1" w14:textId="77777777" w:rsidR="00A43992" w:rsidRDefault="00A43992" w:rsidP="007211E3">
            <w:pPr>
              <w:jc w:val="right"/>
              <w:rPr>
                <w:rFonts w:ascii="Arial" w:hAnsi="Arial" w:cs="Arial"/>
                <w:sz w:val="18"/>
                <w:szCs w:val="18"/>
              </w:rPr>
            </w:pPr>
            <w:r>
              <w:rPr>
                <w:rFonts w:ascii="Arial" w:hAnsi="Arial" w:cs="Arial"/>
                <w:sz w:val="18"/>
                <w:szCs w:val="18"/>
              </w:rPr>
              <w:t>$'000</w:t>
            </w:r>
          </w:p>
        </w:tc>
        <w:tc>
          <w:tcPr>
            <w:tcW w:w="236" w:type="dxa"/>
            <w:tcBorders>
              <w:top w:val="nil"/>
              <w:bottom w:val="single" w:sz="4" w:space="0" w:color="6B2976"/>
              <w:right w:val="nil"/>
            </w:tcBorders>
            <w:shd w:val="clear" w:color="FFFFFF" w:fill="FFFFFF"/>
            <w:noWrap/>
            <w:vAlign w:val="bottom"/>
            <w:hideMark/>
          </w:tcPr>
          <w:p w14:paraId="7BB07445" w14:textId="77777777" w:rsidR="00A43992" w:rsidRDefault="00A43992" w:rsidP="007211E3">
            <w:pPr>
              <w:rPr>
                <w:rFonts w:ascii="Arial" w:hAnsi="Arial" w:cs="Arial"/>
                <w:sz w:val="18"/>
                <w:szCs w:val="18"/>
              </w:rPr>
            </w:pPr>
            <w:r>
              <w:rPr>
                <w:rFonts w:ascii="Arial" w:hAnsi="Arial" w:cs="Arial"/>
                <w:sz w:val="18"/>
                <w:szCs w:val="18"/>
              </w:rPr>
              <w:t> </w:t>
            </w:r>
          </w:p>
        </w:tc>
        <w:tc>
          <w:tcPr>
            <w:tcW w:w="1030" w:type="dxa"/>
            <w:tcBorders>
              <w:top w:val="nil"/>
              <w:left w:val="nil"/>
              <w:bottom w:val="single" w:sz="4" w:space="0" w:color="6B2976"/>
              <w:right w:val="nil"/>
            </w:tcBorders>
            <w:shd w:val="clear" w:color="FFFFFF" w:fill="FFFFFF"/>
            <w:noWrap/>
            <w:vAlign w:val="bottom"/>
            <w:hideMark/>
          </w:tcPr>
          <w:p w14:paraId="3B696CE2" w14:textId="77777777" w:rsidR="00A43992" w:rsidRPr="00724409" w:rsidRDefault="00A43992" w:rsidP="007211E3">
            <w:pPr>
              <w:jc w:val="right"/>
              <w:rPr>
                <w:rFonts w:ascii="Arial" w:hAnsi="Arial" w:cs="Arial"/>
                <w:color w:val="6B2976"/>
                <w:sz w:val="18"/>
                <w:szCs w:val="18"/>
              </w:rPr>
            </w:pPr>
            <w:r w:rsidRPr="00724409">
              <w:rPr>
                <w:rFonts w:ascii="Arial" w:hAnsi="Arial" w:cs="Arial"/>
                <w:color w:val="6B2976"/>
                <w:sz w:val="18"/>
                <w:szCs w:val="18"/>
              </w:rPr>
              <w:t>$'000</w:t>
            </w:r>
          </w:p>
        </w:tc>
      </w:tr>
      <w:tr w:rsidR="00A43992" w14:paraId="6A714ACA" w14:textId="77777777" w:rsidTr="007211E3">
        <w:trPr>
          <w:trHeight w:val="255"/>
        </w:trPr>
        <w:tc>
          <w:tcPr>
            <w:tcW w:w="4400" w:type="dxa"/>
            <w:tcBorders>
              <w:top w:val="single" w:sz="4" w:space="0" w:color="6B2976"/>
              <w:left w:val="nil"/>
              <w:bottom w:val="nil"/>
              <w:right w:val="nil"/>
            </w:tcBorders>
            <w:shd w:val="clear" w:color="FFFFFF" w:fill="FFFFFF"/>
            <w:noWrap/>
            <w:vAlign w:val="bottom"/>
            <w:hideMark/>
          </w:tcPr>
          <w:p w14:paraId="7856BBE9" w14:textId="77777777" w:rsidR="00A43992" w:rsidRDefault="00A43992" w:rsidP="007211E3">
            <w:pPr>
              <w:rPr>
                <w:rFonts w:ascii="Arial" w:hAnsi="Arial" w:cs="Arial"/>
                <w:b/>
                <w:bCs/>
                <w:sz w:val="18"/>
                <w:szCs w:val="18"/>
              </w:rPr>
            </w:pPr>
            <w:r>
              <w:rPr>
                <w:rFonts w:ascii="Arial" w:hAnsi="Arial" w:cs="Arial"/>
                <w:b/>
                <w:bCs/>
                <w:sz w:val="18"/>
                <w:szCs w:val="18"/>
              </w:rPr>
              <w:t>NET COST OF SERVICES</w:t>
            </w:r>
          </w:p>
        </w:tc>
        <w:tc>
          <w:tcPr>
            <w:tcW w:w="1077" w:type="dxa"/>
            <w:tcBorders>
              <w:top w:val="single" w:sz="4" w:space="0" w:color="6B2976"/>
              <w:left w:val="nil"/>
              <w:bottom w:val="nil"/>
              <w:right w:val="nil"/>
            </w:tcBorders>
            <w:shd w:val="clear" w:color="FFFFFF" w:fill="FFFFFF"/>
            <w:noWrap/>
            <w:vAlign w:val="bottom"/>
            <w:hideMark/>
          </w:tcPr>
          <w:p w14:paraId="3273CEE9" w14:textId="77777777" w:rsidR="00A43992" w:rsidRDefault="00A43992" w:rsidP="007211E3">
            <w:pPr>
              <w:jc w:val="center"/>
              <w:rPr>
                <w:rFonts w:ascii="Arial" w:hAnsi="Arial" w:cs="Arial"/>
                <w:b/>
                <w:bCs/>
                <w:sz w:val="18"/>
                <w:szCs w:val="18"/>
              </w:rPr>
            </w:pPr>
            <w:r>
              <w:rPr>
                <w:rFonts w:ascii="Arial" w:hAnsi="Arial" w:cs="Arial"/>
                <w:b/>
                <w:bCs/>
                <w:sz w:val="18"/>
                <w:szCs w:val="18"/>
              </w:rPr>
              <w:t> </w:t>
            </w:r>
          </w:p>
        </w:tc>
        <w:tc>
          <w:tcPr>
            <w:tcW w:w="1078" w:type="dxa"/>
            <w:tcBorders>
              <w:top w:val="single" w:sz="4" w:space="0" w:color="6B2976"/>
              <w:left w:val="nil"/>
              <w:bottom w:val="nil"/>
              <w:right w:val="nil"/>
            </w:tcBorders>
            <w:shd w:val="clear" w:color="FFFFFF" w:fill="FFFFFF"/>
            <w:noWrap/>
            <w:vAlign w:val="bottom"/>
            <w:hideMark/>
          </w:tcPr>
          <w:p w14:paraId="1FD57E76" w14:textId="77777777" w:rsidR="00A43992" w:rsidRDefault="00A43992" w:rsidP="007211E3">
            <w:pPr>
              <w:jc w:val="right"/>
              <w:rPr>
                <w:rFonts w:ascii="Arial" w:hAnsi="Arial" w:cs="Arial"/>
                <w:b/>
                <w:bCs/>
                <w:sz w:val="18"/>
                <w:szCs w:val="18"/>
              </w:rPr>
            </w:pPr>
            <w:r>
              <w:rPr>
                <w:rFonts w:ascii="Arial" w:hAnsi="Arial" w:cs="Arial"/>
                <w:b/>
                <w:bCs/>
                <w:sz w:val="18"/>
                <w:szCs w:val="18"/>
              </w:rPr>
              <w:t> </w:t>
            </w:r>
          </w:p>
        </w:tc>
        <w:tc>
          <w:tcPr>
            <w:tcW w:w="236" w:type="dxa"/>
            <w:tcBorders>
              <w:top w:val="single" w:sz="4" w:space="0" w:color="6B2976"/>
              <w:left w:val="nil"/>
              <w:bottom w:val="nil"/>
              <w:right w:val="nil"/>
            </w:tcBorders>
            <w:shd w:val="clear" w:color="FFFFFF" w:fill="FFFFFF"/>
            <w:noWrap/>
            <w:vAlign w:val="bottom"/>
            <w:hideMark/>
          </w:tcPr>
          <w:p w14:paraId="5C614916" w14:textId="77777777" w:rsidR="00A43992" w:rsidRDefault="00A43992" w:rsidP="007211E3">
            <w:pPr>
              <w:rPr>
                <w:rFonts w:ascii="Arial" w:hAnsi="Arial" w:cs="Arial"/>
                <w:sz w:val="18"/>
                <w:szCs w:val="18"/>
              </w:rPr>
            </w:pPr>
            <w:r>
              <w:rPr>
                <w:rFonts w:ascii="Arial" w:hAnsi="Arial" w:cs="Arial"/>
                <w:sz w:val="18"/>
                <w:szCs w:val="18"/>
              </w:rPr>
              <w:t> </w:t>
            </w:r>
          </w:p>
        </w:tc>
        <w:tc>
          <w:tcPr>
            <w:tcW w:w="1030" w:type="dxa"/>
            <w:tcBorders>
              <w:top w:val="single" w:sz="4" w:space="0" w:color="6B2976"/>
              <w:left w:val="nil"/>
              <w:bottom w:val="nil"/>
              <w:right w:val="nil"/>
            </w:tcBorders>
            <w:shd w:val="clear" w:color="FFFFFF" w:fill="FFFFFF"/>
            <w:noWrap/>
            <w:vAlign w:val="bottom"/>
            <w:hideMark/>
          </w:tcPr>
          <w:p w14:paraId="1B3DB121" w14:textId="77777777" w:rsidR="00A43992" w:rsidRDefault="00A43992" w:rsidP="007211E3">
            <w:pPr>
              <w:jc w:val="right"/>
              <w:rPr>
                <w:rFonts w:ascii="Arial" w:hAnsi="Arial" w:cs="Arial"/>
                <w:sz w:val="18"/>
                <w:szCs w:val="18"/>
              </w:rPr>
            </w:pPr>
            <w:r>
              <w:rPr>
                <w:rFonts w:ascii="Arial" w:hAnsi="Arial" w:cs="Arial"/>
                <w:sz w:val="18"/>
                <w:szCs w:val="18"/>
              </w:rPr>
              <w:t> </w:t>
            </w:r>
          </w:p>
        </w:tc>
        <w:tc>
          <w:tcPr>
            <w:tcW w:w="236" w:type="dxa"/>
            <w:tcBorders>
              <w:top w:val="single" w:sz="4" w:space="0" w:color="6B2976"/>
              <w:left w:val="nil"/>
              <w:bottom w:val="nil"/>
              <w:right w:val="nil"/>
            </w:tcBorders>
            <w:shd w:val="clear" w:color="FFFFFF" w:fill="FFFFFF"/>
            <w:noWrap/>
            <w:vAlign w:val="bottom"/>
            <w:hideMark/>
          </w:tcPr>
          <w:p w14:paraId="28C0F430" w14:textId="77777777" w:rsidR="00A43992" w:rsidRDefault="00A43992" w:rsidP="007211E3">
            <w:pPr>
              <w:rPr>
                <w:rFonts w:ascii="Arial" w:hAnsi="Arial" w:cs="Arial"/>
                <w:sz w:val="18"/>
                <w:szCs w:val="18"/>
              </w:rPr>
            </w:pPr>
            <w:r>
              <w:rPr>
                <w:rFonts w:ascii="Arial" w:hAnsi="Arial" w:cs="Arial"/>
                <w:sz w:val="18"/>
                <w:szCs w:val="18"/>
              </w:rPr>
              <w:t> </w:t>
            </w:r>
          </w:p>
        </w:tc>
        <w:tc>
          <w:tcPr>
            <w:tcW w:w="1030" w:type="dxa"/>
            <w:tcBorders>
              <w:top w:val="single" w:sz="4" w:space="0" w:color="6B2976"/>
              <w:left w:val="nil"/>
              <w:bottom w:val="nil"/>
              <w:right w:val="nil"/>
            </w:tcBorders>
            <w:shd w:val="clear" w:color="FFFFFF" w:fill="FFFFFF"/>
            <w:noWrap/>
            <w:vAlign w:val="bottom"/>
            <w:hideMark/>
          </w:tcPr>
          <w:p w14:paraId="0D64ADEE" w14:textId="77777777" w:rsidR="00A43992" w:rsidRDefault="00A43992" w:rsidP="007211E3">
            <w:pPr>
              <w:jc w:val="right"/>
              <w:rPr>
                <w:rFonts w:ascii="Arial" w:hAnsi="Arial" w:cs="Arial"/>
                <w:sz w:val="18"/>
                <w:szCs w:val="18"/>
              </w:rPr>
            </w:pPr>
            <w:r>
              <w:rPr>
                <w:rFonts w:ascii="Arial" w:hAnsi="Arial" w:cs="Arial"/>
                <w:sz w:val="18"/>
                <w:szCs w:val="18"/>
              </w:rPr>
              <w:t> </w:t>
            </w:r>
          </w:p>
        </w:tc>
      </w:tr>
      <w:tr w:rsidR="00A43992" w14:paraId="4732B1C9" w14:textId="77777777" w:rsidTr="007211E3">
        <w:trPr>
          <w:trHeight w:val="255"/>
        </w:trPr>
        <w:tc>
          <w:tcPr>
            <w:tcW w:w="4400" w:type="dxa"/>
            <w:tcBorders>
              <w:top w:val="nil"/>
              <w:left w:val="nil"/>
              <w:bottom w:val="nil"/>
              <w:right w:val="nil"/>
            </w:tcBorders>
            <w:shd w:val="clear" w:color="FFFFFF" w:fill="FFFFFF"/>
            <w:vAlign w:val="bottom"/>
            <w:hideMark/>
          </w:tcPr>
          <w:p w14:paraId="174F2497" w14:textId="77777777" w:rsidR="00A43992" w:rsidRDefault="00A43992" w:rsidP="007211E3">
            <w:pPr>
              <w:rPr>
                <w:rFonts w:ascii="Arial" w:hAnsi="Arial" w:cs="Arial"/>
                <w:b/>
                <w:bCs/>
                <w:sz w:val="18"/>
                <w:szCs w:val="18"/>
              </w:rPr>
            </w:pPr>
            <w:r>
              <w:rPr>
                <w:rFonts w:ascii="Arial" w:hAnsi="Arial" w:cs="Arial"/>
                <w:b/>
                <w:bCs/>
                <w:sz w:val="18"/>
                <w:szCs w:val="18"/>
              </w:rPr>
              <w:t>Expenses</w:t>
            </w:r>
          </w:p>
        </w:tc>
        <w:tc>
          <w:tcPr>
            <w:tcW w:w="1077" w:type="dxa"/>
            <w:tcBorders>
              <w:top w:val="nil"/>
              <w:left w:val="nil"/>
              <w:bottom w:val="nil"/>
              <w:right w:val="nil"/>
            </w:tcBorders>
            <w:shd w:val="clear" w:color="FFFFFF" w:fill="FFFFFF"/>
            <w:noWrap/>
            <w:vAlign w:val="bottom"/>
            <w:hideMark/>
          </w:tcPr>
          <w:p w14:paraId="523B7C56" w14:textId="77777777" w:rsidR="00A43992" w:rsidRDefault="00A43992" w:rsidP="007211E3">
            <w:pPr>
              <w:jc w:val="center"/>
              <w:rPr>
                <w:rFonts w:ascii="Arial" w:hAnsi="Arial" w:cs="Arial"/>
                <w:sz w:val="18"/>
                <w:szCs w:val="18"/>
              </w:rPr>
            </w:pPr>
            <w:r>
              <w:rPr>
                <w:rFonts w:ascii="Arial" w:hAnsi="Arial" w:cs="Arial"/>
                <w:sz w:val="18"/>
                <w:szCs w:val="18"/>
              </w:rPr>
              <w:t> </w:t>
            </w:r>
          </w:p>
        </w:tc>
        <w:tc>
          <w:tcPr>
            <w:tcW w:w="1078" w:type="dxa"/>
            <w:tcBorders>
              <w:top w:val="nil"/>
              <w:left w:val="nil"/>
              <w:bottom w:val="nil"/>
              <w:right w:val="nil"/>
            </w:tcBorders>
            <w:shd w:val="clear" w:color="FFFFFF" w:fill="FFFFFF"/>
            <w:noWrap/>
            <w:vAlign w:val="bottom"/>
            <w:hideMark/>
          </w:tcPr>
          <w:p w14:paraId="4F1DD405" w14:textId="77777777" w:rsidR="00A43992" w:rsidRDefault="00A43992" w:rsidP="007211E3">
            <w:pPr>
              <w:jc w:val="right"/>
              <w:rPr>
                <w:rFonts w:ascii="Arial" w:hAnsi="Arial" w:cs="Arial"/>
                <w:b/>
                <w:bCs/>
                <w:sz w:val="18"/>
                <w:szCs w:val="18"/>
              </w:rPr>
            </w:pPr>
            <w:r>
              <w:rPr>
                <w:rFonts w:ascii="Arial" w:hAnsi="Arial" w:cs="Arial"/>
                <w:b/>
                <w:bCs/>
                <w:sz w:val="18"/>
                <w:szCs w:val="18"/>
              </w:rPr>
              <w:t> </w:t>
            </w:r>
          </w:p>
        </w:tc>
        <w:tc>
          <w:tcPr>
            <w:tcW w:w="236" w:type="dxa"/>
            <w:tcBorders>
              <w:top w:val="nil"/>
              <w:left w:val="nil"/>
              <w:bottom w:val="nil"/>
              <w:right w:val="nil"/>
            </w:tcBorders>
            <w:shd w:val="clear" w:color="FFFFFF" w:fill="FFFFFF"/>
            <w:noWrap/>
            <w:vAlign w:val="bottom"/>
            <w:hideMark/>
          </w:tcPr>
          <w:p w14:paraId="465BA96B" w14:textId="77777777" w:rsidR="00A43992" w:rsidRDefault="00A43992" w:rsidP="007211E3">
            <w:pPr>
              <w:rPr>
                <w:rFonts w:ascii="Arial" w:hAnsi="Arial" w:cs="Arial"/>
                <w:sz w:val="18"/>
                <w:szCs w:val="18"/>
              </w:rPr>
            </w:pPr>
            <w:r>
              <w:rPr>
                <w:rFonts w:ascii="Arial" w:hAnsi="Arial" w:cs="Arial"/>
                <w:sz w:val="18"/>
                <w:szCs w:val="18"/>
              </w:rPr>
              <w:t> </w:t>
            </w:r>
          </w:p>
        </w:tc>
        <w:tc>
          <w:tcPr>
            <w:tcW w:w="1030" w:type="dxa"/>
            <w:tcBorders>
              <w:top w:val="nil"/>
              <w:left w:val="nil"/>
              <w:bottom w:val="nil"/>
              <w:right w:val="nil"/>
            </w:tcBorders>
            <w:shd w:val="clear" w:color="FFFFFF" w:fill="FFFFFF"/>
            <w:noWrap/>
            <w:vAlign w:val="bottom"/>
            <w:hideMark/>
          </w:tcPr>
          <w:p w14:paraId="457F5366" w14:textId="77777777" w:rsidR="00A43992" w:rsidRDefault="00A43992" w:rsidP="007211E3">
            <w:pPr>
              <w:jc w:val="right"/>
              <w:rPr>
                <w:rFonts w:ascii="Arial" w:hAnsi="Arial" w:cs="Arial"/>
                <w:sz w:val="18"/>
                <w:szCs w:val="18"/>
              </w:rPr>
            </w:pPr>
            <w:r>
              <w:rPr>
                <w:rFonts w:ascii="Arial" w:hAnsi="Arial" w:cs="Arial"/>
                <w:sz w:val="18"/>
                <w:szCs w:val="18"/>
              </w:rPr>
              <w:t> </w:t>
            </w:r>
          </w:p>
        </w:tc>
        <w:tc>
          <w:tcPr>
            <w:tcW w:w="236" w:type="dxa"/>
            <w:tcBorders>
              <w:top w:val="nil"/>
              <w:left w:val="nil"/>
              <w:bottom w:val="nil"/>
              <w:right w:val="nil"/>
            </w:tcBorders>
            <w:shd w:val="clear" w:color="FFFFFF" w:fill="FFFFFF"/>
            <w:noWrap/>
            <w:vAlign w:val="bottom"/>
            <w:hideMark/>
          </w:tcPr>
          <w:p w14:paraId="40AF4E9D" w14:textId="77777777" w:rsidR="00A43992" w:rsidRDefault="00A43992" w:rsidP="007211E3">
            <w:pPr>
              <w:rPr>
                <w:rFonts w:ascii="Arial" w:hAnsi="Arial" w:cs="Arial"/>
                <w:sz w:val="18"/>
                <w:szCs w:val="18"/>
              </w:rPr>
            </w:pPr>
            <w:r>
              <w:rPr>
                <w:rFonts w:ascii="Arial" w:hAnsi="Arial" w:cs="Arial"/>
                <w:sz w:val="18"/>
                <w:szCs w:val="18"/>
              </w:rPr>
              <w:t> </w:t>
            </w:r>
          </w:p>
        </w:tc>
        <w:tc>
          <w:tcPr>
            <w:tcW w:w="1030" w:type="dxa"/>
            <w:tcBorders>
              <w:top w:val="nil"/>
              <w:left w:val="nil"/>
              <w:bottom w:val="nil"/>
              <w:right w:val="nil"/>
            </w:tcBorders>
            <w:shd w:val="clear" w:color="FFFFFF" w:fill="FFFFFF"/>
            <w:noWrap/>
            <w:vAlign w:val="bottom"/>
            <w:hideMark/>
          </w:tcPr>
          <w:p w14:paraId="2067BFB8" w14:textId="77777777" w:rsidR="00A43992" w:rsidRDefault="00A43992" w:rsidP="007211E3">
            <w:pPr>
              <w:jc w:val="right"/>
              <w:rPr>
                <w:rFonts w:ascii="Arial" w:hAnsi="Arial" w:cs="Arial"/>
                <w:sz w:val="18"/>
                <w:szCs w:val="18"/>
              </w:rPr>
            </w:pPr>
            <w:r>
              <w:rPr>
                <w:rFonts w:ascii="Arial" w:hAnsi="Arial" w:cs="Arial"/>
                <w:sz w:val="18"/>
                <w:szCs w:val="18"/>
              </w:rPr>
              <w:t> </w:t>
            </w:r>
          </w:p>
        </w:tc>
      </w:tr>
      <w:tr w:rsidR="00A43992" w14:paraId="1114660A" w14:textId="77777777" w:rsidTr="007211E3">
        <w:trPr>
          <w:trHeight w:val="255"/>
        </w:trPr>
        <w:tc>
          <w:tcPr>
            <w:tcW w:w="4400" w:type="dxa"/>
            <w:tcBorders>
              <w:top w:val="nil"/>
              <w:left w:val="nil"/>
              <w:bottom w:val="nil"/>
              <w:right w:val="nil"/>
            </w:tcBorders>
            <w:shd w:val="clear" w:color="FFFFFF" w:fill="FFFFFF"/>
            <w:vAlign w:val="bottom"/>
            <w:hideMark/>
          </w:tcPr>
          <w:p w14:paraId="7EDB51D8" w14:textId="77777777" w:rsidR="00A43992" w:rsidRDefault="00A43992" w:rsidP="007211E3">
            <w:pPr>
              <w:ind w:firstLineChars="100" w:firstLine="180"/>
              <w:rPr>
                <w:rFonts w:ascii="Arial" w:hAnsi="Arial" w:cs="Arial"/>
                <w:sz w:val="18"/>
                <w:szCs w:val="18"/>
              </w:rPr>
            </w:pPr>
            <w:r>
              <w:rPr>
                <w:rFonts w:ascii="Arial" w:hAnsi="Arial" w:cs="Arial"/>
                <w:sz w:val="18"/>
                <w:szCs w:val="18"/>
              </w:rPr>
              <w:t>Employee benefits</w:t>
            </w:r>
          </w:p>
        </w:tc>
        <w:tc>
          <w:tcPr>
            <w:tcW w:w="1077" w:type="dxa"/>
            <w:tcBorders>
              <w:top w:val="nil"/>
              <w:left w:val="nil"/>
              <w:bottom w:val="nil"/>
              <w:right w:val="nil"/>
            </w:tcBorders>
            <w:shd w:val="clear" w:color="FFFFFF" w:fill="FFFFFF"/>
            <w:noWrap/>
            <w:vAlign w:val="bottom"/>
            <w:hideMark/>
          </w:tcPr>
          <w:p w14:paraId="3EDFC5E7" w14:textId="77777777" w:rsidR="00A43992" w:rsidRDefault="00A43992" w:rsidP="007211E3">
            <w:pPr>
              <w:jc w:val="center"/>
              <w:rPr>
                <w:rFonts w:ascii="Arial" w:hAnsi="Arial" w:cs="Arial"/>
                <w:sz w:val="18"/>
                <w:szCs w:val="18"/>
              </w:rPr>
            </w:pPr>
            <w:r>
              <w:rPr>
                <w:rFonts w:ascii="Arial" w:hAnsi="Arial" w:cs="Arial"/>
                <w:sz w:val="18"/>
                <w:szCs w:val="18"/>
              </w:rPr>
              <w:t>1.1A</w:t>
            </w:r>
          </w:p>
        </w:tc>
        <w:tc>
          <w:tcPr>
            <w:tcW w:w="1078" w:type="dxa"/>
            <w:tcBorders>
              <w:top w:val="nil"/>
              <w:left w:val="nil"/>
              <w:bottom w:val="nil"/>
              <w:right w:val="nil"/>
            </w:tcBorders>
            <w:shd w:val="clear" w:color="FFFFFF" w:fill="FFFFFF"/>
            <w:noWrap/>
            <w:vAlign w:val="bottom"/>
            <w:hideMark/>
          </w:tcPr>
          <w:p w14:paraId="29B80144" w14:textId="77777777" w:rsidR="00A43992" w:rsidRDefault="00A43992" w:rsidP="007211E3">
            <w:pPr>
              <w:jc w:val="right"/>
              <w:rPr>
                <w:rFonts w:ascii="Arial" w:hAnsi="Arial" w:cs="Arial"/>
                <w:b/>
                <w:bCs/>
                <w:sz w:val="18"/>
                <w:szCs w:val="18"/>
              </w:rPr>
            </w:pPr>
            <w:r>
              <w:rPr>
                <w:rFonts w:ascii="Arial" w:hAnsi="Arial" w:cs="Arial"/>
                <w:b/>
                <w:bCs/>
                <w:sz w:val="18"/>
                <w:szCs w:val="18"/>
              </w:rPr>
              <w:t>115,464</w:t>
            </w:r>
          </w:p>
        </w:tc>
        <w:tc>
          <w:tcPr>
            <w:tcW w:w="236" w:type="dxa"/>
            <w:tcBorders>
              <w:top w:val="nil"/>
              <w:left w:val="nil"/>
              <w:bottom w:val="nil"/>
              <w:right w:val="nil"/>
            </w:tcBorders>
            <w:shd w:val="clear" w:color="FFFFFF" w:fill="FFFFFF"/>
            <w:noWrap/>
            <w:vAlign w:val="bottom"/>
            <w:hideMark/>
          </w:tcPr>
          <w:p w14:paraId="13155916" w14:textId="77777777" w:rsidR="00A43992" w:rsidRDefault="00A43992" w:rsidP="007211E3">
            <w:pPr>
              <w:rPr>
                <w:rFonts w:ascii="Arial" w:hAnsi="Arial" w:cs="Arial"/>
                <w:sz w:val="18"/>
                <w:szCs w:val="18"/>
              </w:rPr>
            </w:pPr>
            <w:r>
              <w:rPr>
                <w:rFonts w:ascii="Arial" w:hAnsi="Arial" w:cs="Arial"/>
                <w:sz w:val="18"/>
                <w:szCs w:val="18"/>
              </w:rPr>
              <w:t> </w:t>
            </w:r>
          </w:p>
        </w:tc>
        <w:tc>
          <w:tcPr>
            <w:tcW w:w="1030" w:type="dxa"/>
            <w:tcBorders>
              <w:top w:val="nil"/>
              <w:left w:val="nil"/>
              <w:bottom w:val="nil"/>
              <w:right w:val="nil"/>
            </w:tcBorders>
            <w:shd w:val="clear" w:color="FFFFFF" w:fill="FFFFFF"/>
            <w:noWrap/>
            <w:vAlign w:val="bottom"/>
            <w:hideMark/>
          </w:tcPr>
          <w:p w14:paraId="35074A21" w14:textId="77777777" w:rsidR="00A43992" w:rsidRDefault="00A43992" w:rsidP="007211E3">
            <w:pPr>
              <w:jc w:val="right"/>
              <w:rPr>
                <w:rFonts w:ascii="Arial" w:hAnsi="Arial" w:cs="Arial"/>
                <w:sz w:val="18"/>
                <w:szCs w:val="18"/>
              </w:rPr>
            </w:pPr>
            <w:r>
              <w:rPr>
                <w:rFonts w:ascii="Arial" w:hAnsi="Arial" w:cs="Arial"/>
                <w:sz w:val="18"/>
                <w:szCs w:val="18"/>
              </w:rPr>
              <w:t>73,368</w:t>
            </w:r>
          </w:p>
        </w:tc>
        <w:tc>
          <w:tcPr>
            <w:tcW w:w="236" w:type="dxa"/>
            <w:tcBorders>
              <w:top w:val="nil"/>
              <w:left w:val="nil"/>
              <w:bottom w:val="nil"/>
              <w:right w:val="nil"/>
            </w:tcBorders>
            <w:shd w:val="clear" w:color="FFFFFF" w:fill="FFFFFF"/>
            <w:noWrap/>
            <w:vAlign w:val="bottom"/>
            <w:hideMark/>
          </w:tcPr>
          <w:p w14:paraId="73B3A31C" w14:textId="77777777" w:rsidR="00A43992" w:rsidRDefault="00A43992" w:rsidP="007211E3">
            <w:pPr>
              <w:rPr>
                <w:rFonts w:ascii="Arial" w:hAnsi="Arial" w:cs="Arial"/>
                <w:sz w:val="18"/>
                <w:szCs w:val="18"/>
              </w:rPr>
            </w:pPr>
            <w:r>
              <w:rPr>
                <w:rFonts w:ascii="Arial" w:hAnsi="Arial" w:cs="Arial"/>
                <w:sz w:val="18"/>
                <w:szCs w:val="18"/>
              </w:rPr>
              <w:t> </w:t>
            </w:r>
          </w:p>
        </w:tc>
        <w:tc>
          <w:tcPr>
            <w:tcW w:w="1030" w:type="dxa"/>
            <w:tcBorders>
              <w:top w:val="nil"/>
              <w:left w:val="nil"/>
              <w:bottom w:val="nil"/>
              <w:right w:val="nil"/>
            </w:tcBorders>
            <w:shd w:val="clear" w:color="FFFFFF" w:fill="FFFFFF"/>
            <w:noWrap/>
            <w:vAlign w:val="bottom"/>
            <w:hideMark/>
          </w:tcPr>
          <w:p w14:paraId="4D85622E" w14:textId="77777777" w:rsidR="00A43992" w:rsidRDefault="00A43992" w:rsidP="007211E3">
            <w:pPr>
              <w:jc w:val="right"/>
              <w:rPr>
                <w:rFonts w:ascii="Arial" w:hAnsi="Arial" w:cs="Arial"/>
                <w:sz w:val="18"/>
                <w:szCs w:val="18"/>
              </w:rPr>
            </w:pPr>
            <w:r>
              <w:rPr>
                <w:rFonts w:ascii="Arial" w:hAnsi="Arial" w:cs="Arial"/>
                <w:sz w:val="18"/>
                <w:szCs w:val="18"/>
              </w:rPr>
              <w:t>126,151</w:t>
            </w:r>
          </w:p>
        </w:tc>
      </w:tr>
      <w:tr w:rsidR="00A43992" w14:paraId="4576D1CE" w14:textId="77777777" w:rsidTr="007211E3">
        <w:trPr>
          <w:trHeight w:val="255"/>
        </w:trPr>
        <w:tc>
          <w:tcPr>
            <w:tcW w:w="4400" w:type="dxa"/>
            <w:tcBorders>
              <w:top w:val="nil"/>
              <w:left w:val="nil"/>
              <w:bottom w:val="nil"/>
              <w:right w:val="nil"/>
            </w:tcBorders>
            <w:shd w:val="clear" w:color="FFFFFF" w:fill="FFFFFF"/>
            <w:vAlign w:val="bottom"/>
            <w:hideMark/>
          </w:tcPr>
          <w:p w14:paraId="569B539D" w14:textId="77777777" w:rsidR="00A43992" w:rsidRDefault="00A43992" w:rsidP="007211E3">
            <w:pPr>
              <w:ind w:firstLineChars="100" w:firstLine="180"/>
              <w:rPr>
                <w:rFonts w:ascii="Arial" w:hAnsi="Arial" w:cs="Arial"/>
                <w:sz w:val="18"/>
                <w:szCs w:val="18"/>
              </w:rPr>
            </w:pPr>
            <w:r>
              <w:rPr>
                <w:rFonts w:ascii="Arial" w:hAnsi="Arial" w:cs="Arial"/>
                <w:sz w:val="18"/>
                <w:szCs w:val="18"/>
              </w:rPr>
              <w:t>Suppliers</w:t>
            </w:r>
          </w:p>
        </w:tc>
        <w:tc>
          <w:tcPr>
            <w:tcW w:w="1077" w:type="dxa"/>
            <w:tcBorders>
              <w:top w:val="nil"/>
              <w:left w:val="nil"/>
              <w:bottom w:val="nil"/>
              <w:right w:val="nil"/>
            </w:tcBorders>
            <w:shd w:val="clear" w:color="FFFFFF" w:fill="FFFFFF"/>
            <w:noWrap/>
            <w:vAlign w:val="bottom"/>
            <w:hideMark/>
          </w:tcPr>
          <w:p w14:paraId="1FE3A0E7" w14:textId="77777777" w:rsidR="00A43992" w:rsidRDefault="00A43992" w:rsidP="007211E3">
            <w:pPr>
              <w:jc w:val="center"/>
              <w:rPr>
                <w:rFonts w:ascii="Arial" w:hAnsi="Arial" w:cs="Arial"/>
                <w:sz w:val="18"/>
                <w:szCs w:val="18"/>
              </w:rPr>
            </w:pPr>
            <w:r>
              <w:rPr>
                <w:rFonts w:ascii="Arial" w:hAnsi="Arial" w:cs="Arial"/>
                <w:sz w:val="18"/>
                <w:szCs w:val="18"/>
              </w:rPr>
              <w:t>1.1B</w:t>
            </w:r>
          </w:p>
        </w:tc>
        <w:tc>
          <w:tcPr>
            <w:tcW w:w="1078" w:type="dxa"/>
            <w:tcBorders>
              <w:top w:val="nil"/>
              <w:left w:val="nil"/>
              <w:bottom w:val="nil"/>
              <w:right w:val="nil"/>
            </w:tcBorders>
            <w:shd w:val="clear" w:color="FFFFFF" w:fill="FFFFFF"/>
            <w:noWrap/>
            <w:vAlign w:val="bottom"/>
            <w:hideMark/>
          </w:tcPr>
          <w:p w14:paraId="7AA082D9" w14:textId="77777777" w:rsidR="00A43992" w:rsidRDefault="00A43992" w:rsidP="007211E3">
            <w:pPr>
              <w:jc w:val="right"/>
              <w:rPr>
                <w:rFonts w:ascii="Arial" w:hAnsi="Arial" w:cs="Arial"/>
                <w:b/>
                <w:bCs/>
                <w:sz w:val="18"/>
                <w:szCs w:val="18"/>
              </w:rPr>
            </w:pPr>
            <w:r>
              <w:rPr>
                <w:rFonts w:ascii="Arial" w:hAnsi="Arial" w:cs="Arial"/>
                <w:b/>
                <w:bCs/>
                <w:sz w:val="18"/>
                <w:szCs w:val="18"/>
              </w:rPr>
              <w:t>114,490</w:t>
            </w:r>
          </w:p>
        </w:tc>
        <w:tc>
          <w:tcPr>
            <w:tcW w:w="236" w:type="dxa"/>
            <w:tcBorders>
              <w:top w:val="nil"/>
              <w:left w:val="nil"/>
              <w:bottom w:val="nil"/>
              <w:right w:val="nil"/>
            </w:tcBorders>
            <w:shd w:val="clear" w:color="FFFFFF" w:fill="FFFFFF"/>
            <w:noWrap/>
            <w:vAlign w:val="bottom"/>
            <w:hideMark/>
          </w:tcPr>
          <w:p w14:paraId="7AC8C33A" w14:textId="77777777" w:rsidR="00A43992" w:rsidRDefault="00A43992" w:rsidP="007211E3">
            <w:pPr>
              <w:rPr>
                <w:rFonts w:ascii="Arial" w:hAnsi="Arial" w:cs="Arial"/>
                <w:sz w:val="18"/>
                <w:szCs w:val="18"/>
              </w:rPr>
            </w:pPr>
            <w:r>
              <w:rPr>
                <w:rFonts w:ascii="Arial" w:hAnsi="Arial" w:cs="Arial"/>
                <w:sz w:val="18"/>
                <w:szCs w:val="18"/>
              </w:rPr>
              <w:t> </w:t>
            </w:r>
          </w:p>
        </w:tc>
        <w:tc>
          <w:tcPr>
            <w:tcW w:w="1030" w:type="dxa"/>
            <w:tcBorders>
              <w:top w:val="nil"/>
              <w:left w:val="nil"/>
              <w:bottom w:val="nil"/>
              <w:right w:val="nil"/>
            </w:tcBorders>
            <w:shd w:val="clear" w:color="FFFFFF" w:fill="FFFFFF"/>
            <w:noWrap/>
            <w:vAlign w:val="bottom"/>
            <w:hideMark/>
          </w:tcPr>
          <w:p w14:paraId="02F686C7" w14:textId="77777777" w:rsidR="00A43992" w:rsidRDefault="00A43992" w:rsidP="007211E3">
            <w:pPr>
              <w:jc w:val="right"/>
              <w:rPr>
                <w:rFonts w:ascii="Arial" w:hAnsi="Arial" w:cs="Arial"/>
                <w:sz w:val="18"/>
                <w:szCs w:val="18"/>
              </w:rPr>
            </w:pPr>
            <w:r>
              <w:rPr>
                <w:rFonts w:ascii="Arial" w:hAnsi="Arial" w:cs="Arial"/>
                <w:sz w:val="18"/>
                <w:szCs w:val="18"/>
              </w:rPr>
              <w:t>82,923</w:t>
            </w:r>
          </w:p>
        </w:tc>
        <w:tc>
          <w:tcPr>
            <w:tcW w:w="236" w:type="dxa"/>
            <w:tcBorders>
              <w:top w:val="nil"/>
              <w:left w:val="nil"/>
              <w:bottom w:val="nil"/>
              <w:right w:val="nil"/>
            </w:tcBorders>
            <w:shd w:val="clear" w:color="FFFFFF" w:fill="FFFFFF"/>
            <w:noWrap/>
            <w:vAlign w:val="bottom"/>
            <w:hideMark/>
          </w:tcPr>
          <w:p w14:paraId="469D39C3" w14:textId="77777777" w:rsidR="00A43992" w:rsidRDefault="00A43992" w:rsidP="007211E3">
            <w:pPr>
              <w:rPr>
                <w:rFonts w:ascii="Arial" w:hAnsi="Arial" w:cs="Arial"/>
                <w:sz w:val="18"/>
                <w:szCs w:val="18"/>
              </w:rPr>
            </w:pPr>
            <w:r>
              <w:rPr>
                <w:rFonts w:ascii="Arial" w:hAnsi="Arial" w:cs="Arial"/>
                <w:sz w:val="18"/>
                <w:szCs w:val="18"/>
              </w:rPr>
              <w:t> </w:t>
            </w:r>
          </w:p>
        </w:tc>
        <w:tc>
          <w:tcPr>
            <w:tcW w:w="1030" w:type="dxa"/>
            <w:tcBorders>
              <w:top w:val="nil"/>
              <w:left w:val="nil"/>
              <w:bottom w:val="nil"/>
              <w:right w:val="nil"/>
            </w:tcBorders>
            <w:shd w:val="clear" w:color="FFFFFF" w:fill="FFFFFF"/>
            <w:noWrap/>
            <w:vAlign w:val="bottom"/>
            <w:hideMark/>
          </w:tcPr>
          <w:p w14:paraId="18BDD3E6" w14:textId="77777777" w:rsidR="00A43992" w:rsidRDefault="00A43992" w:rsidP="007211E3">
            <w:pPr>
              <w:jc w:val="right"/>
              <w:rPr>
                <w:rFonts w:ascii="Arial" w:hAnsi="Arial" w:cs="Arial"/>
                <w:sz w:val="18"/>
                <w:szCs w:val="18"/>
              </w:rPr>
            </w:pPr>
            <w:r>
              <w:rPr>
                <w:rFonts w:ascii="Arial" w:hAnsi="Arial" w:cs="Arial"/>
                <w:sz w:val="18"/>
                <w:szCs w:val="18"/>
              </w:rPr>
              <w:t>73,952</w:t>
            </w:r>
          </w:p>
        </w:tc>
      </w:tr>
      <w:tr w:rsidR="00A43992" w14:paraId="2A121048" w14:textId="77777777" w:rsidTr="007211E3">
        <w:trPr>
          <w:trHeight w:val="255"/>
        </w:trPr>
        <w:tc>
          <w:tcPr>
            <w:tcW w:w="4400" w:type="dxa"/>
            <w:tcBorders>
              <w:top w:val="nil"/>
              <w:left w:val="nil"/>
              <w:bottom w:val="nil"/>
              <w:right w:val="nil"/>
            </w:tcBorders>
            <w:shd w:val="clear" w:color="FFFFFF" w:fill="FFFFFF"/>
            <w:vAlign w:val="bottom"/>
            <w:hideMark/>
          </w:tcPr>
          <w:p w14:paraId="7A5BAEF6" w14:textId="77777777" w:rsidR="00A43992" w:rsidRDefault="00A43992" w:rsidP="007211E3">
            <w:pPr>
              <w:ind w:firstLineChars="100" w:firstLine="180"/>
              <w:rPr>
                <w:rFonts w:ascii="Arial" w:hAnsi="Arial" w:cs="Arial"/>
                <w:sz w:val="18"/>
                <w:szCs w:val="18"/>
              </w:rPr>
            </w:pPr>
            <w:r>
              <w:rPr>
                <w:rFonts w:ascii="Arial" w:hAnsi="Arial" w:cs="Arial"/>
                <w:sz w:val="18"/>
                <w:szCs w:val="18"/>
              </w:rPr>
              <w:t>Local area coordination costs</w:t>
            </w:r>
          </w:p>
        </w:tc>
        <w:tc>
          <w:tcPr>
            <w:tcW w:w="1077" w:type="dxa"/>
            <w:tcBorders>
              <w:top w:val="nil"/>
              <w:left w:val="nil"/>
              <w:bottom w:val="nil"/>
              <w:right w:val="nil"/>
            </w:tcBorders>
            <w:shd w:val="clear" w:color="FFFFFF" w:fill="FFFFFF"/>
            <w:noWrap/>
            <w:vAlign w:val="bottom"/>
            <w:hideMark/>
          </w:tcPr>
          <w:p w14:paraId="2A541F7C" w14:textId="77777777" w:rsidR="00A43992" w:rsidRDefault="00A43992" w:rsidP="007211E3">
            <w:pPr>
              <w:jc w:val="center"/>
              <w:rPr>
                <w:rFonts w:ascii="Arial" w:hAnsi="Arial" w:cs="Arial"/>
                <w:sz w:val="18"/>
                <w:szCs w:val="18"/>
              </w:rPr>
            </w:pPr>
            <w:r>
              <w:rPr>
                <w:rFonts w:ascii="Arial" w:hAnsi="Arial" w:cs="Arial"/>
                <w:sz w:val="18"/>
                <w:szCs w:val="18"/>
              </w:rPr>
              <w:t>1.1E</w:t>
            </w:r>
          </w:p>
        </w:tc>
        <w:tc>
          <w:tcPr>
            <w:tcW w:w="1078" w:type="dxa"/>
            <w:tcBorders>
              <w:top w:val="nil"/>
              <w:left w:val="nil"/>
              <w:bottom w:val="nil"/>
              <w:right w:val="nil"/>
            </w:tcBorders>
            <w:shd w:val="clear" w:color="FFFFFF" w:fill="FFFFFF"/>
            <w:noWrap/>
            <w:vAlign w:val="bottom"/>
            <w:hideMark/>
          </w:tcPr>
          <w:p w14:paraId="7848A54B" w14:textId="77777777" w:rsidR="00A43992" w:rsidRDefault="00A43992" w:rsidP="007211E3">
            <w:pPr>
              <w:jc w:val="right"/>
              <w:rPr>
                <w:rFonts w:ascii="Arial" w:hAnsi="Arial" w:cs="Arial"/>
                <w:b/>
                <w:bCs/>
                <w:sz w:val="18"/>
                <w:szCs w:val="18"/>
              </w:rPr>
            </w:pPr>
            <w:r>
              <w:rPr>
                <w:rFonts w:ascii="Arial" w:hAnsi="Arial" w:cs="Arial"/>
                <w:b/>
                <w:bCs/>
                <w:sz w:val="18"/>
                <w:szCs w:val="18"/>
              </w:rPr>
              <w:t>21,514</w:t>
            </w:r>
          </w:p>
        </w:tc>
        <w:tc>
          <w:tcPr>
            <w:tcW w:w="236" w:type="dxa"/>
            <w:tcBorders>
              <w:top w:val="nil"/>
              <w:left w:val="nil"/>
              <w:bottom w:val="nil"/>
              <w:right w:val="nil"/>
            </w:tcBorders>
            <w:shd w:val="clear" w:color="FFFFFF" w:fill="FFFFFF"/>
            <w:noWrap/>
            <w:vAlign w:val="bottom"/>
            <w:hideMark/>
          </w:tcPr>
          <w:p w14:paraId="15FA38DE" w14:textId="77777777" w:rsidR="00A43992" w:rsidRDefault="00A43992" w:rsidP="007211E3">
            <w:pPr>
              <w:rPr>
                <w:rFonts w:ascii="Arial" w:hAnsi="Arial" w:cs="Arial"/>
                <w:sz w:val="18"/>
                <w:szCs w:val="18"/>
              </w:rPr>
            </w:pPr>
            <w:r>
              <w:rPr>
                <w:rFonts w:ascii="Arial" w:hAnsi="Arial" w:cs="Arial"/>
                <w:sz w:val="18"/>
                <w:szCs w:val="18"/>
              </w:rPr>
              <w:t> </w:t>
            </w:r>
          </w:p>
        </w:tc>
        <w:tc>
          <w:tcPr>
            <w:tcW w:w="1030" w:type="dxa"/>
            <w:tcBorders>
              <w:top w:val="nil"/>
              <w:left w:val="nil"/>
              <w:bottom w:val="nil"/>
              <w:right w:val="nil"/>
            </w:tcBorders>
            <w:shd w:val="clear" w:color="FFFFFF" w:fill="FFFFFF"/>
            <w:noWrap/>
            <w:vAlign w:val="bottom"/>
            <w:hideMark/>
          </w:tcPr>
          <w:p w14:paraId="3B6451A0" w14:textId="77777777" w:rsidR="00A43992" w:rsidRDefault="00A43992" w:rsidP="007211E3">
            <w:pPr>
              <w:jc w:val="right"/>
              <w:rPr>
                <w:rFonts w:ascii="Arial" w:hAnsi="Arial" w:cs="Arial"/>
                <w:sz w:val="18"/>
                <w:szCs w:val="18"/>
              </w:rPr>
            </w:pPr>
            <w:r>
              <w:rPr>
                <w:rFonts w:ascii="Arial" w:hAnsi="Arial" w:cs="Arial"/>
                <w:sz w:val="18"/>
                <w:szCs w:val="18"/>
              </w:rPr>
              <w:t>5,498</w:t>
            </w:r>
          </w:p>
        </w:tc>
        <w:tc>
          <w:tcPr>
            <w:tcW w:w="236" w:type="dxa"/>
            <w:tcBorders>
              <w:top w:val="nil"/>
              <w:left w:val="nil"/>
              <w:bottom w:val="nil"/>
              <w:right w:val="nil"/>
            </w:tcBorders>
            <w:shd w:val="clear" w:color="FFFFFF" w:fill="FFFFFF"/>
            <w:noWrap/>
            <w:vAlign w:val="bottom"/>
            <w:hideMark/>
          </w:tcPr>
          <w:p w14:paraId="129C2AB7" w14:textId="77777777" w:rsidR="00A43992" w:rsidRDefault="00A43992" w:rsidP="007211E3">
            <w:pPr>
              <w:rPr>
                <w:rFonts w:ascii="Arial" w:hAnsi="Arial" w:cs="Arial"/>
                <w:sz w:val="18"/>
                <w:szCs w:val="18"/>
              </w:rPr>
            </w:pPr>
            <w:r>
              <w:rPr>
                <w:rFonts w:ascii="Arial" w:hAnsi="Arial" w:cs="Arial"/>
                <w:sz w:val="18"/>
                <w:szCs w:val="18"/>
              </w:rPr>
              <w:t> </w:t>
            </w:r>
          </w:p>
        </w:tc>
        <w:tc>
          <w:tcPr>
            <w:tcW w:w="1030" w:type="dxa"/>
            <w:tcBorders>
              <w:top w:val="nil"/>
              <w:left w:val="nil"/>
              <w:bottom w:val="nil"/>
              <w:right w:val="nil"/>
            </w:tcBorders>
            <w:shd w:val="clear" w:color="FFFFFF" w:fill="FFFFFF"/>
            <w:noWrap/>
            <w:vAlign w:val="bottom"/>
            <w:hideMark/>
          </w:tcPr>
          <w:p w14:paraId="0C1F5BD1" w14:textId="77777777" w:rsidR="00A43992" w:rsidRDefault="00A43992" w:rsidP="007211E3">
            <w:pPr>
              <w:jc w:val="right"/>
              <w:rPr>
                <w:rFonts w:ascii="Arial" w:hAnsi="Arial" w:cs="Arial"/>
                <w:sz w:val="18"/>
                <w:szCs w:val="18"/>
              </w:rPr>
            </w:pPr>
            <w:r>
              <w:rPr>
                <w:rFonts w:ascii="Arial" w:hAnsi="Arial" w:cs="Arial"/>
                <w:sz w:val="18"/>
                <w:szCs w:val="18"/>
              </w:rPr>
              <w:t>-</w:t>
            </w:r>
          </w:p>
        </w:tc>
      </w:tr>
      <w:tr w:rsidR="00A43992" w14:paraId="797A2251" w14:textId="77777777" w:rsidTr="007211E3">
        <w:trPr>
          <w:trHeight w:val="255"/>
        </w:trPr>
        <w:tc>
          <w:tcPr>
            <w:tcW w:w="4400" w:type="dxa"/>
            <w:tcBorders>
              <w:top w:val="nil"/>
              <w:left w:val="nil"/>
              <w:bottom w:val="nil"/>
              <w:right w:val="nil"/>
            </w:tcBorders>
            <w:shd w:val="clear" w:color="FFFFFF" w:fill="FFFFFF"/>
            <w:vAlign w:val="bottom"/>
            <w:hideMark/>
          </w:tcPr>
          <w:p w14:paraId="12076C35" w14:textId="77777777" w:rsidR="00A43992" w:rsidRDefault="00A43992" w:rsidP="007211E3">
            <w:pPr>
              <w:ind w:firstLineChars="100" w:firstLine="180"/>
              <w:rPr>
                <w:rFonts w:ascii="Arial" w:hAnsi="Arial" w:cs="Arial"/>
                <w:sz w:val="18"/>
                <w:szCs w:val="18"/>
              </w:rPr>
            </w:pPr>
            <w:r>
              <w:rPr>
                <w:rFonts w:ascii="Arial" w:hAnsi="Arial" w:cs="Arial"/>
                <w:sz w:val="18"/>
                <w:szCs w:val="18"/>
              </w:rPr>
              <w:t>Grants</w:t>
            </w:r>
          </w:p>
        </w:tc>
        <w:tc>
          <w:tcPr>
            <w:tcW w:w="1077" w:type="dxa"/>
            <w:tcBorders>
              <w:top w:val="nil"/>
              <w:left w:val="nil"/>
              <w:bottom w:val="nil"/>
              <w:right w:val="nil"/>
            </w:tcBorders>
            <w:shd w:val="clear" w:color="FFFFFF" w:fill="FFFFFF"/>
            <w:noWrap/>
            <w:vAlign w:val="bottom"/>
            <w:hideMark/>
          </w:tcPr>
          <w:p w14:paraId="41CEDCC2" w14:textId="77777777" w:rsidR="00A43992" w:rsidRDefault="00A43992" w:rsidP="007211E3">
            <w:pPr>
              <w:jc w:val="center"/>
              <w:rPr>
                <w:rFonts w:ascii="Arial" w:hAnsi="Arial" w:cs="Arial"/>
                <w:sz w:val="18"/>
                <w:szCs w:val="18"/>
              </w:rPr>
            </w:pPr>
            <w:r>
              <w:rPr>
                <w:rFonts w:ascii="Arial" w:hAnsi="Arial" w:cs="Arial"/>
                <w:sz w:val="18"/>
                <w:szCs w:val="18"/>
              </w:rPr>
              <w:t>1.1C</w:t>
            </w:r>
          </w:p>
        </w:tc>
        <w:tc>
          <w:tcPr>
            <w:tcW w:w="1078" w:type="dxa"/>
            <w:tcBorders>
              <w:top w:val="nil"/>
              <w:left w:val="nil"/>
              <w:bottom w:val="nil"/>
              <w:right w:val="nil"/>
            </w:tcBorders>
            <w:shd w:val="clear" w:color="FFFFFF" w:fill="FFFFFF"/>
            <w:noWrap/>
            <w:vAlign w:val="bottom"/>
            <w:hideMark/>
          </w:tcPr>
          <w:p w14:paraId="37F7DE76" w14:textId="77777777" w:rsidR="00A43992" w:rsidRDefault="00A43992" w:rsidP="007211E3">
            <w:pPr>
              <w:jc w:val="right"/>
              <w:rPr>
                <w:rFonts w:ascii="Arial" w:hAnsi="Arial" w:cs="Arial"/>
                <w:b/>
                <w:bCs/>
                <w:sz w:val="18"/>
                <w:szCs w:val="18"/>
              </w:rPr>
            </w:pPr>
            <w:r>
              <w:rPr>
                <w:rFonts w:ascii="Arial" w:hAnsi="Arial" w:cs="Arial"/>
                <w:b/>
                <w:bCs/>
                <w:sz w:val="18"/>
                <w:szCs w:val="18"/>
              </w:rPr>
              <w:t>8,958</w:t>
            </w:r>
          </w:p>
        </w:tc>
        <w:tc>
          <w:tcPr>
            <w:tcW w:w="236" w:type="dxa"/>
            <w:tcBorders>
              <w:top w:val="nil"/>
              <w:left w:val="nil"/>
              <w:bottom w:val="nil"/>
              <w:right w:val="nil"/>
            </w:tcBorders>
            <w:shd w:val="clear" w:color="FFFFFF" w:fill="FFFFFF"/>
            <w:noWrap/>
            <w:vAlign w:val="bottom"/>
            <w:hideMark/>
          </w:tcPr>
          <w:p w14:paraId="3B1E227E" w14:textId="77777777" w:rsidR="00A43992" w:rsidRDefault="00A43992" w:rsidP="007211E3">
            <w:pPr>
              <w:rPr>
                <w:rFonts w:ascii="Arial" w:hAnsi="Arial" w:cs="Arial"/>
                <w:sz w:val="18"/>
                <w:szCs w:val="18"/>
              </w:rPr>
            </w:pPr>
            <w:r>
              <w:rPr>
                <w:rFonts w:ascii="Arial" w:hAnsi="Arial" w:cs="Arial"/>
                <w:sz w:val="18"/>
                <w:szCs w:val="18"/>
              </w:rPr>
              <w:t> </w:t>
            </w:r>
          </w:p>
        </w:tc>
        <w:tc>
          <w:tcPr>
            <w:tcW w:w="1030" w:type="dxa"/>
            <w:tcBorders>
              <w:top w:val="nil"/>
              <w:left w:val="nil"/>
              <w:bottom w:val="nil"/>
              <w:right w:val="nil"/>
            </w:tcBorders>
            <w:shd w:val="clear" w:color="FFFFFF" w:fill="FFFFFF"/>
            <w:noWrap/>
            <w:vAlign w:val="bottom"/>
            <w:hideMark/>
          </w:tcPr>
          <w:p w14:paraId="0E1E1C82" w14:textId="77777777" w:rsidR="00A43992" w:rsidRDefault="00A43992" w:rsidP="007211E3">
            <w:pPr>
              <w:jc w:val="right"/>
              <w:rPr>
                <w:rFonts w:ascii="Arial" w:hAnsi="Arial" w:cs="Arial"/>
                <w:sz w:val="18"/>
                <w:szCs w:val="18"/>
              </w:rPr>
            </w:pPr>
            <w:r>
              <w:rPr>
                <w:rFonts w:ascii="Arial" w:hAnsi="Arial" w:cs="Arial"/>
                <w:sz w:val="18"/>
                <w:szCs w:val="18"/>
              </w:rPr>
              <w:t>14,928</w:t>
            </w:r>
          </w:p>
        </w:tc>
        <w:tc>
          <w:tcPr>
            <w:tcW w:w="236" w:type="dxa"/>
            <w:tcBorders>
              <w:top w:val="nil"/>
              <w:left w:val="nil"/>
              <w:bottom w:val="nil"/>
              <w:right w:val="nil"/>
            </w:tcBorders>
            <w:shd w:val="clear" w:color="FFFFFF" w:fill="FFFFFF"/>
            <w:noWrap/>
            <w:vAlign w:val="bottom"/>
            <w:hideMark/>
          </w:tcPr>
          <w:p w14:paraId="34386DCF" w14:textId="77777777" w:rsidR="00A43992" w:rsidRDefault="00A43992" w:rsidP="007211E3">
            <w:pPr>
              <w:rPr>
                <w:rFonts w:ascii="Arial" w:hAnsi="Arial" w:cs="Arial"/>
                <w:sz w:val="18"/>
                <w:szCs w:val="18"/>
              </w:rPr>
            </w:pPr>
            <w:r>
              <w:rPr>
                <w:rFonts w:ascii="Arial" w:hAnsi="Arial" w:cs="Arial"/>
                <w:sz w:val="18"/>
                <w:szCs w:val="18"/>
              </w:rPr>
              <w:t> </w:t>
            </w:r>
          </w:p>
        </w:tc>
        <w:tc>
          <w:tcPr>
            <w:tcW w:w="1030" w:type="dxa"/>
            <w:tcBorders>
              <w:top w:val="nil"/>
              <w:left w:val="nil"/>
              <w:bottom w:val="nil"/>
              <w:right w:val="nil"/>
            </w:tcBorders>
            <w:shd w:val="clear" w:color="FFFFFF" w:fill="FFFFFF"/>
            <w:noWrap/>
            <w:vAlign w:val="bottom"/>
            <w:hideMark/>
          </w:tcPr>
          <w:p w14:paraId="73D97C15" w14:textId="77777777" w:rsidR="00A43992" w:rsidRDefault="00A43992" w:rsidP="007211E3">
            <w:pPr>
              <w:jc w:val="right"/>
              <w:rPr>
                <w:rFonts w:ascii="Arial" w:hAnsi="Arial" w:cs="Arial"/>
                <w:sz w:val="18"/>
                <w:szCs w:val="18"/>
              </w:rPr>
            </w:pPr>
            <w:r>
              <w:rPr>
                <w:rFonts w:ascii="Arial" w:hAnsi="Arial" w:cs="Arial"/>
                <w:sz w:val="18"/>
                <w:szCs w:val="18"/>
              </w:rPr>
              <w:t>6,730</w:t>
            </w:r>
          </w:p>
        </w:tc>
      </w:tr>
      <w:tr w:rsidR="00A43992" w14:paraId="53F6A354" w14:textId="77777777" w:rsidTr="007211E3">
        <w:trPr>
          <w:trHeight w:val="255"/>
        </w:trPr>
        <w:tc>
          <w:tcPr>
            <w:tcW w:w="4400" w:type="dxa"/>
            <w:tcBorders>
              <w:top w:val="nil"/>
              <w:left w:val="nil"/>
              <w:bottom w:val="nil"/>
              <w:right w:val="nil"/>
            </w:tcBorders>
            <w:shd w:val="clear" w:color="FFFFFF" w:fill="FFFFFF"/>
            <w:vAlign w:val="bottom"/>
            <w:hideMark/>
          </w:tcPr>
          <w:p w14:paraId="5D8384D2" w14:textId="77777777" w:rsidR="00A43992" w:rsidRDefault="00A43992" w:rsidP="007211E3">
            <w:pPr>
              <w:ind w:firstLineChars="100" w:firstLine="180"/>
              <w:rPr>
                <w:rFonts w:ascii="Arial" w:hAnsi="Arial" w:cs="Arial"/>
                <w:sz w:val="18"/>
                <w:szCs w:val="18"/>
              </w:rPr>
            </w:pPr>
            <w:r>
              <w:rPr>
                <w:rFonts w:ascii="Arial" w:hAnsi="Arial" w:cs="Arial"/>
                <w:sz w:val="18"/>
                <w:szCs w:val="18"/>
              </w:rPr>
              <w:t>Participant plan expenses</w:t>
            </w:r>
          </w:p>
        </w:tc>
        <w:tc>
          <w:tcPr>
            <w:tcW w:w="1077" w:type="dxa"/>
            <w:tcBorders>
              <w:top w:val="nil"/>
              <w:left w:val="nil"/>
              <w:bottom w:val="nil"/>
              <w:right w:val="nil"/>
            </w:tcBorders>
            <w:shd w:val="clear" w:color="FFFFFF" w:fill="FFFFFF"/>
            <w:noWrap/>
            <w:vAlign w:val="bottom"/>
            <w:hideMark/>
          </w:tcPr>
          <w:p w14:paraId="198B4ED3" w14:textId="77777777" w:rsidR="00A43992" w:rsidRDefault="00A43992" w:rsidP="007211E3">
            <w:pPr>
              <w:jc w:val="center"/>
              <w:rPr>
                <w:rFonts w:ascii="Arial" w:hAnsi="Arial" w:cs="Arial"/>
                <w:sz w:val="18"/>
                <w:szCs w:val="18"/>
              </w:rPr>
            </w:pPr>
            <w:r>
              <w:rPr>
                <w:rFonts w:ascii="Arial" w:hAnsi="Arial" w:cs="Arial"/>
                <w:sz w:val="18"/>
                <w:szCs w:val="18"/>
              </w:rPr>
              <w:t> </w:t>
            </w:r>
          </w:p>
        </w:tc>
        <w:tc>
          <w:tcPr>
            <w:tcW w:w="1078" w:type="dxa"/>
            <w:tcBorders>
              <w:top w:val="nil"/>
              <w:left w:val="nil"/>
              <w:bottom w:val="nil"/>
              <w:right w:val="nil"/>
            </w:tcBorders>
            <w:shd w:val="clear" w:color="FFFFFF" w:fill="FFFFFF"/>
            <w:noWrap/>
            <w:vAlign w:val="bottom"/>
            <w:hideMark/>
          </w:tcPr>
          <w:p w14:paraId="105BA2A9" w14:textId="77777777" w:rsidR="00A43992" w:rsidRDefault="00A43992" w:rsidP="007211E3">
            <w:pPr>
              <w:jc w:val="right"/>
              <w:rPr>
                <w:rFonts w:ascii="Arial" w:hAnsi="Arial" w:cs="Arial"/>
                <w:b/>
                <w:bCs/>
                <w:sz w:val="18"/>
                <w:szCs w:val="18"/>
              </w:rPr>
            </w:pPr>
            <w:r w:rsidRPr="00267088">
              <w:rPr>
                <w:rFonts w:ascii="Arial" w:hAnsi="Arial" w:cs="Arial"/>
                <w:b/>
                <w:bCs/>
                <w:sz w:val="18"/>
                <w:szCs w:val="18"/>
              </w:rPr>
              <w:t>722,679</w:t>
            </w:r>
          </w:p>
        </w:tc>
        <w:tc>
          <w:tcPr>
            <w:tcW w:w="236" w:type="dxa"/>
            <w:tcBorders>
              <w:top w:val="nil"/>
              <w:left w:val="nil"/>
              <w:bottom w:val="nil"/>
              <w:right w:val="nil"/>
            </w:tcBorders>
            <w:shd w:val="clear" w:color="FFFFFF" w:fill="FFFFFF"/>
            <w:noWrap/>
            <w:vAlign w:val="bottom"/>
            <w:hideMark/>
          </w:tcPr>
          <w:p w14:paraId="267BF51A" w14:textId="77777777" w:rsidR="00A43992" w:rsidRDefault="00A43992" w:rsidP="007211E3">
            <w:pPr>
              <w:rPr>
                <w:rFonts w:ascii="Arial" w:hAnsi="Arial" w:cs="Arial"/>
                <w:sz w:val="18"/>
                <w:szCs w:val="18"/>
              </w:rPr>
            </w:pPr>
            <w:r>
              <w:rPr>
                <w:rFonts w:ascii="Arial" w:hAnsi="Arial" w:cs="Arial"/>
                <w:sz w:val="18"/>
                <w:szCs w:val="18"/>
              </w:rPr>
              <w:t> </w:t>
            </w:r>
          </w:p>
        </w:tc>
        <w:tc>
          <w:tcPr>
            <w:tcW w:w="1030" w:type="dxa"/>
            <w:tcBorders>
              <w:top w:val="nil"/>
              <w:left w:val="nil"/>
              <w:bottom w:val="nil"/>
              <w:right w:val="nil"/>
            </w:tcBorders>
            <w:shd w:val="clear" w:color="FFFFFF" w:fill="FFFFFF"/>
            <w:noWrap/>
            <w:vAlign w:val="bottom"/>
            <w:hideMark/>
          </w:tcPr>
          <w:p w14:paraId="7C76B9C3" w14:textId="77777777" w:rsidR="00A43992" w:rsidRDefault="00A43992" w:rsidP="007211E3">
            <w:pPr>
              <w:jc w:val="right"/>
              <w:rPr>
                <w:rFonts w:ascii="Arial" w:hAnsi="Arial" w:cs="Arial"/>
                <w:sz w:val="18"/>
                <w:szCs w:val="18"/>
              </w:rPr>
            </w:pPr>
            <w:r>
              <w:rPr>
                <w:rFonts w:ascii="Arial" w:hAnsi="Arial" w:cs="Arial"/>
                <w:sz w:val="18"/>
                <w:szCs w:val="18"/>
              </w:rPr>
              <w:t>451,293</w:t>
            </w:r>
          </w:p>
        </w:tc>
        <w:tc>
          <w:tcPr>
            <w:tcW w:w="236" w:type="dxa"/>
            <w:tcBorders>
              <w:top w:val="nil"/>
              <w:left w:val="nil"/>
              <w:bottom w:val="nil"/>
              <w:right w:val="nil"/>
            </w:tcBorders>
            <w:shd w:val="clear" w:color="FFFFFF" w:fill="FFFFFF"/>
            <w:noWrap/>
            <w:vAlign w:val="bottom"/>
            <w:hideMark/>
          </w:tcPr>
          <w:p w14:paraId="71C16D71" w14:textId="77777777" w:rsidR="00A43992" w:rsidRDefault="00A43992" w:rsidP="007211E3">
            <w:pPr>
              <w:rPr>
                <w:rFonts w:ascii="Arial" w:hAnsi="Arial" w:cs="Arial"/>
                <w:sz w:val="18"/>
                <w:szCs w:val="18"/>
              </w:rPr>
            </w:pPr>
            <w:r>
              <w:rPr>
                <w:rFonts w:ascii="Arial" w:hAnsi="Arial" w:cs="Arial"/>
                <w:sz w:val="18"/>
                <w:szCs w:val="18"/>
              </w:rPr>
              <w:t> </w:t>
            </w:r>
          </w:p>
        </w:tc>
        <w:tc>
          <w:tcPr>
            <w:tcW w:w="1030" w:type="dxa"/>
            <w:tcBorders>
              <w:top w:val="nil"/>
              <w:left w:val="nil"/>
              <w:bottom w:val="nil"/>
              <w:right w:val="nil"/>
            </w:tcBorders>
            <w:shd w:val="clear" w:color="FFFFFF" w:fill="FFFFFF"/>
            <w:noWrap/>
            <w:vAlign w:val="bottom"/>
            <w:hideMark/>
          </w:tcPr>
          <w:p w14:paraId="24906EC8" w14:textId="77777777" w:rsidR="00A43992" w:rsidRDefault="00A43992" w:rsidP="007211E3">
            <w:pPr>
              <w:jc w:val="right"/>
              <w:rPr>
                <w:rFonts w:ascii="Arial" w:hAnsi="Arial" w:cs="Arial"/>
                <w:sz w:val="18"/>
                <w:szCs w:val="18"/>
              </w:rPr>
            </w:pPr>
            <w:r>
              <w:rPr>
                <w:rFonts w:ascii="Arial" w:hAnsi="Arial" w:cs="Arial"/>
                <w:sz w:val="18"/>
                <w:szCs w:val="18"/>
              </w:rPr>
              <w:t>857,322</w:t>
            </w:r>
          </w:p>
        </w:tc>
      </w:tr>
      <w:tr w:rsidR="00A43992" w14:paraId="5693C892" w14:textId="77777777" w:rsidTr="007211E3">
        <w:trPr>
          <w:trHeight w:val="255"/>
        </w:trPr>
        <w:tc>
          <w:tcPr>
            <w:tcW w:w="4400" w:type="dxa"/>
            <w:tcBorders>
              <w:top w:val="nil"/>
              <w:left w:val="nil"/>
              <w:bottom w:val="nil"/>
              <w:right w:val="nil"/>
            </w:tcBorders>
            <w:shd w:val="clear" w:color="FFFFFF" w:fill="FFFFFF"/>
            <w:vAlign w:val="bottom"/>
            <w:hideMark/>
          </w:tcPr>
          <w:p w14:paraId="37E4C1F4" w14:textId="77777777" w:rsidR="00A43992" w:rsidRDefault="00A43992" w:rsidP="007211E3">
            <w:pPr>
              <w:ind w:firstLineChars="100" w:firstLine="180"/>
              <w:rPr>
                <w:rFonts w:ascii="Arial" w:hAnsi="Arial" w:cs="Arial"/>
                <w:sz w:val="18"/>
                <w:szCs w:val="18"/>
              </w:rPr>
            </w:pPr>
            <w:r>
              <w:rPr>
                <w:rFonts w:ascii="Arial" w:hAnsi="Arial" w:cs="Arial"/>
                <w:sz w:val="18"/>
                <w:szCs w:val="18"/>
              </w:rPr>
              <w:t xml:space="preserve">Depreciation and </w:t>
            </w:r>
            <w:proofErr w:type="spellStart"/>
            <w:r>
              <w:rPr>
                <w:rFonts w:ascii="Arial" w:hAnsi="Arial" w:cs="Arial"/>
                <w:sz w:val="18"/>
                <w:szCs w:val="18"/>
              </w:rPr>
              <w:t>amortisation</w:t>
            </w:r>
            <w:proofErr w:type="spellEnd"/>
          </w:p>
        </w:tc>
        <w:tc>
          <w:tcPr>
            <w:tcW w:w="1077" w:type="dxa"/>
            <w:tcBorders>
              <w:top w:val="nil"/>
              <w:left w:val="nil"/>
              <w:bottom w:val="nil"/>
              <w:right w:val="nil"/>
            </w:tcBorders>
            <w:shd w:val="clear" w:color="FFFFFF" w:fill="FFFFFF"/>
            <w:noWrap/>
            <w:vAlign w:val="bottom"/>
            <w:hideMark/>
          </w:tcPr>
          <w:p w14:paraId="5DF191D1" w14:textId="77777777" w:rsidR="00A43992" w:rsidRDefault="00A43992" w:rsidP="007211E3">
            <w:pPr>
              <w:jc w:val="center"/>
              <w:rPr>
                <w:rFonts w:ascii="Arial" w:hAnsi="Arial" w:cs="Arial"/>
                <w:sz w:val="18"/>
                <w:szCs w:val="18"/>
              </w:rPr>
            </w:pPr>
            <w:r>
              <w:rPr>
                <w:rFonts w:ascii="Arial" w:hAnsi="Arial" w:cs="Arial"/>
                <w:sz w:val="18"/>
                <w:szCs w:val="18"/>
              </w:rPr>
              <w:t>2.2A</w:t>
            </w:r>
          </w:p>
        </w:tc>
        <w:tc>
          <w:tcPr>
            <w:tcW w:w="1078" w:type="dxa"/>
            <w:tcBorders>
              <w:top w:val="nil"/>
              <w:left w:val="nil"/>
              <w:bottom w:val="nil"/>
              <w:right w:val="nil"/>
            </w:tcBorders>
            <w:shd w:val="clear" w:color="FFFFFF" w:fill="FFFFFF"/>
            <w:noWrap/>
            <w:vAlign w:val="bottom"/>
            <w:hideMark/>
          </w:tcPr>
          <w:p w14:paraId="1773F983" w14:textId="77777777" w:rsidR="00A43992" w:rsidRDefault="00A43992" w:rsidP="007211E3">
            <w:pPr>
              <w:jc w:val="right"/>
              <w:rPr>
                <w:rFonts w:ascii="Arial" w:hAnsi="Arial" w:cs="Arial"/>
                <w:b/>
                <w:bCs/>
                <w:sz w:val="18"/>
                <w:szCs w:val="18"/>
              </w:rPr>
            </w:pPr>
            <w:r>
              <w:rPr>
                <w:rFonts w:ascii="Arial" w:hAnsi="Arial" w:cs="Arial"/>
                <w:b/>
                <w:bCs/>
                <w:sz w:val="18"/>
                <w:szCs w:val="18"/>
              </w:rPr>
              <w:t>8,886</w:t>
            </w:r>
          </w:p>
        </w:tc>
        <w:tc>
          <w:tcPr>
            <w:tcW w:w="236" w:type="dxa"/>
            <w:tcBorders>
              <w:top w:val="nil"/>
              <w:left w:val="nil"/>
              <w:bottom w:val="nil"/>
              <w:right w:val="nil"/>
            </w:tcBorders>
            <w:shd w:val="clear" w:color="FFFFFF" w:fill="FFFFFF"/>
            <w:noWrap/>
            <w:vAlign w:val="bottom"/>
            <w:hideMark/>
          </w:tcPr>
          <w:p w14:paraId="5737D05C" w14:textId="77777777" w:rsidR="00A43992" w:rsidRDefault="00A43992" w:rsidP="007211E3">
            <w:pPr>
              <w:rPr>
                <w:rFonts w:ascii="Arial" w:hAnsi="Arial" w:cs="Arial"/>
                <w:sz w:val="18"/>
                <w:szCs w:val="18"/>
              </w:rPr>
            </w:pPr>
            <w:r>
              <w:rPr>
                <w:rFonts w:ascii="Arial" w:hAnsi="Arial" w:cs="Arial"/>
                <w:sz w:val="18"/>
                <w:szCs w:val="18"/>
              </w:rPr>
              <w:t> </w:t>
            </w:r>
          </w:p>
        </w:tc>
        <w:tc>
          <w:tcPr>
            <w:tcW w:w="1030" w:type="dxa"/>
            <w:tcBorders>
              <w:top w:val="nil"/>
              <w:left w:val="nil"/>
              <w:bottom w:val="nil"/>
              <w:right w:val="nil"/>
            </w:tcBorders>
            <w:shd w:val="clear" w:color="FFFFFF" w:fill="FFFFFF"/>
            <w:noWrap/>
            <w:vAlign w:val="bottom"/>
            <w:hideMark/>
          </w:tcPr>
          <w:p w14:paraId="134134FD" w14:textId="77777777" w:rsidR="00A43992" w:rsidRDefault="00A43992" w:rsidP="007211E3">
            <w:pPr>
              <w:jc w:val="right"/>
              <w:rPr>
                <w:rFonts w:ascii="Arial" w:hAnsi="Arial" w:cs="Arial"/>
                <w:sz w:val="18"/>
                <w:szCs w:val="18"/>
              </w:rPr>
            </w:pPr>
            <w:r>
              <w:rPr>
                <w:rFonts w:ascii="Arial" w:hAnsi="Arial" w:cs="Arial"/>
                <w:sz w:val="18"/>
                <w:szCs w:val="18"/>
              </w:rPr>
              <w:t>8,032</w:t>
            </w:r>
          </w:p>
        </w:tc>
        <w:tc>
          <w:tcPr>
            <w:tcW w:w="236" w:type="dxa"/>
            <w:tcBorders>
              <w:top w:val="nil"/>
              <w:left w:val="nil"/>
              <w:bottom w:val="nil"/>
              <w:right w:val="nil"/>
            </w:tcBorders>
            <w:shd w:val="clear" w:color="FFFFFF" w:fill="FFFFFF"/>
            <w:noWrap/>
            <w:vAlign w:val="bottom"/>
            <w:hideMark/>
          </w:tcPr>
          <w:p w14:paraId="479A8009" w14:textId="77777777" w:rsidR="00A43992" w:rsidRDefault="00A43992" w:rsidP="007211E3">
            <w:pPr>
              <w:rPr>
                <w:rFonts w:ascii="Arial" w:hAnsi="Arial" w:cs="Arial"/>
                <w:sz w:val="18"/>
                <w:szCs w:val="18"/>
              </w:rPr>
            </w:pPr>
            <w:r>
              <w:rPr>
                <w:rFonts w:ascii="Arial" w:hAnsi="Arial" w:cs="Arial"/>
                <w:sz w:val="18"/>
                <w:szCs w:val="18"/>
              </w:rPr>
              <w:t> </w:t>
            </w:r>
          </w:p>
        </w:tc>
        <w:tc>
          <w:tcPr>
            <w:tcW w:w="1030" w:type="dxa"/>
            <w:tcBorders>
              <w:top w:val="nil"/>
              <w:left w:val="nil"/>
              <w:bottom w:val="nil"/>
              <w:right w:val="nil"/>
            </w:tcBorders>
            <w:shd w:val="clear" w:color="FFFFFF" w:fill="FFFFFF"/>
            <w:noWrap/>
            <w:vAlign w:val="bottom"/>
            <w:hideMark/>
          </w:tcPr>
          <w:p w14:paraId="0D2EC6F8" w14:textId="77777777" w:rsidR="00A43992" w:rsidRDefault="00A43992" w:rsidP="007211E3">
            <w:pPr>
              <w:jc w:val="right"/>
              <w:rPr>
                <w:rFonts w:ascii="Arial" w:hAnsi="Arial" w:cs="Arial"/>
                <w:sz w:val="18"/>
                <w:szCs w:val="18"/>
              </w:rPr>
            </w:pPr>
            <w:r>
              <w:rPr>
                <w:rFonts w:ascii="Arial" w:hAnsi="Arial" w:cs="Arial"/>
                <w:sz w:val="18"/>
                <w:szCs w:val="18"/>
              </w:rPr>
              <w:t>14,769</w:t>
            </w:r>
          </w:p>
        </w:tc>
      </w:tr>
      <w:tr w:rsidR="00A43992" w14:paraId="09062D9C" w14:textId="77777777" w:rsidTr="007211E3">
        <w:trPr>
          <w:trHeight w:val="255"/>
        </w:trPr>
        <w:tc>
          <w:tcPr>
            <w:tcW w:w="4400" w:type="dxa"/>
            <w:tcBorders>
              <w:top w:val="nil"/>
              <w:left w:val="nil"/>
              <w:bottom w:val="nil"/>
              <w:right w:val="nil"/>
            </w:tcBorders>
            <w:shd w:val="clear" w:color="FFFFFF" w:fill="FFFFFF"/>
            <w:vAlign w:val="bottom"/>
            <w:hideMark/>
          </w:tcPr>
          <w:p w14:paraId="7E8276E1" w14:textId="77777777" w:rsidR="00A43992" w:rsidRDefault="00A43992" w:rsidP="007211E3">
            <w:pPr>
              <w:ind w:firstLineChars="100" w:firstLine="180"/>
              <w:rPr>
                <w:rFonts w:ascii="Arial" w:hAnsi="Arial" w:cs="Arial"/>
                <w:sz w:val="18"/>
                <w:szCs w:val="18"/>
              </w:rPr>
            </w:pPr>
            <w:r>
              <w:rPr>
                <w:rFonts w:ascii="Arial" w:hAnsi="Arial" w:cs="Arial"/>
                <w:sz w:val="18"/>
                <w:szCs w:val="18"/>
              </w:rPr>
              <w:t>Finance costs</w:t>
            </w:r>
          </w:p>
        </w:tc>
        <w:tc>
          <w:tcPr>
            <w:tcW w:w="1077" w:type="dxa"/>
            <w:tcBorders>
              <w:top w:val="nil"/>
              <w:left w:val="nil"/>
              <w:bottom w:val="nil"/>
              <w:right w:val="nil"/>
            </w:tcBorders>
            <w:shd w:val="clear" w:color="FFFFFF" w:fill="FFFFFF"/>
            <w:noWrap/>
            <w:vAlign w:val="bottom"/>
            <w:hideMark/>
          </w:tcPr>
          <w:p w14:paraId="6E17A0E1" w14:textId="77777777" w:rsidR="00A43992" w:rsidRDefault="00A43992" w:rsidP="007211E3">
            <w:pPr>
              <w:jc w:val="center"/>
              <w:rPr>
                <w:rFonts w:ascii="Arial" w:hAnsi="Arial" w:cs="Arial"/>
                <w:sz w:val="18"/>
                <w:szCs w:val="18"/>
              </w:rPr>
            </w:pPr>
            <w:r>
              <w:rPr>
                <w:rFonts w:ascii="Arial" w:hAnsi="Arial" w:cs="Arial"/>
                <w:sz w:val="18"/>
                <w:szCs w:val="18"/>
              </w:rPr>
              <w:t> </w:t>
            </w:r>
          </w:p>
        </w:tc>
        <w:tc>
          <w:tcPr>
            <w:tcW w:w="1078" w:type="dxa"/>
            <w:tcBorders>
              <w:top w:val="nil"/>
              <w:left w:val="nil"/>
              <w:bottom w:val="nil"/>
              <w:right w:val="nil"/>
            </w:tcBorders>
            <w:shd w:val="clear" w:color="FFFFFF" w:fill="FFFFFF"/>
            <w:noWrap/>
            <w:vAlign w:val="bottom"/>
            <w:hideMark/>
          </w:tcPr>
          <w:p w14:paraId="1B83BD6B" w14:textId="77777777" w:rsidR="00A43992" w:rsidRDefault="00A43992" w:rsidP="007211E3">
            <w:pPr>
              <w:jc w:val="right"/>
              <w:rPr>
                <w:rFonts w:ascii="Arial" w:hAnsi="Arial" w:cs="Arial"/>
                <w:b/>
                <w:bCs/>
                <w:sz w:val="18"/>
                <w:szCs w:val="18"/>
              </w:rPr>
            </w:pPr>
            <w:r>
              <w:rPr>
                <w:rFonts w:ascii="Arial" w:hAnsi="Arial" w:cs="Arial"/>
                <w:b/>
                <w:bCs/>
                <w:sz w:val="18"/>
                <w:szCs w:val="18"/>
              </w:rPr>
              <w:t>167</w:t>
            </w:r>
          </w:p>
        </w:tc>
        <w:tc>
          <w:tcPr>
            <w:tcW w:w="236" w:type="dxa"/>
            <w:tcBorders>
              <w:top w:val="nil"/>
              <w:left w:val="nil"/>
              <w:bottom w:val="nil"/>
              <w:right w:val="nil"/>
            </w:tcBorders>
            <w:shd w:val="clear" w:color="FFFFFF" w:fill="FFFFFF"/>
            <w:noWrap/>
            <w:vAlign w:val="bottom"/>
            <w:hideMark/>
          </w:tcPr>
          <w:p w14:paraId="28067815" w14:textId="77777777" w:rsidR="00A43992" w:rsidRDefault="00A43992" w:rsidP="007211E3">
            <w:pPr>
              <w:rPr>
                <w:rFonts w:ascii="Arial" w:hAnsi="Arial" w:cs="Arial"/>
                <w:sz w:val="18"/>
                <w:szCs w:val="18"/>
              </w:rPr>
            </w:pPr>
            <w:r>
              <w:rPr>
                <w:rFonts w:ascii="Arial" w:hAnsi="Arial" w:cs="Arial"/>
                <w:sz w:val="18"/>
                <w:szCs w:val="18"/>
              </w:rPr>
              <w:t> </w:t>
            </w:r>
          </w:p>
        </w:tc>
        <w:tc>
          <w:tcPr>
            <w:tcW w:w="1030" w:type="dxa"/>
            <w:tcBorders>
              <w:top w:val="nil"/>
              <w:left w:val="nil"/>
              <w:bottom w:val="nil"/>
              <w:right w:val="nil"/>
            </w:tcBorders>
            <w:shd w:val="clear" w:color="FFFFFF" w:fill="FFFFFF"/>
            <w:noWrap/>
            <w:vAlign w:val="bottom"/>
            <w:hideMark/>
          </w:tcPr>
          <w:p w14:paraId="1B3978AD" w14:textId="77777777" w:rsidR="00A43992" w:rsidRDefault="00A43992" w:rsidP="007211E3">
            <w:pPr>
              <w:jc w:val="right"/>
              <w:rPr>
                <w:rFonts w:ascii="Arial" w:hAnsi="Arial" w:cs="Arial"/>
                <w:sz w:val="18"/>
                <w:szCs w:val="18"/>
              </w:rPr>
            </w:pPr>
            <w:r>
              <w:rPr>
                <w:rFonts w:ascii="Arial" w:hAnsi="Arial" w:cs="Arial"/>
                <w:sz w:val="18"/>
                <w:szCs w:val="18"/>
              </w:rPr>
              <w:t>-</w:t>
            </w:r>
          </w:p>
        </w:tc>
        <w:tc>
          <w:tcPr>
            <w:tcW w:w="236" w:type="dxa"/>
            <w:tcBorders>
              <w:top w:val="nil"/>
              <w:left w:val="nil"/>
              <w:bottom w:val="nil"/>
              <w:right w:val="nil"/>
            </w:tcBorders>
            <w:shd w:val="clear" w:color="FFFFFF" w:fill="FFFFFF"/>
            <w:noWrap/>
            <w:vAlign w:val="bottom"/>
            <w:hideMark/>
          </w:tcPr>
          <w:p w14:paraId="06D73D6C" w14:textId="77777777" w:rsidR="00A43992" w:rsidRDefault="00A43992" w:rsidP="007211E3">
            <w:pPr>
              <w:rPr>
                <w:rFonts w:ascii="Arial" w:hAnsi="Arial" w:cs="Arial"/>
                <w:sz w:val="18"/>
                <w:szCs w:val="18"/>
              </w:rPr>
            </w:pPr>
            <w:r>
              <w:rPr>
                <w:rFonts w:ascii="Arial" w:hAnsi="Arial" w:cs="Arial"/>
                <w:sz w:val="18"/>
                <w:szCs w:val="18"/>
              </w:rPr>
              <w:t> </w:t>
            </w:r>
          </w:p>
        </w:tc>
        <w:tc>
          <w:tcPr>
            <w:tcW w:w="1030" w:type="dxa"/>
            <w:tcBorders>
              <w:top w:val="nil"/>
              <w:left w:val="nil"/>
              <w:bottom w:val="nil"/>
              <w:right w:val="nil"/>
            </w:tcBorders>
            <w:shd w:val="clear" w:color="FFFFFF" w:fill="FFFFFF"/>
            <w:noWrap/>
            <w:vAlign w:val="bottom"/>
            <w:hideMark/>
          </w:tcPr>
          <w:p w14:paraId="0A5C1109" w14:textId="77777777" w:rsidR="00A43992" w:rsidRDefault="00A43992" w:rsidP="007211E3">
            <w:pPr>
              <w:jc w:val="right"/>
              <w:rPr>
                <w:rFonts w:ascii="Arial" w:hAnsi="Arial" w:cs="Arial"/>
                <w:sz w:val="18"/>
                <w:szCs w:val="18"/>
              </w:rPr>
            </w:pPr>
            <w:r>
              <w:rPr>
                <w:rFonts w:ascii="Arial" w:hAnsi="Arial" w:cs="Arial"/>
                <w:sz w:val="18"/>
                <w:szCs w:val="18"/>
              </w:rPr>
              <w:t>-</w:t>
            </w:r>
          </w:p>
        </w:tc>
      </w:tr>
      <w:tr w:rsidR="00A43992" w14:paraId="254BD273" w14:textId="77777777" w:rsidTr="007211E3">
        <w:trPr>
          <w:trHeight w:val="255"/>
        </w:trPr>
        <w:tc>
          <w:tcPr>
            <w:tcW w:w="4400" w:type="dxa"/>
            <w:tcBorders>
              <w:top w:val="nil"/>
              <w:left w:val="nil"/>
              <w:bottom w:val="nil"/>
              <w:right w:val="nil"/>
            </w:tcBorders>
            <w:shd w:val="clear" w:color="FFFFFF" w:fill="FFFFFF"/>
            <w:vAlign w:val="bottom"/>
            <w:hideMark/>
          </w:tcPr>
          <w:p w14:paraId="4D107B02" w14:textId="77777777" w:rsidR="00A43992" w:rsidRDefault="00A43992" w:rsidP="007211E3">
            <w:pPr>
              <w:ind w:firstLineChars="100" w:firstLine="180"/>
              <w:rPr>
                <w:rFonts w:ascii="Arial" w:hAnsi="Arial" w:cs="Arial"/>
                <w:sz w:val="18"/>
                <w:szCs w:val="18"/>
              </w:rPr>
            </w:pPr>
            <w:r>
              <w:rPr>
                <w:rFonts w:ascii="Arial" w:hAnsi="Arial" w:cs="Arial"/>
                <w:sz w:val="18"/>
                <w:szCs w:val="18"/>
              </w:rPr>
              <w:t>Write-down and impairment of assets</w:t>
            </w:r>
          </w:p>
        </w:tc>
        <w:tc>
          <w:tcPr>
            <w:tcW w:w="1077" w:type="dxa"/>
            <w:tcBorders>
              <w:top w:val="nil"/>
              <w:left w:val="nil"/>
              <w:bottom w:val="nil"/>
              <w:right w:val="nil"/>
            </w:tcBorders>
            <w:shd w:val="clear" w:color="FFFFFF" w:fill="FFFFFF"/>
            <w:noWrap/>
            <w:vAlign w:val="bottom"/>
            <w:hideMark/>
          </w:tcPr>
          <w:p w14:paraId="0C4BE48E" w14:textId="77777777" w:rsidR="00A43992" w:rsidRDefault="00A43992" w:rsidP="007211E3">
            <w:pPr>
              <w:jc w:val="center"/>
              <w:rPr>
                <w:rFonts w:ascii="Arial" w:hAnsi="Arial" w:cs="Arial"/>
                <w:sz w:val="18"/>
                <w:szCs w:val="18"/>
              </w:rPr>
            </w:pPr>
            <w:r>
              <w:rPr>
                <w:rFonts w:ascii="Arial" w:hAnsi="Arial" w:cs="Arial"/>
                <w:sz w:val="18"/>
                <w:szCs w:val="18"/>
              </w:rPr>
              <w:t>1.1D</w:t>
            </w:r>
          </w:p>
        </w:tc>
        <w:tc>
          <w:tcPr>
            <w:tcW w:w="1078" w:type="dxa"/>
            <w:tcBorders>
              <w:top w:val="nil"/>
              <w:left w:val="nil"/>
              <w:bottom w:val="nil"/>
              <w:right w:val="nil"/>
            </w:tcBorders>
            <w:shd w:val="clear" w:color="FFFFFF" w:fill="FFFFFF"/>
            <w:noWrap/>
            <w:vAlign w:val="bottom"/>
            <w:hideMark/>
          </w:tcPr>
          <w:p w14:paraId="568BD37B" w14:textId="77777777" w:rsidR="00A43992" w:rsidRDefault="00A43992" w:rsidP="007211E3">
            <w:pPr>
              <w:jc w:val="right"/>
              <w:rPr>
                <w:rFonts w:ascii="Arial" w:hAnsi="Arial" w:cs="Arial"/>
                <w:b/>
                <w:bCs/>
                <w:sz w:val="18"/>
                <w:szCs w:val="18"/>
              </w:rPr>
            </w:pPr>
            <w:r>
              <w:rPr>
                <w:rFonts w:ascii="Arial" w:hAnsi="Arial" w:cs="Arial"/>
                <w:b/>
                <w:bCs/>
                <w:sz w:val="18"/>
                <w:szCs w:val="18"/>
              </w:rPr>
              <w:t>82,078</w:t>
            </w:r>
          </w:p>
        </w:tc>
        <w:tc>
          <w:tcPr>
            <w:tcW w:w="236" w:type="dxa"/>
            <w:tcBorders>
              <w:top w:val="nil"/>
              <w:left w:val="nil"/>
              <w:bottom w:val="nil"/>
              <w:right w:val="nil"/>
            </w:tcBorders>
            <w:shd w:val="clear" w:color="FFFFFF" w:fill="FFFFFF"/>
            <w:noWrap/>
            <w:vAlign w:val="bottom"/>
            <w:hideMark/>
          </w:tcPr>
          <w:p w14:paraId="4D3D02DB" w14:textId="77777777" w:rsidR="00A43992" w:rsidRDefault="00A43992" w:rsidP="007211E3">
            <w:pPr>
              <w:rPr>
                <w:rFonts w:ascii="Arial" w:hAnsi="Arial" w:cs="Arial"/>
                <w:sz w:val="18"/>
                <w:szCs w:val="18"/>
              </w:rPr>
            </w:pPr>
            <w:r>
              <w:rPr>
                <w:rFonts w:ascii="Arial" w:hAnsi="Arial" w:cs="Arial"/>
                <w:sz w:val="18"/>
                <w:szCs w:val="18"/>
              </w:rPr>
              <w:t> </w:t>
            </w:r>
          </w:p>
        </w:tc>
        <w:tc>
          <w:tcPr>
            <w:tcW w:w="1030" w:type="dxa"/>
            <w:tcBorders>
              <w:top w:val="nil"/>
              <w:left w:val="nil"/>
              <w:bottom w:val="nil"/>
              <w:right w:val="nil"/>
            </w:tcBorders>
            <w:shd w:val="clear" w:color="FFFFFF" w:fill="FFFFFF"/>
            <w:noWrap/>
            <w:vAlign w:val="bottom"/>
            <w:hideMark/>
          </w:tcPr>
          <w:p w14:paraId="38A357FC" w14:textId="77777777" w:rsidR="00A43992" w:rsidRDefault="00A43992" w:rsidP="007211E3">
            <w:pPr>
              <w:jc w:val="right"/>
              <w:rPr>
                <w:rFonts w:ascii="Arial" w:hAnsi="Arial" w:cs="Arial"/>
                <w:sz w:val="18"/>
                <w:szCs w:val="18"/>
              </w:rPr>
            </w:pPr>
            <w:r>
              <w:rPr>
                <w:rFonts w:ascii="Arial" w:hAnsi="Arial" w:cs="Arial"/>
                <w:sz w:val="18"/>
                <w:szCs w:val="18"/>
              </w:rPr>
              <w:t>20</w:t>
            </w:r>
          </w:p>
        </w:tc>
        <w:tc>
          <w:tcPr>
            <w:tcW w:w="236" w:type="dxa"/>
            <w:tcBorders>
              <w:top w:val="nil"/>
              <w:left w:val="nil"/>
              <w:bottom w:val="nil"/>
              <w:right w:val="nil"/>
            </w:tcBorders>
            <w:shd w:val="clear" w:color="FFFFFF" w:fill="FFFFFF"/>
            <w:noWrap/>
            <w:vAlign w:val="bottom"/>
            <w:hideMark/>
          </w:tcPr>
          <w:p w14:paraId="6D7342E0" w14:textId="77777777" w:rsidR="00A43992" w:rsidRDefault="00A43992" w:rsidP="007211E3">
            <w:pPr>
              <w:rPr>
                <w:rFonts w:ascii="Arial" w:hAnsi="Arial" w:cs="Arial"/>
                <w:sz w:val="18"/>
                <w:szCs w:val="18"/>
              </w:rPr>
            </w:pPr>
            <w:r>
              <w:rPr>
                <w:rFonts w:ascii="Arial" w:hAnsi="Arial" w:cs="Arial"/>
                <w:sz w:val="18"/>
                <w:szCs w:val="18"/>
              </w:rPr>
              <w:t> </w:t>
            </w:r>
          </w:p>
        </w:tc>
        <w:tc>
          <w:tcPr>
            <w:tcW w:w="1030" w:type="dxa"/>
            <w:tcBorders>
              <w:top w:val="nil"/>
              <w:left w:val="nil"/>
              <w:bottom w:val="nil"/>
              <w:right w:val="nil"/>
            </w:tcBorders>
            <w:shd w:val="clear" w:color="FFFFFF" w:fill="FFFFFF"/>
            <w:noWrap/>
            <w:vAlign w:val="bottom"/>
            <w:hideMark/>
          </w:tcPr>
          <w:p w14:paraId="79D96D87" w14:textId="77777777" w:rsidR="00A43992" w:rsidRDefault="00A43992" w:rsidP="007211E3">
            <w:pPr>
              <w:jc w:val="right"/>
              <w:rPr>
                <w:rFonts w:ascii="Arial" w:hAnsi="Arial" w:cs="Arial"/>
                <w:sz w:val="18"/>
                <w:szCs w:val="18"/>
              </w:rPr>
            </w:pPr>
            <w:r>
              <w:rPr>
                <w:rFonts w:ascii="Arial" w:hAnsi="Arial" w:cs="Arial"/>
                <w:sz w:val="18"/>
                <w:szCs w:val="18"/>
              </w:rPr>
              <w:t>-</w:t>
            </w:r>
          </w:p>
        </w:tc>
      </w:tr>
      <w:tr w:rsidR="00A43992" w14:paraId="4B1189D2" w14:textId="77777777" w:rsidTr="007211E3">
        <w:trPr>
          <w:trHeight w:val="255"/>
        </w:trPr>
        <w:tc>
          <w:tcPr>
            <w:tcW w:w="4400" w:type="dxa"/>
            <w:tcBorders>
              <w:top w:val="nil"/>
              <w:left w:val="nil"/>
              <w:bottom w:val="nil"/>
              <w:right w:val="nil"/>
            </w:tcBorders>
            <w:shd w:val="clear" w:color="FFFFFF" w:fill="FFFFFF"/>
            <w:vAlign w:val="bottom"/>
            <w:hideMark/>
          </w:tcPr>
          <w:p w14:paraId="68D549BC" w14:textId="77777777" w:rsidR="00A43992" w:rsidRDefault="00A43992" w:rsidP="007211E3">
            <w:pPr>
              <w:rPr>
                <w:rFonts w:ascii="Arial" w:hAnsi="Arial" w:cs="Arial"/>
                <w:b/>
                <w:bCs/>
                <w:sz w:val="18"/>
                <w:szCs w:val="18"/>
              </w:rPr>
            </w:pPr>
            <w:r>
              <w:rPr>
                <w:rFonts w:ascii="Arial" w:hAnsi="Arial" w:cs="Arial"/>
                <w:b/>
                <w:bCs/>
                <w:sz w:val="18"/>
                <w:szCs w:val="18"/>
              </w:rPr>
              <w:t>Total expenses</w:t>
            </w:r>
          </w:p>
        </w:tc>
        <w:tc>
          <w:tcPr>
            <w:tcW w:w="1077" w:type="dxa"/>
            <w:tcBorders>
              <w:top w:val="nil"/>
              <w:left w:val="nil"/>
              <w:bottom w:val="nil"/>
              <w:right w:val="nil"/>
            </w:tcBorders>
            <w:shd w:val="clear" w:color="FFFFFF" w:fill="FFFFFF"/>
            <w:noWrap/>
            <w:vAlign w:val="bottom"/>
            <w:hideMark/>
          </w:tcPr>
          <w:p w14:paraId="597AA7D5" w14:textId="77777777" w:rsidR="00A43992" w:rsidRDefault="00A43992" w:rsidP="007211E3">
            <w:pPr>
              <w:jc w:val="center"/>
              <w:rPr>
                <w:rFonts w:ascii="Arial" w:hAnsi="Arial" w:cs="Arial"/>
                <w:sz w:val="18"/>
                <w:szCs w:val="18"/>
              </w:rPr>
            </w:pPr>
            <w:r>
              <w:rPr>
                <w:rFonts w:ascii="Arial" w:hAnsi="Arial" w:cs="Arial"/>
                <w:sz w:val="18"/>
                <w:szCs w:val="18"/>
              </w:rPr>
              <w:t> </w:t>
            </w:r>
          </w:p>
        </w:tc>
        <w:tc>
          <w:tcPr>
            <w:tcW w:w="1078" w:type="dxa"/>
            <w:tcBorders>
              <w:top w:val="single" w:sz="4" w:space="0" w:color="auto"/>
              <w:left w:val="nil"/>
              <w:bottom w:val="single" w:sz="4" w:space="0" w:color="auto"/>
              <w:right w:val="nil"/>
            </w:tcBorders>
            <w:shd w:val="clear" w:color="FFFFFF" w:fill="FFFFFF"/>
            <w:noWrap/>
            <w:vAlign w:val="bottom"/>
            <w:hideMark/>
          </w:tcPr>
          <w:p w14:paraId="51857DDB" w14:textId="77777777" w:rsidR="00A43992" w:rsidRDefault="00A43992" w:rsidP="007211E3">
            <w:pPr>
              <w:jc w:val="right"/>
              <w:rPr>
                <w:rFonts w:ascii="Arial" w:hAnsi="Arial" w:cs="Arial"/>
                <w:b/>
                <w:bCs/>
                <w:sz w:val="18"/>
                <w:szCs w:val="18"/>
              </w:rPr>
            </w:pPr>
            <w:r w:rsidRPr="00267088">
              <w:rPr>
                <w:rFonts w:ascii="Arial" w:hAnsi="Arial" w:cs="Arial"/>
                <w:b/>
                <w:bCs/>
                <w:sz w:val="18"/>
                <w:szCs w:val="18"/>
              </w:rPr>
              <w:t>1,074,236</w:t>
            </w:r>
          </w:p>
        </w:tc>
        <w:tc>
          <w:tcPr>
            <w:tcW w:w="236" w:type="dxa"/>
            <w:tcBorders>
              <w:top w:val="nil"/>
              <w:left w:val="nil"/>
              <w:bottom w:val="nil"/>
              <w:right w:val="nil"/>
            </w:tcBorders>
            <w:shd w:val="clear" w:color="FFFFFF" w:fill="FFFFFF"/>
            <w:noWrap/>
            <w:vAlign w:val="bottom"/>
            <w:hideMark/>
          </w:tcPr>
          <w:p w14:paraId="093A0E7B" w14:textId="77777777" w:rsidR="00A43992" w:rsidRDefault="00A43992" w:rsidP="007211E3">
            <w:pPr>
              <w:rPr>
                <w:rFonts w:ascii="Arial" w:hAnsi="Arial" w:cs="Arial"/>
                <w:sz w:val="18"/>
                <w:szCs w:val="18"/>
              </w:rPr>
            </w:pPr>
            <w:r>
              <w:rPr>
                <w:rFonts w:ascii="Arial" w:hAnsi="Arial" w:cs="Arial"/>
                <w:sz w:val="18"/>
                <w:szCs w:val="18"/>
              </w:rPr>
              <w:t> </w:t>
            </w:r>
          </w:p>
        </w:tc>
        <w:tc>
          <w:tcPr>
            <w:tcW w:w="1030" w:type="dxa"/>
            <w:tcBorders>
              <w:top w:val="single" w:sz="4" w:space="0" w:color="auto"/>
              <w:left w:val="nil"/>
              <w:bottom w:val="single" w:sz="4" w:space="0" w:color="auto"/>
              <w:right w:val="nil"/>
            </w:tcBorders>
            <w:shd w:val="clear" w:color="FFFFFF" w:fill="FFFFFF"/>
            <w:noWrap/>
            <w:vAlign w:val="bottom"/>
            <w:hideMark/>
          </w:tcPr>
          <w:p w14:paraId="134A48F2" w14:textId="77777777" w:rsidR="00A43992" w:rsidRDefault="00A43992" w:rsidP="007211E3">
            <w:pPr>
              <w:jc w:val="right"/>
              <w:rPr>
                <w:rFonts w:ascii="Arial" w:hAnsi="Arial" w:cs="Arial"/>
                <w:sz w:val="18"/>
                <w:szCs w:val="18"/>
              </w:rPr>
            </w:pPr>
            <w:r>
              <w:rPr>
                <w:rFonts w:ascii="Arial" w:hAnsi="Arial" w:cs="Arial"/>
                <w:sz w:val="18"/>
                <w:szCs w:val="18"/>
              </w:rPr>
              <w:t>636,062</w:t>
            </w:r>
          </w:p>
        </w:tc>
        <w:tc>
          <w:tcPr>
            <w:tcW w:w="236" w:type="dxa"/>
            <w:tcBorders>
              <w:top w:val="nil"/>
              <w:left w:val="nil"/>
              <w:bottom w:val="nil"/>
              <w:right w:val="nil"/>
            </w:tcBorders>
            <w:shd w:val="clear" w:color="FFFFFF" w:fill="FFFFFF"/>
            <w:noWrap/>
            <w:vAlign w:val="bottom"/>
            <w:hideMark/>
          </w:tcPr>
          <w:p w14:paraId="23DD3199" w14:textId="77777777" w:rsidR="00A43992" w:rsidRDefault="00A43992" w:rsidP="007211E3">
            <w:pPr>
              <w:rPr>
                <w:rFonts w:ascii="Arial" w:hAnsi="Arial" w:cs="Arial"/>
                <w:sz w:val="18"/>
                <w:szCs w:val="18"/>
              </w:rPr>
            </w:pPr>
            <w:r>
              <w:rPr>
                <w:rFonts w:ascii="Arial" w:hAnsi="Arial" w:cs="Arial"/>
                <w:sz w:val="18"/>
                <w:szCs w:val="18"/>
              </w:rPr>
              <w:t> </w:t>
            </w:r>
          </w:p>
        </w:tc>
        <w:tc>
          <w:tcPr>
            <w:tcW w:w="1030" w:type="dxa"/>
            <w:tcBorders>
              <w:top w:val="single" w:sz="4" w:space="0" w:color="auto"/>
              <w:left w:val="nil"/>
              <w:bottom w:val="single" w:sz="4" w:space="0" w:color="auto"/>
              <w:right w:val="nil"/>
            </w:tcBorders>
            <w:shd w:val="clear" w:color="FFFFFF" w:fill="FFFFFF"/>
            <w:noWrap/>
            <w:vAlign w:val="bottom"/>
            <w:hideMark/>
          </w:tcPr>
          <w:p w14:paraId="77C49192" w14:textId="77777777" w:rsidR="00A43992" w:rsidRDefault="00A43992" w:rsidP="007211E3">
            <w:pPr>
              <w:jc w:val="right"/>
              <w:rPr>
                <w:rFonts w:ascii="Arial" w:hAnsi="Arial" w:cs="Arial"/>
                <w:sz w:val="18"/>
                <w:szCs w:val="18"/>
              </w:rPr>
            </w:pPr>
            <w:r>
              <w:rPr>
                <w:rFonts w:ascii="Arial" w:hAnsi="Arial" w:cs="Arial"/>
                <w:sz w:val="18"/>
                <w:szCs w:val="18"/>
              </w:rPr>
              <w:t>1,078,924</w:t>
            </w:r>
          </w:p>
        </w:tc>
      </w:tr>
      <w:tr w:rsidR="00A43992" w14:paraId="5D0B1928" w14:textId="77777777" w:rsidTr="007211E3">
        <w:trPr>
          <w:trHeight w:val="255"/>
        </w:trPr>
        <w:tc>
          <w:tcPr>
            <w:tcW w:w="4400" w:type="dxa"/>
            <w:tcBorders>
              <w:top w:val="nil"/>
              <w:left w:val="nil"/>
              <w:bottom w:val="nil"/>
              <w:right w:val="nil"/>
            </w:tcBorders>
            <w:shd w:val="clear" w:color="FFFFFF" w:fill="FFFFFF"/>
            <w:vAlign w:val="bottom"/>
            <w:hideMark/>
          </w:tcPr>
          <w:p w14:paraId="7AE119D2" w14:textId="77777777" w:rsidR="00A43992" w:rsidRDefault="00A43992" w:rsidP="007211E3">
            <w:pPr>
              <w:rPr>
                <w:rFonts w:ascii="Arial" w:hAnsi="Arial" w:cs="Arial"/>
                <w:sz w:val="18"/>
                <w:szCs w:val="18"/>
              </w:rPr>
            </w:pPr>
            <w:r>
              <w:rPr>
                <w:rFonts w:ascii="Arial" w:hAnsi="Arial" w:cs="Arial"/>
                <w:sz w:val="18"/>
                <w:szCs w:val="18"/>
              </w:rPr>
              <w:t> </w:t>
            </w:r>
          </w:p>
        </w:tc>
        <w:tc>
          <w:tcPr>
            <w:tcW w:w="1077" w:type="dxa"/>
            <w:tcBorders>
              <w:top w:val="nil"/>
              <w:left w:val="nil"/>
              <w:bottom w:val="nil"/>
              <w:right w:val="nil"/>
            </w:tcBorders>
            <w:shd w:val="clear" w:color="FFFFFF" w:fill="FFFFFF"/>
            <w:noWrap/>
            <w:vAlign w:val="bottom"/>
            <w:hideMark/>
          </w:tcPr>
          <w:p w14:paraId="28A89A02" w14:textId="77777777" w:rsidR="00A43992" w:rsidRDefault="00A43992" w:rsidP="007211E3">
            <w:pPr>
              <w:jc w:val="center"/>
              <w:rPr>
                <w:rFonts w:ascii="Arial" w:hAnsi="Arial" w:cs="Arial"/>
                <w:sz w:val="18"/>
                <w:szCs w:val="18"/>
              </w:rPr>
            </w:pPr>
            <w:r>
              <w:rPr>
                <w:rFonts w:ascii="Arial" w:hAnsi="Arial" w:cs="Arial"/>
                <w:sz w:val="18"/>
                <w:szCs w:val="18"/>
              </w:rPr>
              <w:t> </w:t>
            </w:r>
          </w:p>
        </w:tc>
        <w:tc>
          <w:tcPr>
            <w:tcW w:w="1078" w:type="dxa"/>
            <w:tcBorders>
              <w:top w:val="nil"/>
              <w:left w:val="nil"/>
              <w:bottom w:val="nil"/>
              <w:right w:val="nil"/>
            </w:tcBorders>
            <w:shd w:val="clear" w:color="FFFFFF" w:fill="FFFFFF"/>
            <w:noWrap/>
            <w:vAlign w:val="bottom"/>
            <w:hideMark/>
          </w:tcPr>
          <w:p w14:paraId="6728F6FF" w14:textId="77777777" w:rsidR="00A43992" w:rsidRDefault="00A43992" w:rsidP="007211E3">
            <w:pPr>
              <w:jc w:val="right"/>
              <w:rPr>
                <w:rFonts w:ascii="Arial" w:hAnsi="Arial" w:cs="Arial"/>
                <w:b/>
                <w:bCs/>
                <w:sz w:val="18"/>
                <w:szCs w:val="18"/>
              </w:rPr>
            </w:pPr>
            <w:r>
              <w:rPr>
                <w:rFonts w:ascii="Arial" w:hAnsi="Arial" w:cs="Arial"/>
                <w:b/>
                <w:bCs/>
                <w:sz w:val="18"/>
                <w:szCs w:val="18"/>
              </w:rPr>
              <w:t> </w:t>
            </w:r>
          </w:p>
        </w:tc>
        <w:tc>
          <w:tcPr>
            <w:tcW w:w="236" w:type="dxa"/>
            <w:tcBorders>
              <w:top w:val="nil"/>
              <w:left w:val="nil"/>
              <w:bottom w:val="nil"/>
              <w:right w:val="nil"/>
            </w:tcBorders>
            <w:shd w:val="clear" w:color="FFFFFF" w:fill="FFFFFF"/>
            <w:noWrap/>
            <w:vAlign w:val="bottom"/>
            <w:hideMark/>
          </w:tcPr>
          <w:p w14:paraId="29987E4A" w14:textId="77777777" w:rsidR="00A43992" w:rsidRDefault="00A43992" w:rsidP="007211E3">
            <w:pPr>
              <w:rPr>
                <w:rFonts w:ascii="Arial" w:hAnsi="Arial" w:cs="Arial"/>
                <w:sz w:val="18"/>
                <w:szCs w:val="18"/>
              </w:rPr>
            </w:pPr>
            <w:r>
              <w:rPr>
                <w:rFonts w:ascii="Arial" w:hAnsi="Arial" w:cs="Arial"/>
                <w:sz w:val="18"/>
                <w:szCs w:val="18"/>
              </w:rPr>
              <w:t> </w:t>
            </w:r>
          </w:p>
        </w:tc>
        <w:tc>
          <w:tcPr>
            <w:tcW w:w="1030" w:type="dxa"/>
            <w:tcBorders>
              <w:top w:val="nil"/>
              <w:left w:val="nil"/>
              <w:bottom w:val="nil"/>
              <w:right w:val="nil"/>
            </w:tcBorders>
            <w:shd w:val="clear" w:color="FFFFFF" w:fill="FFFFFF"/>
            <w:noWrap/>
            <w:vAlign w:val="bottom"/>
            <w:hideMark/>
          </w:tcPr>
          <w:p w14:paraId="5A3194B4" w14:textId="77777777" w:rsidR="00A43992" w:rsidRDefault="00A43992" w:rsidP="007211E3">
            <w:pPr>
              <w:jc w:val="right"/>
              <w:rPr>
                <w:rFonts w:ascii="Arial" w:hAnsi="Arial" w:cs="Arial"/>
                <w:sz w:val="18"/>
                <w:szCs w:val="18"/>
              </w:rPr>
            </w:pPr>
            <w:r>
              <w:rPr>
                <w:rFonts w:ascii="Arial" w:hAnsi="Arial" w:cs="Arial"/>
                <w:sz w:val="18"/>
                <w:szCs w:val="18"/>
              </w:rPr>
              <w:t> </w:t>
            </w:r>
          </w:p>
        </w:tc>
        <w:tc>
          <w:tcPr>
            <w:tcW w:w="236" w:type="dxa"/>
            <w:tcBorders>
              <w:top w:val="nil"/>
              <w:left w:val="nil"/>
              <w:bottom w:val="nil"/>
              <w:right w:val="nil"/>
            </w:tcBorders>
            <w:shd w:val="clear" w:color="FFFFFF" w:fill="FFFFFF"/>
            <w:noWrap/>
            <w:vAlign w:val="bottom"/>
            <w:hideMark/>
          </w:tcPr>
          <w:p w14:paraId="3B22A398" w14:textId="77777777" w:rsidR="00A43992" w:rsidRDefault="00A43992" w:rsidP="007211E3">
            <w:pPr>
              <w:rPr>
                <w:rFonts w:ascii="Arial" w:hAnsi="Arial" w:cs="Arial"/>
                <w:sz w:val="18"/>
                <w:szCs w:val="18"/>
              </w:rPr>
            </w:pPr>
            <w:r>
              <w:rPr>
                <w:rFonts w:ascii="Arial" w:hAnsi="Arial" w:cs="Arial"/>
                <w:sz w:val="18"/>
                <w:szCs w:val="18"/>
              </w:rPr>
              <w:t> </w:t>
            </w:r>
          </w:p>
        </w:tc>
        <w:tc>
          <w:tcPr>
            <w:tcW w:w="1030" w:type="dxa"/>
            <w:tcBorders>
              <w:top w:val="nil"/>
              <w:left w:val="nil"/>
              <w:bottom w:val="nil"/>
              <w:right w:val="nil"/>
            </w:tcBorders>
            <w:shd w:val="clear" w:color="FFFFFF" w:fill="FFFFFF"/>
            <w:noWrap/>
            <w:vAlign w:val="bottom"/>
            <w:hideMark/>
          </w:tcPr>
          <w:p w14:paraId="3AEACEC4" w14:textId="77777777" w:rsidR="00A43992" w:rsidRDefault="00A43992" w:rsidP="007211E3">
            <w:pPr>
              <w:jc w:val="right"/>
              <w:rPr>
                <w:rFonts w:ascii="Arial" w:hAnsi="Arial" w:cs="Arial"/>
                <w:sz w:val="18"/>
                <w:szCs w:val="18"/>
              </w:rPr>
            </w:pPr>
            <w:r>
              <w:rPr>
                <w:rFonts w:ascii="Arial" w:hAnsi="Arial" w:cs="Arial"/>
                <w:sz w:val="18"/>
                <w:szCs w:val="18"/>
              </w:rPr>
              <w:t> </w:t>
            </w:r>
          </w:p>
        </w:tc>
      </w:tr>
      <w:tr w:rsidR="00A43992" w14:paraId="245FBB59" w14:textId="77777777" w:rsidTr="007211E3">
        <w:trPr>
          <w:trHeight w:val="255"/>
        </w:trPr>
        <w:tc>
          <w:tcPr>
            <w:tcW w:w="4400" w:type="dxa"/>
            <w:tcBorders>
              <w:top w:val="nil"/>
              <w:left w:val="nil"/>
              <w:bottom w:val="nil"/>
              <w:right w:val="nil"/>
            </w:tcBorders>
            <w:shd w:val="clear" w:color="FFFFFF" w:fill="FFFFFF"/>
            <w:noWrap/>
            <w:vAlign w:val="bottom"/>
            <w:hideMark/>
          </w:tcPr>
          <w:p w14:paraId="0DD0F936" w14:textId="77777777" w:rsidR="00A43992" w:rsidRDefault="00A43992" w:rsidP="007211E3">
            <w:pPr>
              <w:rPr>
                <w:rFonts w:ascii="Arial" w:hAnsi="Arial" w:cs="Arial"/>
                <w:b/>
                <w:bCs/>
                <w:sz w:val="18"/>
                <w:szCs w:val="18"/>
              </w:rPr>
            </w:pPr>
            <w:r>
              <w:rPr>
                <w:rFonts w:ascii="Arial" w:hAnsi="Arial" w:cs="Arial"/>
                <w:b/>
                <w:bCs/>
                <w:sz w:val="18"/>
                <w:szCs w:val="18"/>
              </w:rPr>
              <w:t>OWN-SOURCE INCOME</w:t>
            </w:r>
          </w:p>
        </w:tc>
        <w:tc>
          <w:tcPr>
            <w:tcW w:w="1077" w:type="dxa"/>
            <w:tcBorders>
              <w:top w:val="nil"/>
              <w:left w:val="nil"/>
              <w:bottom w:val="nil"/>
              <w:right w:val="nil"/>
            </w:tcBorders>
            <w:shd w:val="clear" w:color="FFFFFF" w:fill="FFFFFF"/>
            <w:noWrap/>
            <w:vAlign w:val="bottom"/>
            <w:hideMark/>
          </w:tcPr>
          <w:p w14:paraId="24F552C1" w14:textId="77777777" w:rsidR="00A43992" w:rsidRDefault="00A43992" w:rsidP="007211E3">
            <w:pPr>
              <w:jc w:val="center"/>
              <w:rPr>
                <w:rFonts w:ascii="Arial" w:hAnsi="Arial" w:cs="Arial"/>
                <w:sz w:val="18"/>
                <w:szCs w:val="18"/>
              </w:rPr>
            </w:pPr>
            <w:r>
              <w:rPr>
                <w:rFonts w:ascii="Arial" w:hAnsi="Arial" w:cs="Arial"/>
                <w:sz w:val="18"/>
                <w:szCs w:val="18"/>
              </w:rPr>
              <w:t> </w:t>
            </w:r>
          </w:p>
        </w:tc>
        <w:tc>
          <w:tcPr>
            <w:tcW w:w="1078" w:type="dxa"/>
            <w:tcBorders>
              <w:top w:val="nil"/>
              <w:left w:val="nil"/>
              <w:bottom w:val="nil"/>
              <w:right w:val="nil"/>
            </w:tcBorders>
            <w:shd w:val="clear" w:color="FFFFFF" w:fill="FFFFFF"/>
            <w:noWrap/>
            <w:vAlign w:val="bottom"/>
            <w:hideMark/>
          </w:tcPr>
          <w:p w14:paraId="72746A30" w14:textId="77777777" w:rsidR="00A43992" w:rsidRDefault="00A43992" w:rsidP="007211E3">
            <w:pPr>
              <w:jc w:val="right"/>
              <w:rPr>
                <w:rFonts w:ascii="Arial" w:hAnsi="Arial" w:cs="Arial"/>
                <w:b/>
                <w:bCs/>
                <w:sz w:val="18"/>
                <w:szCs w:val="18"/>
              </w:rPr>
            </w:pPr>
            <w:r>
              <w:rPr>
                <w:rFonts w:ascii="Arial" w:hAnsi="Arial" w:cs="Arial"/>
                <w:b/>
                <w:bCs/>
                <w:sz w:val="18"/>
                <w:szCs w:val="18"/>
              </w:rPr>
              <w:t> </w:t>
            </w:r>
          </w:p>
        </w:tc>
        <w:tc>
          <w:tcPr>
            <w:tcW w:w="236" w:type="dxa"/>
            <w:tcBorders>
              <w:top w:val="nil"/>
              <w:left w:val="nil"/>
              <w:bottom w:val="nil"/>
              <w:right w:val="nil"/>
            </w:tcBorders>
            <w:shd w:val="clear" w:color="FFFFFF" w:fill="FFFFFF"/>
            <w:noWrap/>
            <w:vAlign w:val="bottom"/>
            <w:hideMark/>
          </w:tcPr>
          <w:p w14:paraId="771A967D" w14:textId="77777777" w:rsidR="00A43992" w:rsidRDefault="00A43992" w:rsidP="007211E3">
            <w:pPr>
              <w:rPr>
                <w:rFonts w:ascii="Arial" w:hAnsi="Arial" w:cs="Arial"/>
                <w:sz w:val="18"/>
                <w:szCs w:val="18"/>
              </w:rPr>
            </w:pPr>
            <w:r>
              <w:rPr>
                <w:rFonts w:ascii="Arial" w:hAnsi="Arial" w:cs="Arial"/>
                <w:sz w:val="18"/>
                <w:szCs w:val="18"/>
              </w:rPr>
              <w:t> </w:t>
            </w:r>
          </w:p>
        </w:tc>
        <w:tc>
          <w:tcPr>
            <w:tcW w:w="1030" w:type="dxa"/>
            <w:tcBorders>
              <w:top w:val="nil"/>
              <w:left w:val="nil"/>
              <w:bottom w:val="nil"/>
              <w:right w:val="nil"/>
            </w:tcBorders>
            <w:shd w:val="clear" w:color="FFFFFF" w:fill="FFFFFF"/>
            <w:noWrap/>
            <w:vAlign w:val="bottom"/>
            <w:hideMark/>
          </w:tcPr>
          <w:p w14:paraId="520C3EB5" w14:textId="77777777" w:rsidR="00A43992" w:rsidRDefault="00A43992" w:rsidP="007211E3">
            <w:pPr>
              <w:jc w:val="right"/>
              <w:rPr>
                <w:rFonts w:ascii="Arial" w:hAnsi="Arial" w:cs="Arial"/>
                <w:sz w:val="18"/>
                <w:szCs w:val="18"/>
              </w:rPr>
            </w:pPr>
            <w:r>
              <w:rPr>
                <w:rFonts w:ascii="Arial" w:hAnsi="Arial" w:cs="Arial"/>
                <w:sz w:val="18"/>
                <w:szCs w:val="18"/>
              </w:rPr>
              <w:t> </w:t>
            </w:r>
          </w:p>
        </w:tc>
        <w:tc>
          <w:tcPr>
            <w:tcW w:w="236" w:type="dxa"/>
            <w:tcBorders>
              <w:top w:val="nil"/>
              <w:left w:val="nil"/>
              <w:bottom w:val="nil"/>
              <w:right w:val="nil"/>
            </w:tcBorders>
            <w:shd w:val="clear" w:color="FFFFFF" w:fill="FFFFFF"/>
            <w:noWrap/>
            <w:vAlign w:val="bottom"/>
            <w:hideMark/>
          </w:tcPr>
          <w:p w14:paraId="3ACE84FD" w14:textId="77777777" w:rsidR="00A43992" w:rsidRDefault="00A43992" w:rsidP="007211E3">
            <w:pPr>
              <w:rPr>
                <w:rFonts w:ascii="Arial" w:hAnsi="Arial" w:cs="Arial"/>
                <w:sz w:val="18"/>
                <w:szCs w:val="18"/>
              </w:rPr>
            </w:pPr>
            <w:r>
              <w:rPr>
                <w:rFonts w:ascii="Arial" w:hAnsi="Arial" w:cs="Arial"/>
                <w:sz w:val="18"/>
                <w:szCs w:val="18"/>
              </w:rPr>
              <w:t> </w:t>
            </w:r>
          </w:p>
        </w:tc>
        <w:tc>
          <w:tcPr>
            <w:tcW w:w="1030" w:type="dxa"/>
            <w:tcBorders>
              <w:top w:val="nil"/>
              <w:left w:val="nil"/>
              <w:bottom w:val="nil"/>
              <w:right w:val="nil"/>
            </w:tcBorders>
            <w:shd w:val="clear" w:color="FFFFFF" w:fill="FFFFFF"/>
            <w:noWrap/>
            <w:vAlign w:val="bottom"/>
            <w:hideMark/>
          </w:tcPr>
          <w:p w14:paraId="1FD0B295" w14:textId="77777777" w:rsidR="00A43992" w:rsidRDefault="00A43992" w:rsidP="007211E3">
            <w:pPr>
              <w:jc w:val="right"/>
              <w:rPr>
                <w:rFonts w:ascii="Arial" w:hAnsi="Arial" w:cs="Arial"/>
                <w:sz w:val="18"/>
                <w:szCs w:val="18"/>
              </w:rPr>
            </w:pPr>
            <w:r>
              <w:rPr>
                <w:rFonts w:ascii="Arial" w:hAnsi="Arial" w:cs="Arial"/>
                <w:sz w:val="18"/>
                <w:szCs w:val="18"/>
              </w:rPr>
              <w:t> </w:t>
            </w:r>
          </w:p>
        </w:tc>
      </w:tr>
      <w:tr w:rsidR="00A43992" w14:paraId="6F23F09F" w14:textId="77777777" w:rsidTr="007211E3">
        <w:trPr>
          <w:trHeight w:val="255"/>
        </w:trPr>
        <w:tc>
          <w:tcPr>
            <w:tcW w:w="4400" w:type="dxa"/>
            <w:tcBorders>
              <w:top w:val="nil"/>
              <w:left w:val="nil"/>
              <w:bottom w:val="nil"/>
              <w:right w:val="nil"/>
            </w:tcBorders>
            <w:shd w:val="clear" w:color="FFFFFF" w:fill="FFFFFF"/>
            <w:vAlign w:val="bottom"/>
            <w:hideMark/>
          </w:tcPr>
          <w:p w14:paraId="07A3082C" w14:textId="77777777" w:rsidR="00A43992" w:rsidRDefault="00A43992" w:rsidP="007211E3">
            <w:pPr>
              <w:rPr>
                <w:rFonts w:ascii="Arial" w:hAnsi="Arial" w:cs="Arial"/>
                <w:b/>
                <w:bCs/>
                <w:sz w:val="18"/>
                <w:szCs w:val="18"/>
              </w:rPr>
            </w:pPr>
            <w:r>
              <w:rPr>
                <w:rFonts w:ascii="Arial" w:hAnsi="Arial" w:cs="Arial"/>
                <w:b/>
                <w:bCs/>
                <w:sz w:val="18"/>
                <w:szCs w:val="18"/>
              </w:rPr>
              <w:t>Own-source revenue</w:t>
            </w:r>
          </w:p>
        </w:tc>
        <w:tc>
          <w:tcPr>
            <w:tcW w:w="1077" w:type="dxa"/>
            <w:tcBorders>
              <w:top w:val="nil"/>
              <w:left w:val="nil"/>
              <w:bottom w:val="nil"/>
              <w:right w:val="nil"/>
            </w:tcBorders>
            <w:shd w:val="clear" w:color="FFFFFF" w:fill="FFFFFF"/>
            <w:noWrap/>
            <w:vAlign w:val="bottom"/>
            <w:hideMark/>
          </w:tcPr>
          <w:p w14:paraId="147D345D" w14:textId="77777777" w:rsidR="00A43992" w:rsidRDefault="00A43992" w:rsidP="007211E3">
            <w:pPr>
              <w:jc w:val="center"/>
              <w:rPr>
                <w:rFonts w:ascii="Arial" w:hAnsi="Arial" w:cs="Arial"/>
                <w:sz w:val="18"/>
                <w:szCs w:val="18"/>
              </w:rPr>
            </w:pPr>
            <w:r>
              <w:rPr>
                <w:rFonts w:ascii="Arial" w:hAnsi="Arial" w:cs="Arial"/>
                <w:sz w:val="18"/>
                <w:szCs w:val="18"/>
              </w:rPr>
              <w:t> </w:t>
            </w:r>
          </w:p>
        </w:tc>
        <w:tc>
          <w:tcPr>
            <w:tcW w:w="1078" w:type="dxa"/>
            <w:tcBorders>
              <w:top w:val="nil"/>
              <w:left w:val="nil"/>
              <w:bottom w:val="nil"/>
              <w:right w:val="nil"/>
            </w:tcBorders>
            <w:shd w:val="clear" w:color="FFFFFF" w:fill="FFFFFF"/>
            <w:noWrap/>
            <w:vAlign w:val="bottom"/>
            <w:hideMark/>
          </w:tcPr>
          <w:p w14:paraId="224E85FD" w14:textId="77777777" w:rsidR="00A43992" w:rsidRDefault="00A43992" w:rsidP="007211E3">
            <w:pPr>
              <w:jc w:val="right"/>
              <w:rPr>
                <w:rFonts w:ascii="Arial" w:hAnsi="Arial" w:cs="Arial"/>
                <w:b/>
                <w:bCs/>
                <w:sz w:val="18"/>
                <w:szCs w:val="18"/>
              </w:rPr>
            </w:pPr>
            <w:r>
              <w:rPr>
                <w:rFonts w:ascii="Arial" w:hAnsi="Arial" w:cs="Arial"/>
                <w:b/>
                <w:bCs/>
                <w:sz w:val="18"/>
                <w:szCs w:val="18"/>
              </w:rPr>
              <w:t> </w:t>
            </w:r>
          </w:p>
        </w:tc>
        <w:tc>
          <w:tcPr>
            <w:tcW w:w="236" w:type="dxa"/>
            <w:tcBorders>
              <w:top w:val="nil"/>
              <w:left w:val="nil"/>
              <w:bottom w:val="nil"/>
              <w:right w:val="nil"/>
            </w:tcBorders>
            <w:shd w:val="clear" w:color="FFFFFF" w:fill="FFFFFF"/>
            <w:noWrap/>
            <w:vAlign w:val="bottom"/>
            <w:hideMark/>
          </w:tcPr>
          <w:p w14:paraId="39770936" w14:textId="77777777" w:rsidR="00A43992" w:rsidRDefault="00A43992" w:rsidP="007211E3">
            <w:pPr>
              <w:rPr>
                <w:rFonts w:ascii="Arial" w:hAnsi="Arial" w:cs="Arial"/>
                <w:sz w:val="18"/>
                <w:szCs w:val="18"/>
              </w:rPr>
            </w:pPr>
            <w:r>
              <w:rPr>
                <w:rFonts w:ascii="Arial" w:hAnsi="Arial" w:cs="Arial"/>
                <w:sz w:val="18"/>
                <w:szCs w:val="18"/>
              </w:rPr>
              <w:t> </w:t>
            </w:r>
          </w:p>
        </w:tc>
        <w:tc>
          <w:tcPr>
            <w:tcW w:w="1030" w:type="dxa"/>
            <w:tcBorders>
              <w:top w:val="nil"/>
              <w:left w:val="nil"/>
              <w:bottom w:val="nil"/>
              <w:right w:val="nil"/>
            </w:tcBorders>
            <w:shd w:val="clear" w:color="FFFFFF" w:fill="FFFFFF"/>
            <w:noWrap/>
            <w:vAlign w:val="bottom"/>
            <w:hideMark/>
          </w:tcPr>
          <w:p w14:paraId="26A92F57" w14:textId="77777777" w:rsidR="00A43992" w:rsidRDefault="00A43992" w:rsidP="007211E3">
            <w:pPr>
              <w:jc w:val="right"/>
              <w:rPr>
                <w:rFonts w:ascii="Arial" w:hAnsi="Arial" w:cs="Arial"/>
                <w:sz w:val="18"/>
                <w:szCs w:val="18"/>
              </w:rPr>
            </w:pPr>
            <w:r>
              <w:rPr>
                <w:rFonts w:ascii="Arial" w:hAnsi="Arial" w:cs="Arial"/>
                <w:sz w:val="18"/>
                <w:szCs w:val="18"/>
              </w:rPr>
              <w:t> </w:t>
            </w:r>
          </w:p>
        </w:tc>
        <w:tc>
          <w:tcPr>
            <w:tcW w:w="236" w:type="dxa"/>
            <w:tcBorders>
              <w:top w:val="nil"/>
              <w:left w:val="nil"/>
              <w:bottom w:val="nil"/>
              <w:right w:val="nil"/>
            </w:tcBorders>
            <w:shd w:val="clear" w:color="FFFFFF" w:fill="FFFFFF"/>
            <w:noWrap/>
            <w:vAlign w:val="bottom"/>
            <w:hideMark/>
          </w:tcPr>
          <w:p w14:paraId="4389E476" w14:textId="77777777" w:rsidR="00A43992" w:rsidRDefault="00A43992" w:rsidP="007211E3">
            <w:pPr>
              <w:rPr>
                <w:rFonts w:ascii="Arial" w:hAnsi="Arial" w:cs="Arial"/>
                <w:sz w:val="18"/>
                <w:szCs w:val="18"/>
              </w:rPr>
            </w:pPr>
            <w:r>
              <w:rPr>
                <w:rFonts w:ascii="Arial" w:hAnsi="Arial" w:cs="Arial"/>
                <w:sz w:val="18"/>
                <w:szCs w:val="18"/>
              </w:rPr>
              <w:t> </w:t>
            </w:r>
          </w:p>
        </w:tc>
        <w:tc>
          <w:tcPr>
            <w:tcW w:w="1030" w:type="dxa"/>
            <w:tcBorders>
              <w:top w:val="nil"/>
              <w:left w:val="nil"/>
              <w:bottom w:val="nil"/>
              <w:right w:val="nil"/>
            </w:tcBorders>
            <w:shd w:val="clear" w:color="FFFFFF" w:fill="FFFFFF"/>
            <w:noWrap/>
            <w:vAlign w:val="bottom"/>
            <w:hideMark/>
          </w:tcPr>
          <w:p w14:paraId="1C0E6420" w14:textId="77777777" w:rsidR="00A43992" w:rsidRDefault="00A43992" w:rsidP="007211E3">
            <w:pPr>
              <w:jc w:val="right"/>
              <w:rPr>
                <w:rFonts w:ascii="Arial" w:hAnsi="Arial" w:cs="Arial"/>
                <w:sz w:val="18"/>
                <w:szCs w:val="18"/>
              </w:rPr>
            </w:pPr>
            <w:r>
              <w:rPr>
                <w:rFonts w:ascii="Arial" w:hAnsi="Arial" w:cs="Arial"/>
                <w:sz w:val="18"/>
                <w:szCs w:val="18"/>
              </w:rPr>
              <w:t> </w:t>
            </w:r>
          </w:p>
        </w:tc>
      </w:tr>
      <w:tr w:rsidR="00A43992" w14:paraId="16B42446" w14:textId="77777777" w:rsidTr="007211E3">
        <w:trPr>
          <w:trHeight w:val="255"/>
        </w:trPr>
        <w:tc>
          <w:tcPr>
            <w:tcW w:w="4400" w:type="dxa"/>
            <w:tcBorders>
              <w:top w:val="nil"/>
              <w:left w:val="nil"/>
              <w:bottom w:val="nil"/>
              <w:right w:val="nil"/>
            </w:tcBorders>
            <w:shd w:val="clear" w:color="FFFFFF" w:fill="FFFFFF"/>
            <w:vAlign w:val="bottom"/>
            <w:hideMark/>
          </w:tcPr>
          <w:p w14:paraId="50D2EB29" w14:textId="77777777" w:rsidR="00A43992" w:rsidRDefault="00A43992" w:rsidP="007211E3">
            <w:pPr>
              <w:ind w:firstLineChars="100" w:firstLine="180"/>
              <w:rPr>
                <w:rFonts w:ascii="Arial" w:hAnsi="Arial" w:cs="Arial"/>
                <w:sz w:val="18"/>
                <w:szCs w:val="18"/>
              </w:rPr>
            </w:pPr>
            <w:r>
              <w:rPr>
                <w:rFonts w:ascii="Arial" w:hAnsi="Arial" w:cs="Arial"/>
                <w:sz w:val="18"/>
                <w:szCs w:val="18"/>
              </w:rPr>
              <w:t>Revenue from rendering of services</w:t>
            </w:r>
          </w:p>
        </w:tc>
        <w:tc>
          <w:tcPr>
            <w:tcW w:w="1077" w:type="dxa"/>
            <w:tcBorders>
              <w:top w:val="nil"/>
              <w:left w:val="nil"/>
              <w:bottom w:val="nil"/>
              <w:right w:val="nil"/>
            </w:tcBorders>
            <w:shd w:val="clear" w:color="FFFFFF" w:fill="FFFFFF"/>
            <w:noWrap/>
            <w:vAlign w:val="bottom"/>
            <w:hideMark/>
          </w:tcPr>
          <w:p w14:paraId="46947736" w14:textId="77777777" w:rsidR="00A43992" w:rsidRDefault="00A43992" w:rsidP="007211E3">
            <w:pPr>
              <w:jc w:val="center"/>
              <w:rPr>
                <w:rFonts w:ascii="Arial" w:hAnsi="Arial" w:cs="Arial"/>
                <w:sz w:val="18"/>
                <w:szCs w:val="18"/>
              </w:rPr>
            </w:pPr>
            <w:r>
              <w:rPr>
                <w:rFonts w:ascii="Arial" w:hAnsi="Arial" w:cs="Arial"/>
                <w:sz w:val="18"/>
                <w:szCs w:val="18"/>
              </w:rPr>
              <w:t>1.2A</w:t>
            </w:r>
          </w:p>
        </w:tc>
        <w:tc>
          <w:tcPr>
            <w:tcW w:w="1078" w:type="dxa"/>
            <w:tcBorders>
              <w:top w:val="nil"/>
              <w:left w:val="nil"/>
              <w:bottom w:val="nil"/>
              <w:right w:val="nil"/>
            </w:tcBorders>
            <w:shd w:val="clear" w:color="FFFFFF" w:fill="FFFFFF"/>
            <w:noWrap/>
            <w:vAlign w:val="bottom"/>
            <w:hideMark/>
          </w:tcPr>
          <w:p w14:paraId="48AE1AFF" w14:textId="77777777" w:rsidR="00A43992" w:rsidRDefault="00A43992" w:rsidP="007211E3">
            <w:pPr>
              <w:jc w:val="right"/>
              <w:rPr>
                <w:rFonts w:ascii="Arial" w:hAnsi="Arial" w:cs="Arial"/>
                <w:b/>
                <w:bCs/>
                <w:sz w:val="18"/>
                <w:szCs w:val="18"/>
              </w:rPr>
            </w:pPr>
            <w:r>
              <w:rPr>
                <w:rFonts w:ascii="Arial" w:hAnsi="Arial" w:cs="Arial"/>
                <w:b/>
                <w:bCs/>
                <w:sz w:val="18"/>
                <w:szCs w:val="18"/>
              </w:rPr>
              <w:t>286,907</w:t>
            </w:r>
          </w:p>
        </w:tc>
        <w:tc>
          <w:tcPr>
            <w:tcW w:w="236" w:type="dxa"/>
            <w:tcBorders>
              <w:top w:val="nil"/>
              <w:left w:val="nil"/>
              <w:bottom w:val="nil"/>
              <w:right w:val="nil"/>
            </w:tcBorders>
            <w:shd w:val="clear" w:color="FFFFFF" w:fill="FFFFFF"/>
            <w:noWrap/>
            <w:vAlign w:val="bottom"/>
            <w:hideMark/>
          </w:tcPr>
          <w:p w14:paraId="5A4E944F" w14:textId="77777777" w:rsidR="00A43992" w:rsidRDefault="00A43992" w:rsidP="007211E3">
            <w:pPr>
              <w:rPr>
                <w:rFonts w:ascii="Arial" w:hAnsi="Arial" w:cs="Arial"/>
                <w:sz w:val="18"/>
                <w:szCs w:val="18"/>
              </w:rPr>
            </w:pPr>
            <w:r>
              <w:rPr>
                <w:rFonts w:ascii="Arial" w:hAnsi="Arial" w:cs="Arial"/>
                <w:sz w:val="18"/>
                <w:szCs w:val="18"/>
              </w:rPr>
              <w:t> </w:t>
            </w:r>
          </w:p>
        </w:tc>
        <w:tc>
          <w:tcPr>
            <w:tcW w:w="1030" w:type="dxa"/>
            <w:tcBorders>
              <w:top w:val="nil"/>
              <w:left w:val="nil"/>
              <w:bottom w:val="nil"/>
              <w:right w:val="nil"/>
            </w:tcBorders>
            <w:shd w:val="clear" w:color="FFFFFF" w:fill="FFFFFF"/>
            <w:noWrap/>
            <w:vAlign w:val="bottom"/>
            <w:hideMark/>
          </w:tcPr>
          <w:p w14:paraId="139C7537" w14:textId="77777777" w:rsidR="00A43992" w:rsidRDefault="00A43992" w:rsidP="007211E3">
            <w:pPr>
              <w:jc w:val="right"/>
              <w:rPr>
                <w:rFonts w:ascii="Arial" w:hAnsi="Arial" w:cs="Arial"/>
                <w:sz w:val="18"/>
                <w:szCs w:val="18"/>
              </w:rPr>
            </w:pPr>
            <w:r>
              <w:rPr>
                <w:rFonts w:ascii="Arial" w:hAnsi="Arial" w:cs="Arial"/>
                <w:sz w:val="18"/>
                <w:szCs w:val="18"/>
              </w:rPr>
              <w:t>141,674</w:t>
            </w:r>
          </w:p>
        </w:tc>
        <w:tc>
          <w:tcPr>
            <w:tcW w:w="236" w:type="dxa"/>
            <w:tcBorders>
              <w:top w:val="nil"/>
              <w:left w:val="nil"/>
              <w:bottom w:val="nil"/>
              <w:right w:val="nil"/>
            </w:tcBorders>
            <w:shd w:val="clear" w:color="FFFFFF" w:fill="FFFFFF"/>
            <w:noWrap/>
            <w:vAlign w:val="bottom"/>
            <w:hideMark/>
          </w:tcPr>
          <w:p w14:paraId="744982A3" w14:textId="77777777" w:rsidR="00A43992" w:rsidRDefault="00A43992" w:rsidP="007211E3">
            <w:pPr>
              <w:rPr>
                <w:rFonts w:ascii="Arial" w:hAnsi="Arial" w:cs="Arial"/>
                <w:sz w:val="18"/>
                <w:szCs w:val="18"/>
              </w:rPr>
            </w:pPr>
            <w:r>
              <w:rPr>
                <w:rFonts w:ascii="Arial" w:hAnsi="Arial" w:cs="Arial"/>
                <w:sz w:val="18"/>
                <w:szCs w:val="18"/>
              </w:rPr>
              <w:t> </w:t>
            </w:r>
          </w:p>
        </w:tc>
        <w:tc>
          <w:tcPr>
            <w:tcW w:w="1030" w:type="dxa"/>
            <w:tcBorders>
              <w:top w:val="nil"/>
              <w:left w:val="nil"/>
              <w:bottom w:val="nil"/>
              <w:right w:val="nil"/>
            </w:tcBorders>
            <w:shd w:val="clear" w:color="FFFFFF" w:fill="FFFFFF"/>
            <w:noWrap/>
            <w:vAlign w:val="bottom"/>
            <w:hideMark/>
          </w:tcPr>
          <w:p w14:paraId="4325A83E" w14:textId="77777777" w:rsidR="00A43992" w:rsidRDefault="00A43992" w:rsidP="007211E3">
            <w:pPr>
              <w:jc w:val="right"/>
              <w:rPr>
                <w:rFonts w:ascii="Arial" w:hAnsi="Arial" w:cs="Arial"/>
                <w:sz w:val="18"/>
                <w:szCs w:val="18"/>
              </w:rPr>
            </w:pPr>
            <w:r>
              <w:rPr>
                <w:rFonts w:ascii="Arial" w:hAnsi="Arial" w:cs="Arial"/>
                <w:sz w:val="18"/>
                <w:szCs w:val="18"/>
              </w:rPr>
              <w:t>304,575</w:t>
            </w:r>
          </w:p>
        </w:tc>
      </w:tr>
      <w:tr w:rsidR="00A43992" w14:paraId="22F0109F" w14:textId="77777777" w:rsidTr="007211E3">
        <w:trPr>
          <w:trHeight w:val="255"/>
        </w:trPr>
        <w:tc>
          <w:tcPr>
            <w:tcW w:w="4400" w:type="dxa"/>
            <w:tcBorders>
              <w:top w:val="nil"/>
              <w:left w:val="nil"/>
              <w:bottom w:val="nil"/>
              <w:right w:val="nil"/>
            </w:tcBorders>
            <w:shd w:val="clear" w:color="FFFFFF" w:fill="FFFFFF"/>
            <w:vAlign w:val="bottom"/>
            <w:hideMark/>
          </w:tcPr>
          <w:p w14:paraId="17E04B6D" w14:textId="77777777" w:rsidR="00A43992" w:rsidRDefault="00A43992" w:rsidP="007211E3">
            <w:pPr>
              <w:ind w:firstLineChars="100" w:firstLine="180"/>
              <w:rPr>
                <w:rFonts w:ascii="Arial" w:hAnsi="Arial" w:cs="Arial"/>
                <w:sz w:val="18"/>
                <w:szCs w:val="18"/>
              </w:rPr>
            </w:pPr>
            <w:r>
              <w:rPr>
                <w:rFonts w:ascii="Arial" w:hAnsi="Arial" w:cs="Arial"/>
                <w:sz w:val="18"/>
                <w:szCs w:val="18"/>
              </w:rPr>
              <w:t>Interest</w:t>
            </w:r>
          </w:p>
        </w:tc>
        <w:tc>
          <w:tcPr>
            <w:tcW w:w="1077" w:type="dxa"/>
            <w:tcBorders>
              <w:top w:val="nil"/>
              <w:left w:val="nil"/>
              <w:bottom w:val="nil"/>
              <w:right w:val="nil"/>
            </w:tcBorders>
            <w:shd w:val="clear" w:color="FFFFFF" w:fill="FFFFFF"/>
            <w:noWrap/>
            <w:vAlign w:val="bottom"/>
            <w:hideMark/>
          </w:tcPr>
          <w:p w14:paraId="12BA5EB4" w14:textId="77777777" w:rsidR="00A43992" w:rsidRDefault="00A43992" w:rsidP="007211E3">
            <w:pPr>
              <w:jc w:val="center"/>
              <w:rPr>
                <w:rFonts w:ascii="Arial" w:hAnsi="Arial" w:cs="Arial"/>
                <w:sz w:val="18"/>
                <w:szCs w:val="18"/>
              </w:rPr>
            </w:pPr>
            <w:r>
              <w:rPr>
                <w:rFonts w:ascii="Arial" w:hAnsi="Arial" w:cs="Arial"/>
                <w:sz w:val="18"/>
                <w:szCs w:val="18"/>
              </w:rPr>
              <w:t>1.2B</w:t>
            </w:r>
          </w:p>
        </w:tc>
        <w:tc>
          <w:tcPr>
            <w:tcW w:w="1078" w:type="dxa"/>
            <w:tcBorders>
              <w:top w:val="nil"/>
              <w:left w:val="nil"/>
              <w:bottom w:val="nil"/>
              <w:right w:val="nil"/>
            </w:tcBorders>
            <w:shd w:val="clear" w:color="FFFFFF" w:fill="FFFFFF"/>
            <w:noWrap/>
            <w:vAlign w:val="bottom"/>
            <w:hideMark/>
          </w:tcPr>
          <w:p w14:paraId="12CFEB85" w14:textId="77777777" w:rsidR="00A43992" w:rsidRDefault="00A43992" w:rsidP="007211E3">
            <w:pPr>
              <w:jc w:val="right"/>
              <w:rPr>
                <w:rFonts w:ascii="Arial" w:hAnsi="Arial" w:cs="Arial"/>
                <w:b/>
                <w:bCs/>
                <w:sz w:val="18"/>
                <w:szCs w:val="18"/>
              </w:rPr>
            </w:pPr>
            <w:r>
              <w:rPr>
                <w:rFonts w:ascii="Arial" w:hAnsi="Arial" w:cs="Arial"/>
                <w:b/>
                <w:bCs/>
                <w:sz w:val="18"/>
                <w:szCs w:val="18"/>
              </w:rPr>
              <w:t>6,219</w:t>
            </w:r>
          </w:p>
        </w:tc>
        <w:tc>
          <w:tcPr>
            <w:tcW w:w="236" w:type="dxa"/>
            <w:tcBorders>
              <w:top w:val="nil"/>
              <w:left w:val="nil"/>
              <w:bottom w:val="nil"/>
              <w:right w:val="nil"/>
            </w:tcBorders>
            <w:shd w:val="clear" w:color="FFFFFF" w:fill="FFFFFF"/>
            <w:noWrap/>
            <w:vAlign w:val="bottom"/>
            <w:hideMark/>
          </w:tcPr>
          <w:p w14:paraId="4D8B15C6" w14:textId="77777777" w:rsidR="00A43992" w:rsidRDefault="00A43992" w:rsidP="007211E3">
            <w:pPr>
              <w:rPr>
                <w:rFonts w:ascii="Arial" w:hAnsi="Arial" w:cs="Arial"/>
                <w:sz w:val="18"/>
                <w:szCs w:val="18"/>
              </w:rPr>
            </w:pPr>
            <w:r>
              <w:rPr>
                <w:rFonts w:ascii="Arial" w:hAnsi="Arial" w:cs="Arial"/>
                <w:sz w:val="18"/>
                <w:szCs w:val="18"/>
              </w:rPr>
              <w:t> </w:t>
            </w:r>
          </w:p>
        </w:tc>
        <w:tc>
          <w:tcPr>
            <w:tcW w:w="1030" w:type="dxa"/>
            <w:tcBorders>
              <w:top w:val="nil"/>
              <w:left w:val="nil"/>
              <w:bottom w:val="nil"/>
              <w:right w:val="nil"/>
            </w:tcBorders>
            <w:shd w:val="clear" w:color="FFFFFF" w:fill="FFFFFF"/>
            <w:noWrap/>
            <w:vAlign w:val="bottom"/>
            <w:hideMark/>
          </w:tcPr>
          <w:p w14:paraId="6BCF1934" w14:textId="77777777" w:rsidR="00A43992" w:rsidRDefault="00A43992" w:rsidP="007211E3">
            <w:pPr>
              <w:jc w:val="right"/>
              <w:rPr>
                <w:rFonts w:ascii="Arial" w:hAnsi="Arial" w:cs="Arial"/>
                <w:sz w:val="18"/>
                <w:szCs w:val="18"/>
              </w:rPr>
            </w:pPr>
            <w:r>
              <w:rPr>
                <w:rFonts w:ascii="Arial" w:hAnsi="Arial" w:cs="Arial"/>
                <w:sz w:val="18"/>
                <w:szCs w:val="18"/>
              </w:rPr>
              <w:t>4,705</w:t>
            </w:r>
          </w:p>
        </w:tc>
        <w:tc>
          <w:tcPr>
            <w:tcW w:w="236" w:type="dxa"/>
            <w:tcBorders>
              <w:top w:val="nil"/>
              <w:left w:val="nil"/>
              <w:bottom w:val="nil"/>
              <w:right w:val="nil"/>
            </w:tcBorders>
            <w:shd w:val="clear" w:color="FFFFFF" w:fill="FFFFFF"/>
            <w:noWrap/>
            <w:vAlign w:val="bottom"/>
            <w:hideMark/>
          </w:tcPr>
          <w:p w14:paraId="0306DCA6" w14:textId="77777777" w:rsidR="00A43992" w:rsidRDefault="00A43992" w:rsidP="007211E3">
            <w:pPr>
              <w:rPr>
                <w:rFonts w:ascii="Arial" w:hAnsi="Arial" w:cs="Arial"/>
                <w:sz w:val="18"/>
                <w:szCs w:val="18"/>
              </w:rPr>
            </w:pPr>
            <w:r>
              <w:rPr>
                <w:rFonts w:ascii="Arial" w:hAnsi="Arial" w:cs="Arial"/>
                <w:sz w:val="18"/>
                <w:szCs w:val="18"/>
              </w:rPr>
              <w:t> </w:t>
            </w:r>
          </w:p>
        </w:tc>
        <w:tc>
          <w:tcPr>
            <w:tcW w:w="1030" w:type="dxa"/>
            <w:tcBorders>
              <w:top w:val="nil"/>
              <w:left w:val="nil"/>
              <w:bottom w:val="nil"/>
              <w:right w:val="nil"/>
            </w:tcBorders>
            <w:shd w:val="clear" w:color="FFFFFF" w:fill="FFFFFF"/>
            <w:noWrap/>
            <w:vAlign w:val="bottom"/>
            <w:hideMark/>
          </w:tcPr>
          <w:p w14:paraId="394B906A" w14:textId="77777777" w:rsidR="00A43992" w:rsidRDefault="00A43992" w:rsidP="007211E3">
            <w:pPr>
              <w:jc w:val="right"/>
              <w:rPr>
                <w:rFonts w:ascii="Arial" w:hAnsi="Arial" w:cs="Arial"/>
                <w:sz w:val="18"/>
                <w:szCs w:val="18"/>
              </w:rPr>
            </w:pPr>
            <w:r>
              <w:rPr>
                <w:rFonts w:ascii="Arial" w:hAnsi="Arial" w:cs="Arial"/>
                <w:sz w:val="18"/>
                <w:szCs w:val="18"/>
              </w:rPr>
              <w:t>-</w:t>
            </w:r>
          </w:p>
        </w:tc>
      </w:tr>
      <w:tr w:rsidR="00A43992" w14:paraId="30C77B4B" w14:textId="77777777" w:rsidTr="007211E3">
        <w:trPr>
          <w:trHeight w:val="255"/>
        </w:trPr>
        <w:tc>
          <w:tcPr>
            <w:tcW w:w="4400" w:type="dxa"/>
            <w:tcBorders>
              <w:top w:val="nil"/>
              <w:left w:val="nil"/>
              <w:bottom w:val="nil"/>
              <w:right w:val="nil"/>
            </w:tcBorders>
            <w:shd w:val="clear" w:color="FFFFFF" w:fill="FFFFFF"/>
            <w:vAlign w:val="bottom"/>
            <w:hideMark/>
          </w:tcPr>
          <w:p w14:paraId="6EBA73A2" w14:textId="77777777" w:rsidR="00A43992" w:rsidRDefault="00A43992" w:rsidP="007211E3">
            <w:pPr>
              <w:ind w:firstLineChars="100" w:firstLine="180"/>
              <w:rPr>
                <w:rFonts w:ascii="Arial" w:hAnsi="Arial" w:cs="Arial"/>
                <w:sz w:val="18"/>
                <w:szCs w:val="18"/>
              </w:rPr>
            </w:pPr>
            <w:r>
              <w:rPr>
                <w:rFonts w:ascii="Arial" w:hAnsi="Arial" w:cs="Arial"/>
                <w:sz w:val="18"/>
                <w:szCs w:val="18"/>
              </w:rPr>
              <w:t>Other revenue</w:t>
            </w:r>
          </w:p>
        </w:tc>
        <w:tc>
          <w:tcPr>
            <w:tcW w:w="1077" w:type="dxa"/>
            <w:tcBorders>
              <w:top w:val="nil"/>
              <w:left w:val="nil"/>
              <w:bottom w:val="nil"/>
              <w:right w:val="nil"/>
            </w:tcBorders>
            <w:shd w:val="clear" w:color="FFFFFF" w:fill="FFFFFF"/>
            <w:noWrap/>
            <w:vAlign w:val="bottom"/>
            <w:hideMark/>
          </w:tcPr>
          <w:p w14:paraId="01F2FFD2" w14:textId="77777777" w:rsidR="00A43992" w:rsidRDefault="00A43992" w:rsidP="007211E3">
            <w:pPr>
              <w:jc w:val="center"/>
              <w:rPr>
                <w:rFonts w:ascii="Arial" w:hAnsi="Arial" w:cs="Arial"/>
                <w:sz w:val="18"/>
                <w:szCs w:val="18"/>
              </w:rPr>
            </w:pPr>
            <w:r>
              <w:rPr>
                <w:rFonts w:ascii="Arial" w:hAnsi="Arial" w:cs="Arial"/>
                <w:sz w:val="18"/>
                <w:szCs w:val="18"/>
              </w:rPr>
              <w:t>1.2C</w:t>
            </w:r>
          </w:p>
        </w:tc>
        <w:tc>
          <w:tcPr>
            <w:tcW w:w="1078" w:type="dxa"/>
            <w:tcBorders>
              <w:top w:val="nil"/>
              <w:left w:val="nil"/>
              <w:bottom w:val="nil"/>
              <w:right w:val="nil"/>
            </w:tcBorders>
            <w:shd w:val="clear" w:color="FFFFFF" w:fill="FFFFFF"/>
            <w:noWrap/>
            <w:vAlign w:val="bottom"/>
            <w:hideMark/>
          </w:tcPr>
          <w:p w14:paraId="624CD967" w14:textId="77777777" w:rsidR="00A43992" w:rsidRDefault="00A43992" w:rsidP="007211E3">
            <w:pPr>
              <w:jc w:val="right"/>
              <w:rPr>
                <w:rFonts w:ascii="Arial" w:hAnsi="Arial" w:cs="Arial"/>
                <w:b/>
                <w:bCs/>
                <w:sz w:val="18"/>
                <w:szCs w:val="18"/>
              </w:rPr>
            </w:pPr>
            <w:r>
              <w:rPr>
                <w:rFonts w:ascii="Arial" w:hAnsi="Arial" w:cs="Arial"/>
                <w:b/>
                <w:bCs/>
                <w:sz w:val="18"/>
                <w:szCs w:val="18"/>
              </w:rPr>
              <w:t>18,315</w:t>
            </w:r>
          </w:p>
        </w:tc>
        <w:tc>
          <w:tcPr>
            <w:tcW w:w="236" w:type="dxa"/>
            <w:tcBorders>
              <w:top w:val="nil"/>
              <w:left w:val="nil"/>
              <w:bottom w:val="nil"/>
              <w:right w:val="nil"/>
            </w:tcBorders>
            <w:shd w:val="clear" w:color="FFFFFF" w:fill="FFFFFF"/>
            <w:noWrap/>
            <w:vAlign w:val="bottom"/>
            <w:hideMark/>
          </w:tcPr>
          <w:p w14:paraId="393D3484" w14:textId="77777777" w:rsidR="00A43992" w:rsidRDefault="00A43992" w:rsidP="007211E3">
            <w:pPr>
              <w:rPr>
                <w:rFonts w:ascii="Arial" w:hAnsi="Arial" w:cs="Arial"/>
                <w:sz w:val="18"/>
                <w:szCs w:val="18"/>
              </w:rPr>
            </w:pPr>
            <w:r>
              <w:rPr>
                <w:rFonts w:ascii="Arial" w:hAnsi="Arial" w:cs="Arial"/>
                <w:sz w:val="18"/>
                <w:szCs w:val="18"/>
              </w:rPr>
              <w:t> </w:t>
            </w:r>
          </w:p>
        </w:tc>
        <w:tc>
          <w:tcPr>
            <w:tcW w:w="1030" w:type="dxa"/>
            <w:tcBorders>
              <w:top w:val="nil"/>
              <w:left w:val="nil"/>
              <w:bottom w:val="nil"/>
              <w:right w:val="nil"/>
            </w:tcBorders>
            <w:shd w:val="clear" w:color="FFFFFF" w:fill="FFFFFF"/>
            <w:noWrap/>
            <w:vAlign w:val="bottom"/>
            <w:hideMark/>
          </w:tcPr>
          <w:p w14:paraId="7C146C3D" w14:textId="77777777" w:rsidR="00A43992" w:rsidRDefault="00A43992" w:rsidP="007211E3">
            <w:pPr>
              <w:jc w:val="right"/>
              <w:rPr>
                <w:rFonts w:ascii="Arial" w:hAnsi="Arial" w:cs="Arial"/>
                <w:sz w:val="18"/>
                <w:szCs w:val="18"/>
              </w:rPr>
            </w:pPr>
            <w:r>
              <w:rPr>
                <w:rFonts w:ascii="Arial" w:hAnsi="Arial" w:cs="Arial"/>
                <w:sz w:val="18"/>
                <w:szCs w:val="18"/>
              </w:rPr>
              <w:t>55,075</w:t>
            </w:r>
          </w:p>
        </w:tc>
        <w:tc>
          <w:tcPr>
            <w:tcW w:w="236" w:type="dxa"/>
            <w:tcBorders>
              <w:top w:val="nil"/>
              <w:left w:val="nil"/>
              <w:bottom w:val="nil"/>
              <w:right w:val="nil"/>
            </w:tcBorders>
            <w:shd w:val="clear" w:color="FFFFFF" w:fill="FFFFFF"/>
            <w:noWrap/>
            <w:vAlign w:val="bottom"/>
            <w:hideMark/>
          </w:tcPr>
          <w:p w14:paraId="36895A85" w14:textId="77777777" w:rsidR="00A43992" w:rsidRDefault="00A43992" w:rsidP="007211E3">
            <w:pPr>
              <w:rPr>
                <w:rFonts w:ascii="Arial" w:hAnsi="Arial" w:cs="Arial"/>
                <w:sz w:val="18"/>
                <w:szCs w:val="18"/>
              </w:rPr>
            </w:pPr>
            <w:r>
              <w:rPr>
                <w:rFonts w:ascii="Arial" w:hAnsi="Arial" w:cs="Arial"/>
                <w:sz w:val="18"/>
                <w:szCs w:val="18"/>
              </w:rPr>
              <w:t> </w:t>
            </w:r>
          </w:p>
        </w:tc>
        <w:tc>
          <w:tcPr>
            <w:tcW w:w="1030" w:type="dxa"/>
            <w:tcBorders>
              <w:top w:val="nil"/>
              <w:left w:val="nil"/>
              <w:bottom w:val="nil"/>
              <w:right w:val="nil"/>
            </w:tcBorders>
            <w:shd w:val="clear" w:color="FFFFFF" w:fill="FFFFFF"/>
            <w:noWrap/>
            <w:vAlign w:val="bottom"/>
            <w:hideMark/>
          </w:tcPr>
          <w:p w14:paraId="4E626B9E" w14:textId="77777777" w:rsidR="00A43992" w:rsidRDefault="00A43992" w:rsidP="007211E3">
            <w:pPr>
              <w:jc w:val="right"/>
              <w:rPr>
                <w:rFonts w:ascii="Arial" w:hAnsi="Arial" w:cs="Arial"/>
                <w:sz w:val="18"/>
                <w:szCs w:val="18"/>
              </w:rPr>
            </w:pPr>
            <w:r>
              <w:rPr>
                <w:rFonts w:ascii="Arial" w:hAnsi="Arial" w:cs="Arial"/>
                <w:sz w:val="18"/>
                <w:szCs w:val="18"/>
              </w:rPr>
              <w:t>-</w:t>
            </w:r>
          </w:p>
        </w:tc>
      </w:tr>
      <w:tr w:rsidR="00A43992" w14:paraId="16AF4BCB" w14:textId="77777777" w:rsidTr="007211E3">
        <w:trPr>
          <w:trHeight w:val="255"/>
        </w:trPr>
        <w:tc>
          <w:tcPr>
            <w:tcW w:w="4400" w:type="dxa"/>
            <w:tcBorders>
              <w:top w:val="nil"/>
              <w:left w:val="nil"/>
              <w:bottom w:val="nil"/>
              <w:right w:val="nil"/>
            </w:tcBorders>
            <w:shd w:val="clear" w:color="FFFFFF" w:fill="FFFFFF"/>
            <w:vAlign w:val="bottom"/>
            <w:hideMark/>
          </w:tcPr>
          <w:p w14:paraId="6FD1BF7D" w14:textId="77777777" w:rsidR="00A43992" w:rsidRDefault="00A43992" w:rsidP="007211E3">
            <w:pPr>
              <w:rPr>
                <w:rFonts w:ascii="Arial" w:hAnsi="Arial" w:cs="Arial"/>
                <w:b/>
                <w:bCs/>
                <w:sz w:val="18"/>
                <w:szCs w:val="18"/>
              </w:rPr>
            </w:pPr>
            <w:r>
              <w:rPr>
                <w:rFonts w:ascii="Arial" w:hAnsi="Arial" w:cs="Arial"/>
                <w:b/>
                <w:bCs/>
                <w:sz w:val="18"/>
                <w:szCs w:val="18"/>
              </w:rPr>
              <w:t>Total own-source revenue</w:t>
            </w:r>
          </w:p>
        </w:tc>
        <w:tc>
          <w:tcPr>
            <w:tcW w:w="1077" w:type="dxa"/>
            <w:tcBorders>
              <w:top w:val="nil"/>
              <w:left w:val="nil"/>
              <w:bottom w:val="nil"/>
              <w:right w:val="nil"/>
            </w:tcBorders>
            <w:shd w:val="clear" w:color="FFFFFF" w:fill="FFFFFF"/>
            <w:noWrap/>
            <w:vAlign w:val="bottom"/>
            <w:hideMark/>
          </w:tcPr>
          <w:p w14:paraId="5CAC170B" w14:textId="77777777" w:rsidR="00A43992" w:rsidRDefault="00A43992" w:rsidP="007211E3">
            <w:pPr>
              <w:jc w:val="center"/>
              <w:rPr>
                <w:rFonts w:ascii="Arial" w:hAnsi="Arial" w:cs="Arial"/>
                <w:sz w:val="18"/>
                <w:szCs w:val="18"/>
              </w:rPr>
            </w:pPr>
            <w:r>
              <w:rPr>
                <w:rFonts w:ascii="Arial" w:hAnsi="Arial" w:cs="Arial"/>
                <w:sz w:val="18"/>
                <w:szCs w:val="18"/>
              </w:rPr>
              <w:t> </w:t>
            </w:r>
          </w:p>
        </w:tc>
        <w:tc>
          <w:tcPr>
            <w:tcW w:w="1078" w:type="dxa"/>
            <w:tcBorders>
              <w:top w:val="single" w:sz="4" w:space="0" w:color="auto"/>
              <w:left w:val="nil"/>
              <w:bottom w:val="single" w:sz="4" w:space="0" w:color="auto"/>
              <w:right w:val="nil"/>
            </w:tcBorders>
            <w:shd w:val="clear" w:color="FFFFFF" w:fill="FFFFFF"/>
            <w:noWrap/>
            <w:vAlign w:val="bottom"/>
            <w:hideMark/>
          </w:tcPr>
          <w:p w14:paraId="50FCEBEB" w14:textId="77777777" w:rsidR="00A43992" w:rsidRDefault="00A43992" w:rsidP="007211E3">
            <w:pPr>
              <w:jc w:val="right"/>
              <w:rPr>
                <w:rFonts w:ascii="Arial" w:hAnsi="Arial" w:cs="Arial"/>
                <w:b/>
                <w:bCs/>
                <w:sz w:val="18"/>
                <w:szCs w:val="18"/>
              </w:rPr>
            </w:pPr>
            <w:r>
              <w:rPr>
                <w:rFonts w:ascii="Arial" w:hAnsi="Arial" w:cs="Arial"/>
                <w:b/>
                <w:bCs/>
                <w:sz w:val="18"/>
                <w:szCs w:val="18"/>
              </w:rPr>
              <w:t>311,441</w:t>
            </w:r>
          </w:p>
        </w:tc>
        <w:tc>
          <w:tcPr>
            <w:tcW w:w="236" w:type="dxa"/>
            <w:tcBorders>
              <w:top w:val="nil"/>
              <w:left w:val="nil"/>
              <w:bottom w:val="nil"/>
              <w:right w:val="nil"/>
            </w:tcBorders>
            <w:shd w:val="clear" w:color="FFFFFF" w:fill="FFFFFF"/>
            <w:noWrap/>
            <w:vAlign w:val="bottom"/>
            <w:hideMark/>
          </w:tcPr>
          <w:p w14:paraId="11F377EE" w14:textId="77777777" w:rsidR="00A43992" w:rsidRDefault="00A43992" w:rsidP="007211E3">
            <w:pPr>
              <w:rPr>
                <w:rFonts w:ascii="Arial" w:hAnsi="Arial" w:cs="Arial"/>
                <w:sz w:val="18"/>
                <w:szCs w:val="18"/>
              </w:rPr>
            </w:pPr>
            <w:r>
              <w:rPr>
                <w:rFonts w:ascii="Arial" w:hAnsi="Arial" w:cs="Arial"/>
                <w:sz w:val="18"/>
                <w:szCs w:val="18"/>
              </w:rPr>
              <w:t> </w:t>
            </w:r>
          </w:p>
        </w:tc>
        <w:tc>
          <w:tcPr>
            <w:tcW w:w="1030" w:type="dxa"/>
            <w:tcBorders>
              <w:top w:val="single" w:sz="4" w:space="0" w:color="auto"/>
              <w:left w:val="nil"/>
              <w:bottom w:val="single" w:sz="4" w:space="0" w:color="auto"/>
              <w:right w:val="nil"/>
            </w:tcBorders>
            <w:shd w:val="clear" w:color="FFFFFF" w:fill="FFFFFF"/>
            <w:noWrap/>
            <w:vAlign w:val="bottom"/>
            <w:hideMark/>
          </w:tcPr>
          <w:p w14:paraId="444CABF8" w14:textId="77777777" w:rsidR="00A43992" w:rsidRDefault="00A43992" w:rsidP="007211E3">
            <w:pPr>
              <w:jc w:val="right"/>
              <w:rPr>
                <w:rFonts w:ascii="Arial" w:hAnsi="Arial" w:cs="Arial"/>
                <w:sz w:val="18"/>
                <w:szCs w:val="18"/>
              </w:rPr>
            </w:pPr>
            <w:r>
              <w:rPr>
                <w:rFonts w:ascii="Arial" w:hAnsi="Arial" w:cs="Arial"/>
                <w:sz w:val="18"/>
                <w:szCs w:val="18"/>
              </w:rPr>
              <w:t>201,454</w:t>
            </w:r>
          </w:p>
        </w:tc>
        <w:tc>
          <w:tcPr>
            <w:tcW w:w="236" w:type="dxa"/>
            <w:tcBorders>
              <w:top w:val="nil"/>
              <w:left w:val="nil"/>
              <w:bottom w:val="nil"/>
              <w:right w:val="nil"/>
            </w:tcBorders>
            <w:shd w:val="clear" w:color="FFFFFF" w:fill="FFFFFF"/>
            <w:noWrap/>
            <w:vAlign w:val="bottom"/>
            <w:hideMark/>
          </w:tcPr>
          <w:p w14:paraId="4C6E2003" w14:textId="77777777" w:rsidR="00A43992" w:rsidRDefault="00A43992" w:rsidP="007211E3">
            <w:pPr>
              <w:rPr>
                <w:rFonts w:ascii="Arial" w:hAnsi="Arial" w:cs="Arial"/>
                <w:sz w:val="18"/>
                <w:szCs w:val="18"/>
              </w:rPr>
            </w:pPr>
            <w:r>
              <w:rPr>
                <w:rFonts w:ascii="Arial" w:hAnsi="Arial" w:cs="Arial"/>
                <w:sz w:val="18"/>
                <w:szCs w:val="18"/>
              </w:rPr>
              <w:t> </w:t>
            </w:r>
          </w:p>
        </w:tc>
        <w:tc>
          <w:tcPr>
            <w:tcW w:w="1030" w:type="dxa"/>
            <w:tcBorders>
              <w:top w:val="single" w:sz="4" w:space="0" w:color="auto"/>
              <w:left w:val="nil"/>
              <w:bottom w:val="single" w:sz="4" w:space="0" w:color="auto"/>
              <w:right w:val="nil"/>
            </w:tcBorders>
            <w:shd w:val="clear" w:color="FFFFFF" w:fill="FFFFFF"/>
            <w:noWrap/>
            <w:vAlign w:val="bottom"/>
            <w:hideMark/>
          </w:tcPr>
          <w:p w14:paraId="37CEE18A" w14:textId="77777777" w:rsidR="00A43992" w:rsidRDefault="00A43992" w:rsidP="007211E3">
            <w:pPr>
              <w:jc w:val="right"/>
              <w:rPr>
                <w:rFonts w:ascii="Arial" w:hAnsi="Arial" w:cs="Arial"/>
                <w:sz w:val="18"/>
                <w:szCs w:val="18"/>
              </w:rPr>
            </w:pPr>
            <w:r>
              <w:rPr>
                <w:rFonts w:ascii="Arial" w:hAnsi="Arial" w:cs="Arial"/>
                <w:sz w:val="18"/>
                <w:szCs w:val="18"/>
              </w:rPr>
              <w:t>304,575</w:t>
            </w:r>
          </w:p>
        </w:tc>
      </w:tr>
      <w:tr w:rsidR="00A43992" w14:paraId="4D573663" w14:textId="77777777" w:rsidTr="007211E3">
        <w:trPr>
          <w:trHeight w:val="255"/>
        </w:trPr>
        <w:tc>
          <w:tcPr>
            <w:tcW w:w="4400" w:type="dxa"/>
            <w:tcBorders>
              <w:top w:val="nil"/>
              <w:left w:val="nil"/>
              <w:bottom w:val="nil"/>
              <w:right w:val="nil"/>
            </w:tcBorders>
            <w:shd w:val="clear" w:color="FFFFFF" w:fill="FFFFFF"/>
            <w:vAlign w:val="bottom"/>
            <w:hideMark/>
          </w:tcPr>
          <w:p w14:paraId="5DFB6A5C" w14:textId="77777777" w:rsidR="00A43992" w:rsidRDefault="00A43992" w:rsidP="007211E3">
            <w:pPr>
              <w:rPr>
                <w:rFonts w:ascii="Arial" w:hAnsi="Arial" w:cs="Arial"/>
                <w:sz w:val="18"/>
                <w:szCs w:val="18"/>
              </w:rPr>
            </w:pPr>
            <w:r>
              <w:rPr>
                <w:rFonts w:ascii="Arial" w:hAnsi="Arial" w:cs="Arial"/>
                <w:sz w:val="18"/>
                <w:szCs w:val="18"/>
              </w:rPr>
              <w:t> </w:t>
            </w:r>
          </w:p>
        </w:tc>
        <w:tc>
          <w:tcPr>
            <w:tcW w:w="1077" w:type="dxa"/>
            <w:tcBorders>
              <w:top w:val="nil"/>
              <w:left w:val="nil"/>
              <w:bottom w:val="nil"/>
              <w:right w:val="nil"/>
            </w:tcBorders>
            <w:shd w:val="clear" w:color="FFFFFF" w:fill="FFFFFF"/>
            <w:noWrap/>
            <w:vAlign w:val="bottom"/>
            <w:hideMark/>
          </w:tcPr>
          <w:p w14:paraId="112C2D6E" w14:textId="77777777" w:rsidR="00A43992" w:rsidRDefault="00A43992" w:rsidP="007211E3">
            <w:pPr>
              <w:jc w:val="center"/>
              <w:rPr>
                <w:rFonts w:ascii="Arial" w:hAnsi="Arial" w:cs="Arial"/>
                <w:sz w:val="18"/>
                <w:szCs w:val="18"/>
              </w:rPr>
            </w:pPr>
            <w:r>
              <w:rPr>
                <w:rFonts w:ascii="Arial" w:hAnsi="Arial" w:cs="Arial"/>
                <w:sz w:val="18"/>
                <w:szCs w:val="18"/>
              </w:rPr>
              <w:t> </w:t>
            </w:r>
          </w:p>
        </w:tc>
        <w:tc>
          <w:tcPr>
            <w:tcW w:w="1078" w:type="dxa"/>
            <w:tcBorders>
              <w:top w:val="nil"/>
              <w:left w:val="nil"/>
              <w:bottom w:val="nil"/>
              <w:right w:val="nil"/>
            </w:tcBorders>
            <w:shd w:val="clear" w:color="FFFFFF" w:fill="FFFFFF"/>
            <w:noWrap/>
            <w:vAlign w:val="bottom"/>
            <w:hideMark/>
          </w:tcPr>
          <w:p w14:paraId="66D79EEA" w14:textId="77777777" w:rsidR="00A43992" w:rsidRDefault="00A43992" w:rsidP="007211E3">
            <w:pPr>
              <w:jc w:val="right"/>
              <w:rPr>
                <w:rFonts w:ascii="Arial" w:hAnsi="Arial" w:cs="Arial"/>
                <w:b/>
                <w:bCs/>
                <w:sz w:val="18"/>
                <w:szCs w:val="18"/>
              </w:rPr>
            </w:pPr>
            <w:r>
              <w:rPr>
                <w:rFonts w:ascii="Arial" w:hAnsi="Arial" w:cs="Arial"/>
                <w:b/>
                <w:bCs/>
                <w:sz w:val="18"/>
                <w:szCs w:val="18"/>
              </w:rPr>
              <w:t> </w:t>
            </w:r>
          </w:p>
        </w:tc>
        <w:tc>
          <w:tcPr>
            <w:tcW w:w="236" w:type="dxa"/>
            <w:tcBorders>
              <w:top w:val="nil"/>
              <w:left w:val="nil"/>
              <w:bottom w:val="nil"/>
              <w:right w:val="nil"/>
            </w:tcBorders>
            <w:shd w:val="clear" w:color="FFFFFF" w:fill="FFFFFF"/>
            <w:noWrap/>
            <w:vAlign w:val="bottom"/>
            <w:hideMark/>
          </w:tcPr>
          <w:p w14:paraId="78F85B8F" w14:textId="77777777" w:rsidR="00A43992" w:rsidRDefault="00A43992" w:rsidP="007211E3">
            <w:pPr>
              <w:rPr>
                <w:rFonts w:ascii="Arial" w:hAnsi="Arial" w:cs="Arial"/>
                <w:sz w:val="18"/>
                <w:szCs w:val="18"/>
              </w:rPr>
            </w:pPr>
            <w:r>
              <w:rPr>
                <w:rFonts w:ascii="Arial" w:hAnsi="Arial" w:cs="Arial"/>
                <w:sz w:val="18"/>
                <w:szCs w:val="18"/>
              </w:rPr>
              <w:t> </w:t>
            </w:r>
          </w:p>
        </w:tc>
        <w:tc>
          <w:tcPr>
            <w:tcW w:w="1030" w:type="dxa"/>
            <w:tcBorders>
              <w:top w:val="nil"/>
              <w:left w:val="nil"/>
              <w:bottom w:val="nil"/>
              <w:right w:val="nil"/>
            </w:tcBorders>
            <w:shd w:val="clear" w:color="FFFFFF" w:fill="FFFFFF"/>
            <w:noWrap/>
            <w:vAlign w:val="bottom"/>
            <w:hideMark/>
          </w:tcPr>
          <w:p w14:paraId="6ADD7402" w14:textId="77777777" w:rsidR="00A43992" w:rsidRDefault="00A43992" w:rsidP="007211E3">
            <w:pPr>
              <w:jc w:val="right"/>
              <w:rPr>
                <w:rFonts w:ascii="Arial" w:hAnsi="Arial" w:cs="Arial"/>
                <w:sz w:val="18"/>
                <w:szCs w:val="18"/>
              </w:rPr>
            </w:pPr>
            <w:r>
              <w:rPr>
                <w:rFonts w:ascii="Arial" w:hAnsi="Arial" w:cs="Arial"/>
                <w:sz w:val="18"/>
                <w:szCs w:val="18"/>
              </w:rPr>
              <w:t> </w:t>
            </w:r>
          </w:p>
        </w:tc>
        <w:tc>
          <w:tcPr>
            <w:tcW w:w="236" w:type="dxa"/>
            <w:tcBorders>
              <w:top w:val="nil"/>
              <w:left w:val="nil"/>
              <w:bottom w:val="nil"/>
              <w:right w:val="nil"/>
            </w:tcBorders>
            <w:shd w:val="clear" w:color="FFFFFF" w:fill="FFFFFF"/>
            <w:noWrap/>
            <w:vAlign w:val="bottom"/>
            <w:hideMark/>
          </w:tcPr>
          <w:p w14:paraId="4CB862B1" w14:textId="77777777" w:rsidR="00A43992" w:rsidRDefault="00A43992" w:rsidP="007211E3">
            <w:pPr>
              <w:rPr>
                <w:rFonts w:ascii="Arial" w:hAnsi="Arial" w:cs="Arial"/>
                <w:sz w:val="18"/>
                <w:szCs w:val="18"/>
              </w:rPr>
            </w:pPr>
            <w:r>
              <w:rPr>
                <w:rFonts w:ascii="Arial" w:hAnsi="Arial" w:cs="Arial"/>
                <w:sz w:val="18"/>
                <w:szCs w:val="18"/>
              </w:rPr>
              <w:t> </w:t>
            </w:r>
          </w:p>
        </w:tc>
        <w:tc>
          <w:tcPr>
            <w:tcW w:w="1030" w:type="dxa"/>
            <w:tcBorders>
              <w:top w:val="nil"/>
              <w:left w:val="nil"/>
              <w:bottom w:val="nil"/>
              <w:right w:val="nil"/>
            </w:tcBorders>
            <w:shd w:val="clear" w:color="FFFFFF" w:fill="FFFFFF"/>
            <w:noWrap/>
            <w:vAlign w:val="bottom"/>
            <w:hideMark/>
          </w:tcPr>
          <w:p w14:paraId="58AF04C7" w14:textId="77777777" w:rsidR="00A43992" w:rsidRDefault="00A43992" w:rsidP="007211E3">
            <w:pPr>
              <w:jc w:val="right"/>
              <w:rPr>
                <w:rFonts w:ascii="Arial" w:hAnsi="Arial" w:cs="Arial"/>
                <w:sz w:val="18"/>
                <w:szCs w:val="18"/>
              </w:rPr>
            </w:pPr>
            <w:r>
              <w:rPr>
                <w:rFonts w:ascii="Arial" w:hAnsi="Arial" w:cs="Arial"/>
                <w:sz w:val="18"/>
                <w:szCs w:val="18"/>
              </w:rPr>
              <w:t> </w:t>
            </w:r>
          </w:p>
        </w:tc>
      </w:tr>
      <w:tr w:rsidR="00A43992" w14:paraId="292C1B22" w14:textId="77777777" w:rsidTr="007211E3">
        <w:trPr>
          <w:trHeight w:val="255"/>
        </w:trPr>
        <w:tc>
          <w:tcPr>
            <w:tcW w:w="4400" w:type="dxa"/>
            <w:tcBorders>
              <w:top w:val="nil"/>
              <w:left w:val="nil"/>
              <w:bottom w:val="nil"/>
              <w:right w:val="nil"/>
            </w:tcBorders>
            <w:shd w:val="clear" w:color="FFFFFF" w:fill="FFFFFF"/>
            <w:vAlign w:val="bottom"/>
            <w:hideMark/>
          </w:tcPr>
          <w:p w14:paraId="25CE439E" w14:textId="77777777" w:rsidR="00A43992" w:rsidRDefault="00A43992" w:rsidP="007211E3">
            <w:pPr>
              <w:rPr>
                <w:rFonts w:ascii="Arial" w:hAnsi="Arial" w:cs="Arial"/>
                <w:b/>
                <w:bCs/>
                <w:sz w:val="18"/>
                <w:szCs w:val="18"/>
              </w:rPr>
            </w:pPr>
            <w:r>
              <w:rPr>
                <w:rFonts w:ascii="Arial" w:hAnsi="Arial" w:cs="Arial"/>
                <w:b/>
                <w:bCs/>
                <w:sz w:val="18"/>
                <w:szCs w:val="18"/>
              </w:rPr>
              <w:t>Gains</w:t>
            </w:r>
          </w:p>
        </w:tc>
        <w:tc>
          <w:tcPr>
            <w:tcW w:w="1077" w:type="dxa"/>
            <w:tcBorders>
              <w:top w:val="nil"/>
              <w:left w:val="nil"/>
              <w:bottom w:val="nil"/>
              <w:right w:val="nil"/>
            </w:tcBorders>
            <w:shd w:val="clear" w:color="FFFFFF" w:fill="FFFFFF"/>
            <w:noWrap/>
            <w:vAlign w:val="bottom"/>
            <w:hideMark/>
          </w:tcPr>
          <w:p w14:paraId="7504BB18" w14:textId="77777777" w:rsidR="00A43992" w:rsidRDefault="00A43992" w:rsidP="007211E3">
            <w:pPr>
              <w:jc w:val="center"/>
              <w:rPr>
                <w:rFonts w:ascii="Arial" w:hAnsi="Arial" w:cs="Arial"/>
                <w:sz w:val="18"/>
                <w:szCs w:val="18"/>
              </w:rPr>
            </w:pPr>
            <w:r>
              <w:rPr>
                <w:rFonts w:ascii="Arial" w:hAnsi="Arial" w:cs="Arial"/>
                <w:sz w:val="18"/>
                <w:szCs w:val="18"/>
              </w:rPr>
              <w:t> </w:t>
            </w:r>
          </w:p>
        </w:tc>
        <w:tc>
          <w:tcPr>
            <w:tcW w:w="1078" w:type="dxa"/>
            <w:tcBorders>
              <w:top w:val="nil"/>
              <w:left w:val="nil"/>
              <w:bottom w:val="nil"/>
              <w:right w:val="nil"/>
            </w:tcBorders>
            <w:shd w:val="clear" w:color="FFFFFF" w:fill="FFFFFF"/>
            <w:noWrap/>
            <w:vAlign w:val="bottom"/>
            <w:hideMark/>
          </w:tcPr>
          <w:p w14:paraId="518A787C" w14:textId="77777777" w:rsidR="00A43992" w:rsidRDefault="00A43992" w:rsidP="007211E3">
            <w:pPr>
              <w:jc w:val="right"/>
              <w:rPr>
                <w:rFonts w:ascii="Arial" w:hAnsi="Arial" w:cs="Arial"/>
                <w:b/>
                <w:bCs/>
                <w:sz w:val="18"/>
                <w:szCs w:val="18"/>
              </w:rPr>
            </w:pPr>
            <w:r>
              <w:rPr>
                <w:rFonts w:ascii="Arial" w:hAnsi="Arial" w:cs="Arial"/>
                <w:b/>
                <w:bCs/>
                <w:sz w:val="18"/>
                <w:szCs w:val="18"/>
              </w:rPr>
              <w:t> </w:t>
            </w:r>
          </w:p>
        </w:tc>
        <w:tc>
          <w:tcPr>
            <w:tcW w:w="236" w:type="dxa"/>
            <w:tcBorders>
              <w:top w:val="nil"/>
              <w:left w:val="nil"/>
              <w:bottom w:val="nil"/>
              <w:right w:val="nil"/>
            </w:tcBorders>
            <w:shd w:val="clear" w:color="FFFFFF" w:fill="FFFFFF"/>
            <w:noWrap/>
            <w:vAlign w:val="bottom"/>
            <w:hideMark/>
          </w:tcPr>
          <w:p w14:paraId="483D151F" w14:textId="77777777" w:rsidR="00A43992" w:rsidRDefault="00A43992" w:rsidP="007211E3">
            <w:pPr>
              <w:rPr>
                <w:rFonts w:ascii="Arial" w:hAnsi="Arial" w:cs="Arial"/>
                <w:sz w:val="18"/>
                <w:szCs w:val="18"/>
              </w:rPr>
            </w:pPr>
            <w:r>
              <w:rPr>
                <w:rFonts w:ascii="Arial" w:hAnsi="Arial" w:cs="Arial"/>
                <w:sz w:val="18"/>
                <w:szCs w:val="18"/>
              </w:rPr>
              <w:t> </w:t>
            </w:r>
          </w:p>
        </w:tc>
        <w:tc>
          <w:tcPr>
            <w:tcW w:w="1030" w:type="dxa"/>
            <w:tcBorders>
              <w:top w:val="nil"/>
              <w:left w:val="nil"/>
              <w:bottom w:val="nil"/>
              <w:right w:val="nil"/>
            </w:tcBorders>
            <w:shd w:val="clear" w:color="FFFFFF" w:fill="FFFFFF"/>
            <w:noWrap/>
            <w:vAlign w:val="bottom"/>
            <w:hideMark/>
          </w:tcPr>
          <w:p w14:paraId="6A602B90" w14:textId="77777777" w:rsidR="00A43992" w:rsidRDefault="00A43992" w:rsidP="007211E3">
            <w:pPr>
              <w:jc w:val="right"/>
              <w:rPr>
                <w:rFonts w:ascii="Arial" w:hAnsi="Arial" w:cs="Arial"/>
                <w:sz w:val="18"/>
                <w:szCs w:val="18"/>
              </w:rPr>
            </w:pPr>
            <w:r>
              <w:rPr>
                <w:rFonts w:ascii="Arial" w:hAnsi="Arial" w:cs="Arial"/>
                <w:sz w:val="18"/>
                <w:szCs w:val="18"/>
              </w:rPr>
              <w:t> </w:t>
            </w:r>
          </w:p>
        </w:tc>
        <w:tc>
          <w:tcPr>
            <w:tcW w:w="236" w:type="dxa"/>
            <w:tcBorders>
              <w:top w:val="nil"/>
              <w:left w:val="nil"/>
              <w:bottom w:val="nil"/>
              <w:right w:val="nil"/>
            </w:tcBorders>
            <w:shd w:val="clear" w:color="FFFFFF" w:fill="FFFFFF"/>
            <w:noWrap/>
            <w:vAlign w:val="bottom"/>
            <w:hideMark/>
          </w:tcPr>
          <w:p w14:paraId="06742356" w14:textId="77777777" w:rsidR="00A43992" w:rsidRDefault="00A43992" w:rsidP="007211E3">
            <w:pPr>
              <w:rPr>
                <w:rFonts w:ascii="Arial" w:hAnsi="Arial" w:cs="Arial"/>
                <w:sz w:val="18"/>
                <w:szCs w:val="18"/>
              </w:rPr>
            </w:pPr>
            <w:r>
              <w:rPr>
                <w:rFonts w:ascii="Arial" w:hAnsi="Arial" w:cs="Arial"/>
                <w:sz w:val="18"/>
                <w:szCs w:val="18"/>
              </w:rPr>
              <w:t> </w:t>
            </w:r>
          </w:p>
        </w:tc>
        <w:tc>
          <w:tcPr>
            <w:tcW w:w="1030" w:type="dxa"/>
            <w:tcBorders>
              <w:top w:val="nil"/>
              <w:left w:val="nil"/>
              <w:bottom w:val="nil"/>
              <w:right w:val="nil"/>
            </w:tcBorders>
            <w:shd w:val="clear" w:color="FFFFFF" w:fill="FFFFFF"/>
            <w:noWrap/>
            <w:vAlign w:val="bottom"/>
            <w:hideMark/>
          </w:tcPr>
          <w:p w14:paraId="307C3C90" w14:textId="77777777" w:rsidR="00A43992" w:rsidRDefault="00A43992" w:rsidP="007211E3">
            <w:pPr>
              <w:jc w:val="right"/>
              <w:rPr>
                <w:rFonts w:ascii="Arial" w:hAnsi="Arial" w:cs="Arial"/>
                <w:sz w:val="18"/>
                <w:szCs w:val="18"/>
              </w:rPr>
            </w:pPr>
            <w:r>
              <w:rPr>
                <w:rFonts w:ascii="Arial" w:hAnsi="Arial" w:cs="Arial"/>
                <w:sz w:val="18"/>
                <w:szCs w:val="18"/>
              </w:rPr>
              <w:t> </w:t>
            </w:r>
          </w:p>
        </w:tc>
      </w:tr>
      <w:tr w:rsidR="00A43992" w14:paraId="2E3F9EA7" w14:textId="77777777" w:rsidTr="007211E3">
        <w:trPr>
          <w:trHeight w:val="255"/>
        </w:trPr>
        <w:tc>
          <w:tcPr>
            <w:tcW w:w="4400" w:type="dxa"/>
            <w:tcBorders>
              <w:top w:val="nil"/>
              <w:left w:val="nil"/>
              <w:bottom w:val="nil"/>
              <w:right w:val="nil"/>
            </w:tcBorders>
            <w:shd w:val="clear" w:color="FFFFFF" w:fill="FFFFFF"/>
            <w:vAlign w:val="bottom"/>
            <w:hideMark/>
          </w:tcPr>
          <w:p w14:paraId="1C19B162" w14:textId="77777777" w:rsidR="00A43992" w:rsidRDefault="00A43992" w:rsidP="007211E3">
            <w:pPr>
              <w:ind w:firstLineChars="100" w:firstLine="180"/>
              <w:rPr>
                <w:rFonts w:ascii="Arial" w:hAnsi="Arial" w:cs="Arial"/>
                <w:sz w:val="18"/>
                <w:szCs w:val="18"/>
              </w:rPr>
            </w:pPr>
            <w:r>
              <w:rPr>
                <w:rFonts w:ascii="Arial" w:hAnsi="Arial" w:cs="Arial"/>
                <w:sz w:val="18"/>
                <w:szCs w:val="18"/>
              </w:rPr>
              <w:t>Other gains</w:t>
            </w:r>
          </w:p>
        </w:tc>
        <w:tc>
          <w:tcPr>
            <w:tcW w:w="1077" w:type="dxa"/>
            <w:tcBorders>
              <w:top w:val="nil"/>
              <w:left w:val="nil"/>
              <w:bottom w:val="nil"/>
              <w:right w:val="nil"/>
            </w:tcBorders>
            <w:shd w:val="clear" w:color="FFFFFF" w:fill="FFFFFF"/>
            <w:noWrap/>
            <w:vAlign w:val="bottom"/>
            <w:hideMark/>
          </w:tcPr>
          <w:p w14:paraId="20B6C1C3" w14:textId="77777777" w:rsidR="00A43992" w:rsidRDefault="00A43992" w:rsidP="007211E3">
            <w:pPr>
              <w:jc w:val="center"/>
              <w:rPr>
                <w:rFonts w:ascii="Arial" w:hAnsi="Arial" w:cs="Arial"/>
                <w:sz w:val="18"/>
                <w:szCs w:val="18"/>
              </w:rPr>
            </w:pPr>
            <w:r>
              <w:rPr>
                <w:rFonts w:ascii="Arial" w:hAnsi="Arial" w:cs="Arial"/>
                <w:sz w:val="18"/>
                <w:szCs w:val="18"/>
              </w:rPr>
              <w:t>1.2D</w:t>
            </w:r>
          </w:p>
        </w:tc>
        <w:tc>
          <w:tcPr>
            <w:tcW w:w="1078" w:type="dxa"/>
            <w:tcBorders>
              <w:top w:val="nil"/>
              <w:left w:val="nil"/>
              <w:bottom w:val="nil"/>
              <w:right w:val="nil"/>
            </w:tcBorders>
            <w:shd w:val="clear" w:color="FFFFFF" w:fill="FFFFFF"/>
            <w:noWrap/>
            <w:vAlign w:val="bottom"/>
            <w:hideMark/>
          </w:tcPr>
          <w:p w14:paraId="1E34226B" w14:textId="77777777" w:rsidR="00A43992" w:rsidRPr="00267088" w:rsidRDefault="00A43992" w:rsidP="007211E3">
            <w:pPr>
              <w:jc w:val="right"/>
              <w:rPr>
                <w:rFonts w:ascii="Arial" w:hAnsi="Arial" w:cs="Arial"/>
                <w:b/>
                <w:bCs/>
                <w:sz w:val="18"/>
                <w:szCs w:val="18"/>
              </w:rPr>
            </w:pPr>
            <w:r w:rsidRPr="00267088">
              <w:rPr>
                <w:rFonts w:ascii="Arial" w:hAnsi="Arial" w:cs="Arial"/>
                <w:b/>
                <w:bCs/>
                <w:sz w:val="18"/>
                <w:szCs w:val="18"/>
              </w:rPr>
              <w:t>197,507</w:t>
            </w:r>
          </w:p>
        </w:tc>
        <w:tc>
          <w:tcPr>
            <w:tcW w:w="236" w:type="dxa"/>
            <w:tcBorders>
              <w:top w:val="nil"/>
              <w:left w:val="nil"/>
              <w:bottom w:val="nil"/>
              <w:right w:val="nil"/>
            </w:tcBorders>
            <w:shd w:val="clear" w:color="FFFFFF" w:fill="FFFFFF"/>
            <w:noWrap/>
            <w:vAlign w:val="bottom"/>
            <w:hideMark/>
          </w:tcPr>
          <w:p w14:paraId="51192EC6" w14:textId="77777777" w:rsidR="00A43992" w:rsidRDefault="00A43992" w:rsidP="007211E3">
            <w:pPr>
              <w:rPr>
                <w:rFonts w:ascii="Arial" w:hAnsi="Arial" w:cs="Arial"/>
                <w:sz w:val="18"/>
                <w:szCs w:val="18"/>
              </w:rPr>
            </w:pPr>
            <w:r>
              <w:rPr>
                <w:rFonts w:ascii="Arial" w:hAnsi="Arial" w:cs="Arial"/>
                <w:sz w:val="18"/>
                <w:szCs w:val="18"/>
              </w:rPr>
              <w:t> </w:t>
            </w:r>
          </w:p>
        </w:tc>
        <w:tc>
          <w:tcPr>
            <w:tcW w:w="1030" w:type="dxa"/>
            <w:tcBorders>
              <w:top w:val="nil"/>
              <w:left w:val="nil"/>
              <w:bottom w:val="nil"/>
              <w:right w:val="nil"/>
            </w:tcBorders>
            <w:shd w:val="clear" w:color="FFFFFF" w:fill="FFFFFF"/>
            <w:noWrap/>
            <w:vAlign w:val="bottom"/>
            <w:hideMark/>
          </w:tcPr>
          <w:p w14:paraId="4E243BD8" w14:textId="77777777" w:rsidR="00A43992" w:rsidRDefault="00A43992" w:rsidP="007211E3">
            <w:pPr>
              <w:jc w:val="right"/>
              <w:rPr>
                <w:rFonts w:ascii="Arial" w:hAnsi="Arial" w:cs="Arial"/>
                <w:sz w:val="18"/>
                <w:szCs w:val="18"/>
              </w:rPr>
            </w:pPr>
            <w:r>
              <w:rPr>
                <w:rFonts w:ascii="Arial" w:hAnsi="Arial" w:cs="Arial"/>
                <w:sz w:val="18"/>
                <w:szCs w:val="18"/>
              </w:rPr>
              <w:t>126,584</w:t>
            </w:r>
          </w:p>
        </w:tc>
        <w:tc>
          <w:tcPr>
            <w:tcW w:w="236" w:type="dxa"/>
            <w:tcBorders>
              <w:top w:val="nil"/>
              <w:left w:val="nil"/>
              <w:bottom w:val="nil"/>
              <w:right w:val="nil"/>
            </w:tcBorders>
            <w:shd w:val="clear" w:color="FFFFFF" w:fill="FFFFFF"/>
            <w:noWrap/>
            <w:vAlign w:val="bottom"/>
            <w:hideMark/>
          </w:tcPr>
          <w:p w14:paraId="5F18A61B" w14:textId="77777777" w:rsidR="00A43992" w:rsidRDefault="00A43992" w:rsidP="007211E3">
            <w:pPr>
              <w:rPr>
                <w:rFonts w:ascii="Arial" w:hAnsi="Arial" w:cs="Arial"/>
                <w:sz w:val="18"/>
                <w:szCs w:val="18"/>
              </w:rPr>
            </w:pPr>
            <w:r>
              <w:rPr>
                <w:rFonts w:ascii="Arial" w:hAnsi="Arial" w:cs="Arial"/>
                <w:sz w:val="18"/>
                <w:szCs w:val="18"/>
              </w:rPr>
              <w:t> </w:t>
            </w:r>
          </w:p>
        </w:tc>
        <w:tc>
          <w:tcPr>
            <w:tcW w:w="1030" w:type="dxa"/>
            <w:tcBorders>
              <w:top w:val="nil"/>
              <w:left w:val="nil"/>
              <w:bottom w:val="nil"/>
              <w:right w:val="nil"/>
            </w:tcBorders>
            <w:shd w:val="clear" w:color="FFFFFF" w:fill="FFFFFF"/>
            <w:noWrap/>
            <w:vAlign w:val="bottom"/>
            <w:hideMark/>
          </w:tcPr>
          <w:p w14:paraId="4FA95571" w14:textId="77777777" w:rsidR="00A43992" w:rsidRDefault="00A43992" w:rsidP="007211E3">
            <w:pPr>
              <w:jc w:val="right"/>
              <w:rPr>
                <w:rFonts w:ascii="Arial" w:hAnsi="Arial" w:cs="Arial"/>
                <w:sz w:val="18"/>
                <w:szCs w:val="18"/>
              </w:rPr>
            </w:pPr>
            <w:r>
              <w:rPr>
                <w:rFonts w:ascii="Arial" w:hAnsi="Arial" w:cs="Arial"/>
                <w:sz w:val="18"/>
                <w:szCs w:val="18"/>
              </w:rPr>
              <w:t>300,514</w:t>
            </w:r>
          </w:p>
        </w:tc>
      </w:tr>
      <w:tr w:rsidR="00A43992" w14:paraId="21425725" w14:textId="77777777" w:rsidTr="007211E3">
        <w:trPr>
          <w:trHeight w:val="255"/>
        </w:trPr>
        <w:tc>
          <w:tcPr>
            <w:tcW w:w="4400" w:type="dxa"/>
            <w:tcBorders>
              <w:top w:val="nil"/>
              <w:left w:val="nil"/>
              <w:bottom w:val="nil"/>
              <w:right w:val="nil"/>
            </w:tcBorders>
            <w:shd w:val="clear" w:color="FFFFFF" w:fill="FFFFFF"/>
            <w:vAlign w:val="bottom"/>
            <w:hideMark/>
          </w:tcPr>
          <w:p w14:paraId="59B634E6" w14:textId="77777777" w:rsidR="00A43992" w:rsidRDefault="00A43992" w:rsidP="007211E3">
            <w:pPr>
              <w:rPr>
                <w:rFonts w:ascii="Arial" w:hAnsi="Arial" w:cs="Arial"/>
                <w:b/>
                <w:bCs/>
                <w:sz w:val="18"/>
                <w:szCs w:val="18"/>
              </w:rPr>
            </w:pPr>
            <w:r>
              <w:rPr>
                <w:rFonts w:ascii="Arial" w:hAnsi="Arial" w:cs="Arial"/>
                <w:b/>
                <w:bCs/>
                <w:sz w:val="18"/>
                <w:szCs w:val="18"/>
              </w:rPr>
              <w:t>Total gains</w:t>
            </w:r>
          </w:p>
        </w:tc>
        <w:tc>
          <w:tcPr>
            <w:tcW w:w="1077" w:type="dxa"/>
            <w:tcBorders>
              <w:top w:val="nil"/>
              <w:left w:val="nil"/>
              <w:bottom w:val="nil"/>
              <w:right w:val="nil"/>
            </w:tcBorders>
            <w:shd w:val="clear" w:color="FFFFFF" w:fill="FFFFFF"/>
            <w:noWrap/>
            <w:vAlign w:val="bottom"/>
            <w:hideMark/>
          </w:tcPr>
          <w:p w14:paraId="3E18394A" w14:textId="77777777" w:rsidR="00A43992" w:rsidRDefault="00A43992" w:rsidP="007211E3">
            <w:pPr>
              <w:jc w:val="center"/>
              <w:rPr>
                <w:rFonts w:ascii="Arial" w:hAnsi="Arial" w:cs="Arial"/>
                <w:sz w:val="18"/>
                <w:szCs w:val="18"/>
              </w:rPr>
            </w:pPr>
            <w:r>
              <w:rPr>
                <w:rFonts w:ascii="Arial" w:hAnsi="Arial" w:cs="Arial"/>
                <w:sz w:val="18"/>
                <w:szCs w:val="18"/>
              </w:rPr>
              <w:t> </w:t>
            </w:r>
          </w:p>
        </w:tc>
        <w:tc>
          <w:tcPr>
            <w:tcW w:w="1078" w:type="dxa"/>
            <w:tcBorders>
              <w:top w:val="single" w:sz="4" w:space="0" w:color="auto"/>
              <w:left w:val="nil"/>
              <w:bottom w:val="single" w:sz="4" w:space="0" w:color="auto"/>
              <w:right w:val="nil"/>
            </w:tcBorders>
            <w:shd w:val="clear" w:color="FFFFFF" w:fill="FFFFFF"/>
            <w:noWrap/>
            <w:vAlign w:val="bottom"/>
            <w:hideMark/>
          </w:tcPr>
          <w:p w14:paraId="425AAEA3" w14:textId="77777777" w:rsidR="00A43992" w:rsidRPr="00267088" w:rsidRDefault="00A43992" w:rsidP="007211E3">
            <w:pPr>
              <w:jc w:val="right"/>
              <w:rPr>
                <w:rFonts w:ascii="Arial" w:hAnsi="Arial" w:cs="Arial"/>
                <w:b/>
                <w:bCs/>
                <w:sz w:val="18"/>
                <w:szCs w:val="18"/>
              </w:rPr>
            </w:pPr>
            <w:r w:rsidRPr="00267088">
              <w:rPr>
                <w:rFonts w:ascii="Arial" w:hAnsi="Arial" w:cs="Arial"/>
                <w:b/>
                <w:bCs/>
                <w:sz w:val="18"/>
                <w:szCs w:val="18"/>
              </w:rPr>
              <w:t>197,507</w:t>
            </w:r>
          </w:p>
        </w:tc>
        <w:tc>
          <w:tcPr>
            <w:tcW w:w="236" w:type="dxa"/>
            <w:tcBorders>
              <w:top w:val="nil"/>
              <w:left w:val="nil"/>
              <w:bottom w:val="nil"/>
              <w:right w:val="nil"/>
            </w:tcBorders>
            <w:shd w:val="clear" w:color="FFFFFF" w:fill="FFFFFF"/>
            <w:noWrap/>
            <w:vAlign w:val="bottom"/>
            <w:hideMark/>
          </w:tcPr>
          <w:p w14:paraId="2BEA8C7E" w14:textId="77777777" w:rsidR="00A43992" w:rsidRDefault="00A43992" w:rsidP="007211E3">
            <w:pPr>
              <w:rPr>
                <w:rFonts w:ascii="Arial" w:hAnsi="Arial" w:cs="Arial"/>
                <w:sz w:val="18"/>
                <w:szCs w:val="18"/>
              </w:rPr>
            </w:pPr>
            <w:r>
              <w:rPr>
                <w:rFonts w:ascii="Arial" w:hAnsi="Arial" w:cs="Arial"/>
                <w:sz w:val="18"/>
                <w:szCs w:val="18"/>
              </w:rPr>
              <w:t> </w:t>
            </w:r>
          </w:p>
        </w:tc>
        <w:tc>
          <w:tcPr>
            <w:tcW w:w="1030" w:type="dxa"/>
            <w:tcBorders>
              <w:top w:val="single" w:sz="4" w:space="0" w:color="auto"/>
              <w:left w:val="nil"/>
              <w:bottom w:val="single" w:sz="4" w:space="0" w:color="auto"/>
              <w:right w:val="nil"/>
            </w:tcBorders>
            <w:shd w:val="clear" w:color="FFFFFF" w:fill="FFFFFF"/>
            <w:noWrap/>
            <w:vAlign w:val="bottom"/>
            <w:hideMark/>
          </w:tcPr>
          <w:p w14:paraId="601C791D" w14:textId="77777777" w:rsidR="00A43992" w:rsidRDefault="00A43992" w:rsidP="007211E3">
            <w:pPr>
              <w:jc w:val="right"/>
              <w:rPr>
                <w:rFonts w:ascii="Arial" w:hAnsi="Arial" w:cs="Arial"/>
                <w:sz w:val="18"/>
                <w:szCs w:val="18"/>
              </w:rPr>
            </w:pPr>
            <w:r>
              <w:rPr>
                <w:rFonts w:ascii="Arial" w:hAnsi="Arial" w:cs="Arial"/>
                <w:sz w:val="18"/>
                <w:szCs w:val="18"/>
              </w:rPr>
              <w:t>126,584</w:t>
            </w:r>
          </w:p>
        </w:tc>
        <w:tc>
          <w:tcPr>
            <w:tcW w:w="236" w:type="dxa"/>
            <w:tcBorders>
              <w:top w:val="nil"/>
              <w:left w:val="nil"/>
              <w:bottom w:val="nil"/>
              <w:right w:val="nil"/>
            </w:tcBorders>
            <w:shd w:val="clear" w:color="FFFFFF" w:fill="FFFFFF"/>
            <w:noWrap/>
            <w:vAlign w:val="bottom"/>
            <w:hideMark/>
          </w:tcPr>
          <w:p w14:paraId="3F5F4858" w14:textId="77777777" w:rsidR="00A43992" w:rsidRDefault="00A43992" w:rsidP="007211E3">
            <w:pPr>
              <w:rPr>
                <w:rFonts w:ascii="Arial" w:hAnsi="Arial" w:cs="Arial"/>
                <w:sz w:val="18"/>
                <w:szCs w:val="18"/>
              </w:rPr>
            </w:pPr>
            <w:r>
              <w:rPr>
                <w:rFonts w:ascii="Arial" w:hAnsi="Arial" w:cs="Arial"/>
                <w:sz w:val="18"/>
                <w:szCs w:val="18"/>
              </w:rPr>
              <w:t> </w:t>
            </w:r>
          </w:p>
        </w:tc>
        <w:tc>
          <w:tcPr>
            <w:tcW w:w="1030" w:type="dxa"/>
            <w:tcBorders>
              <w:top w:val="single" w:sz="4" w:space="0" w:color="auto"/>
              <w:left w:val="nil"/>
              <w:bottom w:val="single" w:sz="4" w:space="0" w:color="auto"/>
              <w:right w:val="nil"/>
            </w:tcBorders>
            <w:shd w:val="clear" w:color="FFFFFF" w:fill="FFFFFF"/>
            <w:noWrap/>
            <w:vAlign w:val="bottom"/>
            <w:hideMark/>
          </w:tcPr>
          <w:p w14:paraId="456726A5" w14:textId="77777777" w:rsidR="00A43992" w:rsidRDefault="00A43992" w:rsidP="007211E3">
            <w:pPr>
              <w:jc w:val="right"/>
              <w:rPr>
                <w:rFonts w:ascii="Arial" w:hAnsi="Arial" w:cs="Arial"/>
                <w:sz w:val="18"/>
                <w:szCs w:val="18"/>
              </w:rPr>
            </w:pPr>
            <w:r>
              <w:rPr>
                <w:rFonts w:ascii="Arial" w:hAnsi="Arial" w:cs="Arial"/>
                <w:sz w:val="18"/>
                <w:szCs w:val="18"/>
              </w:rPr>
              <w:t>300,514</w:t>
            </w:r>
          </w:p>
        </w:tc>
      </w:tr>
      <w:tr w:rsidR="00A43992" w14:paraId="1197DC1F" w14:textId="77777777" w:rsidTr="007211E3">
        <w:trPr>
          <w:trHeight w:val="255"/>
        </w:trPr>
        <w:tc>
          <w:tcPr>
            <w:tcW w:w="4400" w:type="dxa"/>
            <w:tcBorders>
              <w:top w:val="nil"/>
              <w:left w:val="nil"/>
              <w:bottom w:val="nil"/>
              <w:right w:val="nil"/>
            </w:tcBorders>
            <w:shd w:val="clear" w:color="FFFFFF" w:fill="FFFFFF"/>
            <w:vAlign w:val="bottom"/>
            <w:hideMark/>
          </w:tcPr>
          <w:p w14:paraId="0915D9B2" w14:textId="77777777" w:rsidR="00A43992" w:rsidRDefault="00A43992" w:rsidP="007211E3">
            <w:pPr>
              <w:ind w:firstLineChars="100" w:firstLine="180"/>
              <w:rPr>
                <w:rFonts w:ascii="Arial" w:hAnsi="Arial" w:cs="Arial"/>
                <w:sz w:val="18"/>
                <w:szCs w:val="18"/>
              </w:rPr>
            </w:pPr>
            <w:r>
              <w:rPr>
                <w:rFonts w:ascii="Arial" w:hAnsi="Arial" w:cs="Arial"/>
                <w:sz w:val="18"/>
                <w:szCs w:val="18"/>
              </w:rPr>
              <w:t> </w:t>
            </w:r>
          </w:p>
        </w:tc>
        <w:tc>
          <w:tcPr>
            <w:tcW w:w="1077" w:type="dxa"/>
            <w:tcBorders>
              <w:top w:val="nil"/>
              <w:left w:val="nil"/>
              <w:bottom w:val="nil"/>
              <w:right w:val="nil"/>
            </w:tcBorders>
            <w:shd w:val="clear" w:color="FFFFFF" w:fill="FFFFFF"/>
            <w:noWrap/>
            <w:vAlign w:val="bottom"/>
            <w:hideMark/>
          </w:tcPr>
          <w:p w14:paraId="264D3E6F" w14:textId="77777777" w:rsidR="00A43992" w:rsidRDefault="00A43992" w:rsidP="007211E3">
            <w:pPr>
              <w:jc w:val="center"/>
              <w:rPr>
                <w:rFonts w:ascii="Arial" w:hAnsi="Arial" w:cs="Arial"/>
                <w:sz w:val="18"/>
                <w:szCs w:val="18"/>
              </w:rPr>
            </w:pPr>
            <w:r>
              <w:rPr>
                <w:rFonts w:ascii="Arial" w:hAnsi="Arial" w:cs="Arial"/>
                <w:sz w:val="18"/>
                <w:szCs w:val="18"/>
              </w:rPr>
              <w:t> </w:t>
            </w:r>
          </w:p>
        </w:tc>
        <w:tc>
          <w:tcPr>
            <w:tcW w:w="1078" w:type="dxa"/>
            <w:tcBorders>
              <w:top w:val="nil"/>
              <w:left w:val="nil"/>
              <w:bottom w:val="nil"/>
              <w:right w:val="nil"/>
            </w:tcBorders>
            <w:shd w:val="clear" w:color="FFFFFF" w:fill="FFFFFF"/>
            <w:noWrap/>
            <w:vAlign w:val="bottom"/>
            <w:hideMark/>
          </w:tcPr>
          <w:p w14:paraId="7C60E7B6" w14:textId="77777777" w:rsidR="00A43992" w:rsidRPr="00267088" w:rsidRDefault="00A43992" w:rsidP="007211E3">
            <w:pPr>
              <w:jc w:val="right"/>
              <w:rPr>
                <w:rFonts w:ascii="Arial" w:hAnsi="Arial" w:cs="Arial"/>
                <w:b/>
                <w:bCs/>
                <w:sz w:val="18"/>
                <w:szCs w:val="18"/>
              </w:rPr>
            </w:pPr>
            <w:r w:rsidRPr="00267088">
              <w:rPr>
                <w:rFonts w:ascii="Arial" w:hAnsi="Arial" w:cs="Arial"/>
                <w:b/>
                <w:bCs/>
                <w:sz w:val="18"/>
                <w:szCs w:val="18"/>
              </w:rPr>
              <w:t> </w:t>
            </w:r>
          </w:p>
        </w:tc>
        <w:tc>
          <w:tcPr>
            <w:tcW w:w="236" w:type="dxa"/>
            <w:tcBorders>
              <w:top w:val="nil"/>
              <w:left w:val="nil"/>
              <w:bottom w:val="nil"/>
              <w:right w:val="nil"/>
            </w:tcBorders>
            <w:shd w:val="clear" w:color="FFFFFF" w:fill="FFFFFF"/>
            <w:noWrap/>
            <w:vAlign w:val="bottom"/>
            <w:hideMark/>
          </w:tcPr>
          <w:p w14:paraId="2CA62495" w14:textId="77777777" w:rsidR="00A43992" w:rsidRDefault="00A43992" w:rsidP="007211E3">
            <w:pPr>
              <w:rPr>
                <w:rFonts w:ascii="Arial" w:hAnsi="Arial" w:cs="Arial"/>
                <w:sz w:val="18"/>
                <w:szCs w:val="18"/>
              </w:rPr>
            </w:pPr>
            <w:r>
              <w:rPr>
                <w:rFonts w:ascii="Arial" w:hAnsi="Arial" w:cs="Arial"/>
                <w:sz w:val="18"/>
                <w:szCs w:val="18"/>
              </w:rPr>
              <w:t> </w:t>
            </w:r>
          </w:p>
        </w:tc>
        <w:tc>
          <w:tcPr>
            <w:tcW w:w="1030" w:type="dxa"/>
            <w:tcBorders>
              <w:top w:val="nil"/>
              <w:left w:val="nil"/>
              <w:bottom w:val="nil"/>
              <w:right w:val="nil"/>
            </w:tcBorders>
            <w:shd w:val="clear" w:color="FFFFFF" w:fill="FFFFFF"/>
            <w:noWrap/>
            <w:vAlign w:val="bottom"/>
            <w:hideMark/>
          </w:tcPr>
          <w:p w14:paraId="7CD63E85" w14:textId="77777777" w:rsidR="00A43992" w:rsidRDefault="00A43992" w:rsidP="007211E3">
            <w:pPr>
              <w:jc w:val="right"/>
              <w:rPr>
                <w:rFonts w:ascii="Arial" w:hAnsi="Arial" w:cs="Arial"/>
                <w:sz w:val="18"/>
                <w:szCs w:val="18"/>
              </w:rPr>
            </w:pPr>
            <w:r>
              <w:rPr>
                <w:rFonts w:ascii="Arial" w:hAnsi="Arial" w:cs="Arial"/>
                <w:sz w:val="18"/>
                <w:szCs w:val="18"/>
              </w:rPr>
              <w:t> </w:t>
            </w:r>
          </w:p>
        </w:tc>
        <w:tc>
          <w:tcPr>
            <w:tcW w:w="236" w:type="dxa"/>
            <w:tcBorders>
              <w:top w:val="nil"/>
              <w:left w:val="nil"/>
              <w:bottom w:val="nil"/>
              <w:right w:val="nil"/>
            </w:tcBorders>
            <w:shd w:val="clear" w:color="FFFFFF" w:fill="FFFFFF"/>
            <w:noWrap/>
            <w:vAlign w:val="bottom"/>
            <w:hideMark/>
          </w:tcPr>
          <w:p w14:paraId="42295EB7" w14:textId="77777777" w:rsidR="00A43992" w:rsidRDefault="00A43992" w:rsidP="007211E3">
            <w:pPr>
              <w:rPr>
                <w:rFonts w:ascii="Arial" w:hAnsi="Arial" w:cs="Arial"/>
                <w:sz w:val="18"/>
                <w:szCs w:val="18"/>
              </w:rPr>
            </w:pPr>
            <w:r>
              <w:rPr>
                <w:rFonts w:ascii="Arial" w:hAnsi="Arial" w:cs="Arial"/>
                <w:sz w:val="18"/>
                <w:szCs w:val="18"/>
              </w:rPr>
              <w:t> </w:t>
            </w:r>
          </w:p>
        </w:tc>
        <w:tc>
          <w:tcPr>
            <w:tcW w:w="1030" w:type="dxa"/>
            <w:tcBorders>
              <w:top w:val="nil"/>
              <w:left w:val="nil"/>
              <w:bottom w:val="nil"/>
              <w:right w:val="nil"/>
            </w:tcBorders>
            <w:shd w:val="clear" w:color="FFFFFF" w:fill="FFFFFF"/>
            <w:noWrap/>
            <w:vAlign w:val="bottom"/>
            <w:hideMark/>
          </w:tcPr>
          <w:p w14:paraId="4823699F" w14:textId="77777777" w:rsidR="00A43992" w:rsidRDefault="00A43992" w:rsidP="007211E3">
            <w:pPr>
              <w:jc w:val="right"/>
              <w:rPr>
                <w:rFonts w:ascii="Arial" w:hAnsi="Arial" w:cs="Arial"/>
                <w:sz w:val="18"/>
                <w:szCs w:val="18"/>
              </w:rPr>
            </w:pPr>
            <w:r>
              <w:rPr>
                <w:rFonts w:ascii="Arial" w:hAnsi="Arial" w:cs="Arial"/>
                <w:sz w:val="18"/>
                <w:szCs w:val="18"/>
              </w:rPr>
              <w:t> </w:t>
            </w:r>
          </w:p>
        </w:tc>
      </w:tr>
      <w:tr w:rsidR="00A43992" w14:paraId="7A1E917D" w14:textId="77777777" w:rsidTr="007211E3">
        <w:trPr>
          <w:trHeight w:val="255"/>
        </w:trPr>
        <w:tc>
          <w:tcPr>
            <w:tcW w:w="4400" w:type="dxa"/>
            <w:tcBorders>
              <w:top w:val="nil"/>
              <w:left w:val="nil"/>
              <w:bottom w:val="nil"/>
              <w:right w:val="nil"/>
            </w:tcBorders>
            <w:shd w:val="clear" w:color="FFFFFF" w:fill="FFFFFF"/>
            <w:vAlign w:val="bottom"/>
            <w:hideMark/>
          </w:tcPr>
          <w:p w14:paraId="09E43F32" w14:textId="77777777" w:rsidR="00A43992" w:rsidRDefault="00A43992" w:rsidP="007211E3">
            <w:pPr>
              <w:rPr>
                <w:rFonts w:ascii="Arial" w:hAnsi="Arial" w:cs="Arial"/>
                <w:b/>
                <w:bCs/>
                <w:sz w:val="18"/>
                <w:szCs w:val="18"/>
              </w:rPr>
            </w:pPr>
            <w:r>
              <w:rPr>
                <w:rFonts w:ascii="Arial" w:hAnsi="Arial" w:cs="Arial"/>
                <w:b/>
                <w:bCs/>
                <w:sz w:val="18"/>
                <w:szCs w:val="18"/>
              </w:rPr>
              <w:lastRenderedPageBreak/>
              <w:t>Total own-source income</w:t>
            </w:r>
          </w:p>
        </w:tc>
        <w:tc>
          <w:tcPr>
            <w:tcW w:w="1077" w:type="dxa"/>
            <w:tcBorders>
              <w:top w:val="nil"/>
              <w:left w:val="nil"/>
              <w:bottom w:val="nil"/>
              <w:right w:val="nil"/>
            </w:tcBorders>
            <w:shd w:val="clear" w:color="FFFFFF" w:fill="FFFFFF"/>
            <w:noWrap/>
            <w:vAlign w:val="bottom"/>
            <w:hideMark/>
          </w:tcPr>
          <w:p w14:paraId="145921E8" w14:textId="77777777" w:rsidR="00A43992" w:rsidRDefault="00A43992" w:rsidP="007211E3">
            <w:pPr>
              <w:jc w:val="center"/>
              <w:rPr>
                <w:rFonts w:ascii="Arial" w:hAnsi="Arial" w:cs="Arial"/>
                <w:sz w:val="18"/>
                <w:szCs w:val="18"/>
              </w:rPr>
            </w:pPr>
            <w:r>
              <w:rPr>
                <w:rFonts w:ascii="Arial" w:hAnsi="Arial" w:cs="Arial"/>
                <w:sz w:val="18"/>
                <w:szCs w:val="18"/>
              </w:rPr>
              <w:t> </w:t>
            </w:r>
          </w:p>
        </w:tc>
        <w:tc>
          <w:tcPr>
            <w:tcW w:w="1078" w:type="dxa"/>
            <w:tcBorders>
              <w:top w:val="single" w:sz="4" w:space="0" w:color="auto"/>
              <w:left w:val="nil"/>
              <w:bottom w:val="single" w:sz="4" w:space="0" w:color="auto"/>
              <w:right w:val="nil"/>
            </w:tcBorders>
            <w:shd w:val="clear" w:color="FFFFFF" w:fill="FFFFFF"/>
            <w:noWrap/>
            <w:vAlign w:val="bottom"/>
            <w:hideMark/>
          </w:tcPr>
          <w:p w14:paraId="3A76725C" w14:textId="77777777" w:rsidR="00A43992" w:rsidRPr="00267088" w:rsidRDefault="00A43992" w:rsidP="007211E3">
            <w:pPr>
              <w:jc w:val="right"/>
              <w:rPr>
                <w:rFonts w:ascii="Arial" w:hAnsi="Arial" w:cs="Arial"/>
                <w:b/>
                <w:bCs/>
                <w:sz w:val="18"/>
                <w:szCs w:val="18"/>
              </w:rPr>
            </w:pPr>
            <w:r w:rsidRPr="00267088">
              <w:rPr>
                <w:rFonts w:ascii="Arial" w:hAnsi="Arial" w:cs="Arial"/>
                <w:b/>
                <w:bCs/>
                <w:sz w:val="18"/>
                <w:szCs w:val="18"/>
              </w:rPr>
              <w:t>508,948</w:t>
            </w:r>
          </w:p>
        </w:tc>
        <w:tc>
          <w:tcPr>
            <w:tcW w:w="236" w:type="dxa"/>
            <w:tcBorders>
              <w:top w:val="nil"/>
              <w:left w:val="nil"/>
              <w:bottom w:val="nil"/>
              <w:right w:val="nil"/>
            </w:tcBorders>
            <w:shd w:val="clear" w:color="FFFFFF" w:fill="FFFFFF"/>
            <w:noWrap/>
            <w:vAlign w:val="bottom"/>
            <w:hideMark/>
          </w:tcPr>
          <w:p w14:paraId="6D0E0C49" w14:textId="77777777" w:rsidR="00A43992" w:rsidRDefault="00A43992" w:rsidP="007211E3">
            <w:pPr>
              <w:rPr>
                <w:rFonts w:ascii="Arial" w:hAnsi="Arial" w:cs="Arial"/>
                <w:sz w:val="18"/>
                <w:szCs w:val="18"/>
              </w:rPr>
            </w:pPr>
            <w:r>
              <w:rPr>
                <w:rFonts w:ascii="Arial" w:hAnsi="Arial" w:cs="Arial"/>
                <w:sz w:val="18"/>
                <w:szCs w:val="18"/>
              </w:rPr>
              <w:t> </w:t>
            </w:r>
          </w:p>
        </w:tc>
        <w:tc>
          <w:tcPr>
            <w:tcW w:w="1030" w:type="dxa"/>
            <w:tcBorders>
              <w:top w:val="single" w:sz="4" w:space="0" w:color="auto"/>
              <w:left w:val="nil"/>
              <w:bottom w:val="single" w:sz="4" w:space="0" w:color="auto"/>
              <w:right w:val="nil"/>
            </w:tcBorders>
            <w:shd w:val="clear" w:color="FFFFFF" w:fill="FFFFFF"/>
            <w:noWrap/>
            <w:vAlign w:val="bottom"/>
            <w:hideMark/>
          </w:tcPr>
          <w:p w14:paraId="4EFA36B1" w14:textId="77777777" w:rsidR="00A43992" w:rsidRDefault="00A43992" w:rsidP="007211E3">
            <w:pPr>
              <w:jc w:val="right"/>
              <w:rPr>
                <w:rFonts w:ascii="Arial" w:hAnsi="Arial" w:cs="Arial"/>
                <w:sz w:val="18"/>
                <w:szCs w:val="18"/>
              </w:rPr>
            </w:pPr>
            <w:r>
              <w:rPr>
                <w:rFonts w:ascii="Arial" w:hAnsi="Arial" w:cs="Arial"/>
                <w:sz w:val="18"/>
                <w:szCs w:val="18"/>
              </w:rPr>
              <w:t>328,038</w:t>
            </w:r>
          </w:p>
        </w:tc>
        <w:tc>
          <w:tcPr>
            <w:tcW w:w="236" w:type="dxa"/>
            <w:tcBorders>
              <w:top w:val="nil"/>
              <w:left w:val="nil"/>
              <w:bottom w:val="nil"/>
              <w:right w:val="nil"/>
            </w:tcBorders>
            <w:shd w:val="clear" w:color="FFFFFF" w:fill="FFFFFF"/>
            <w:noWrap/>
            <w:vAlign w:val="bottom"/>
            <w:hideMark/>
          </w:tcPr>
          <w:p w14:paraId="70110CF9" w14:textId="77777777" w:rsidR="00A43992" w:rsidRDefault="00A43992" w:rsidP="007211E3">
            <w:pPr>
              <w:rPr>
                <w:rFonts w:ascii="Arial" w:hAnsi="Arial" w:cs="Arial"/>
                <w:sz w:val="18"/>
                <w:szCs w:val="18"/>
              </w:rPr>
            </w:pPr>
            <w:r>
              <w:rPr>
                <w:rFonts w:ascii="Arial" w:hAnsi="Arial" w:cs="Arial"/>
                <w:sz w:val="18"/>
                <w:szCs w:val="18"/>
              </w:rPr>
              <w:t> </w:t>
            </w:r>
          </w:p>
        </w:tc>
        <w:tc>
          <w:tcPr>
            <w:tcW w:w="1030" w:type="dxa"/>
            <w:tcBorders>
              <w:top w:val="single" w:sz="4" w:space="0" w:color="auto"/>
              <w:left w:val="nil"/>
              <w:bottom w:val="single" w:sz="4" w:space="0" w:color="auto"/>
              <w:right w:val="nil"/>
            </w:tcBorders>
            <w:shd w:val="clear" w:color="FFFFFF" w:fill="FFFFFF"/>
            <w:noWrap/>
            <w:vAlign w:val="bottom"/>
            <w:hideMark/>
          </w:tcPr>
          <w:p w14:paraId="592BA324" w14:textId="77777777" w:rsidR="00A43992" w:rsidRDefault="00A43992" w:rsidP="007211E3">
            <w:pPr>
              <w:jc w:val="right"/>
              <w:rPr>
                <w:rFonts w:ascii="Arial" w:hAnsi="Arial" w:cs="Arial"/>
                <w:sz w:val="18"/>
                <w:szCs w:val="18"/>
              </w:rPr>
            </w:pPr>
            <w:r>
              <w:rPr>
                <w:rFonts w:ascii="Arial" w:hAnsi="Arial" w:cs="Arial"/>
                <w:sz w:val="18"/>
                <w:szCs w:val="18"/>
              </w:rPr>
              <w:t>605,089</w:t>
            </w:r>
          </w:p>
        </w:tc>
      </w:tr>
      <w:tr w:rsidR="00A43992" w14:paraId="50FA5168" w14:textId="77777777" w:rsidTr="007211E3">
        <w:trPr>
          <w:trHeight w:val="255"/>
        </w:trPr>
        <w:tc>
          <w:tcPr>
            <w:tcW w:w="4400" w:type="dxa"/>
            <w:tcBorders>
              <w:top w:val="nil"/>
              <w:left w:val="nil"/>
              <w:bottom w:val="nil"/>
              <w:right w:val="nil"/>
            </w:tcBorders>
            <w:shd w:val="clear" w:color="FFFFFF" w:fill="FFFFFF"/>
            <w:vAlign w:val="bottom"/>
            <w:hideMark/>
          </w:tcPr>
          <w:p w14:paraId="01C05A75" w14:textId="77777777" w:rsidR="00A43992" w:rsidRDefault="00A43992" w:rsidP="007211E3">
            <w:pPr>
              <w:rPr>
                <w:rFonts w:ascii="Arial" w:hAnsi="Arial" w:cs="Arial"/>
                <w:sz w:val="18"/>
                <w:szCs w:val="18"/>
              </w:rPr>
            </w:pPr>
            <w:r>
              <w:rPr>
                <w:rFonts w:ascii="Arial" w:hAnsi="Arial" w:cs="Arial"/>
                <w:sz w:val="18"/>
                <w:szCs w:val="18"/>
              </w:rPr>
              <w:t> </w:t>
            </w:r>
          </w:p>
        </w:tc>
        <w:tc>
          <w:tcPr>
            <w:tcW w:w="1077" w:type="dxa"/>
            <w:tcBorders>
              <w:top w:val="nil"/>
              <w:left w:val="nil"/>
              <w:bottom w:val="nil"/>
              <w:right w:val="nil"/>
            </w:tcBorders>
            <w:shd w:val="clear" w:color="FFFFFF" w:fill="FFFFFF"/>
            <w:noWrap/>
            <w:vAlign w:val="bottom"/>
            <w:hideMark/>
          </w:tcPr>
          <w:p w14:paraId="4B5AD94D" w14:textId="77777777" w:rsidR="00A43992" w:rsidRDefault="00A43992" w:rsidP="007211E3">
            <w:pPr>
              <w:jc w:val="center"/>
              <w:rPr>
                <w:rFonts w:ascii="Arial" w:hAnsi="Arial" w:cs="Arial"/>
                <w:sz w:val="18"/>
                <w:szCs w:val="18"/>
              </w:rPr>
            </w:pPr>
            <w:r>
              <w:rPr>
                <w:rFonts w:ascii="Arial" w:hAnsi="Arial" w:cs="Arial"/>
                <w:sz w:val="18"/>
                <w:szCs w:val="18"/>
              </w:rPr>
              <w:t> </w:t>
            </w:r>
          </w:p>
        </w:tc>
        <w:tc>
          <w:tcPr>
            <w:tcW w:w="1078" w:type="dxa"/>
            <w:tcBorders>
              <w:top w:val="nil"/>
              <w:left w:val="nil"/>
              <w:bottom w:val="nil"/>
              <w:right w:val="nil"/>
            </w:tcBorders>
            <w:shd w:val="clear" w:color="FFFFFF" w:fill="FFFFFF"/>
            <w:noWrap/>
            <w:vAlign w:val="bottom"/>
            <w:hideMark/>
          </w:tcPr>
          <w:p w14:paraId="774F2B8C" w14:textId="77777777" w:rsidR="00A43992" w:rsidRDefault="00A43992" w:rsidP="007211E3">
            <w:pPr>
              <w:jc w:val="right"/>
              <w:rPr>
                <w:rFonts w:ascii="Arial" w:hAnsi="Arial" w:cs="Arial"/>
                <w:b/>
                <w:bCs/>
                <w:sz w:val="18"/>
                <w:szCs w:val="18"/>
              </w:rPr>
            </w:pPr>
            <w:r>
              <w:rPr>
                <w:rFonts w:ascii="Arial" w:hAnsi="Arial" w:cs="Arial"/>
                <w:b/>
                <w:bCs/>
                <w:sz w:val="18"/>
                <w:szCs w:val="18"/>
              </w:rPr>
              <w:t> </w:t>
            </w:r>
          </w:p>
        </w:tc>
        <w:tc>
          <w:tcPr>
            <w:tcW w:w="236" w:type="dxa"/>
            <w:tcBorders>
              <w:top w:val="nil"/>
              <w:left w:val="nil"/>
              <w:bottom w:val="nil"/>
              <w:right w:val="nil"/>
            </w:tcBorders>
            <w:shd w:val="clear" w:color="FFFFFF" w:fill="FFFFFF"/>
            <w:noWrap/>
            <w:vAlign w:val="bottom"/>
            <w:hideMark/>
          </w:tcPr>
          <w:p w14:paraId="3346A321" w14:textId="77777777" w:rsidR="00A43992" w:rsidRDefault="00A43992" w:rsidP="007211E3">
            <w:pPr>
              <w:rPr>
                <w:rFonts w:ascii="Arial" w:hAnsi="Arial" w:cs="Arial"/>
                <w:sz w:val="18"/>
                <w:szCs w:val="18"/>
              </w:rPr>
            </w:pPr>
            <w:r>
              <w:rPr>
                <w:rFonts w:ascii="Arial" w:hAnsi="Arial" w:cs="Arial"/>
                <w:sz w:val="18"/>
                <w:szCs w:val="18"/>
              </w:rPr>
              <w:t> </w:t>
            </w:r>
          </w:p>
        </w:tc>
        <w:tc>
          <w:tcPr>
            <w:tcW w:w="1030" w:type="dxa"/>
            <w:tcBorders>
              <w:top w:val="nil"/>
              <w:left w:val="nil"/>
              <w:bottom w:val="nil"/>
              <w:right w:val="nil"/>
            </w:tcBorders>
            <w:shd w:val="clear" w:color="FFFFFF" w:fill="FFFFFF"/>
            <w:noWrap/>
            <w:vAlign w:val="bottom"/>
            <w:hideMark/>
          </w:tcPr>
          <w:p w14:paraId="37ECF9D6" w14:textId="77777777" w:rsidR="00A43992" w:rsidRDefault="00A43992" w:rsidP="007211E3">
            <w:pPr>
              <w:jc w:val="right"/>
              <w:rPr>
                <w:rFonts w:ascii="Arial" w:hAnsi="Arial" w:cs="Arial"/>
                <w:sz w:val="18"/>
                <w:szCs w:val="18"/>
              </w:rPr>
            </w:pPr>
            <w:r>
              <w:rPr>
                <w:rFonts w:ascii="Arial" w:hAnsi="Arial" w:cs="Arial"/>
                <w:sz w:val="18"/>
                <w:szCs w:val="18"/>
              </w:rPr>
              <w:t> </w:t>
            </w:r>
          </w:p>
        </w:tc>
        <w:tc>
          <w:tcPr>
            <w:tcW w:w="236" w:type="dxa"/>
            <w:tcBorders>
              <w:top w:val="nil"/>
              <w:left w:val="nil"/>
              <w:bottom w:val="nil"/>
              <w:right w:val="nil"/>
            </w:tcBorders>
            <w:shd w:val="clear" w:color="FFFFFF" w:fill="FFFFFF"/>
            <w:noWrap/>
            <w:vAlign w:val="bottom"/>
            <w:hideMark/>
          </w:tcPr>
          <w:p w14:paraId="19396036" w14:textId="77777777" w:rsidR="00A43992" w:rsidRDefault="00A43992" w:rsidP="007211E3">
            <w:pPr>
              <w:rPr>
                <w:rFonts w:ascii="Arial" w:hAnsi="Arial" w:cs="Arial"/>
                <w:sz w:val="18"/>
                <w:szCs w:val="18"/>
              </w:rPr>
            </w:pPr>
            <w:r>
              <w:rPr>
                <w:rFonts w:ascii="Arial" w:hAnsi="Arial" w:cs="Arial"/>
                <w:sz w:val="18"/>
                <w:szCs w:val="18"/>
              </w:rPr>
              <w:t> </w:t>
            </w:r>
          </w:p>
        </w:tc>
        <w:tc>
          <w:tcPr>
            <w:tcW w:w="1030" w:type="dxa"/>
            <w:tcBorders>
              <w:top w:val="nil"/>
              <w:left w:val="nil"/>
              <w:bottom w:val="nil"/>
              <w:right w:val="nil"/>
            </w:tcBorders>
            <w:shd w:val="clear" w:color="FFFFFF" w:fill="FFFFFF"/>
            <w:noWrap/>
            <w:vAlign w:val="bottom"/>
            <w:hideMark/>
          </w:tcPr>
          <w:p w14:paraId="492CA672" w14:textId="77777777" w:rsidR="00A43992" w:rsidRDefault="00A43992" w:rsidP="007211E3">
            <w:pPr>
              <w:jc w:val="right"/>
              <w:rPr>
                <w:rFonts w:ascii="Arial" w:hAnsi="Arial" w:cs="Arial"/>
                <w:sz w:val="18"/>
                <w:szCs w:val="18"/>
              </w:rPr>
            </w:pPr>
            <w:r>
              <w:rPr>
                <w:rFonts w:ascii="Arial" w:hAnsi="Arial" w:cs="Arial"/>
                <w:sz w:val="18"/>
                <w:szCs w:val="18"/>
              </w:rPr>
              <w:t> </w:t>
            </w:r>
          </w:p>
        </w:tc>
      </w:tr>
      <w:tr w:rsidR="00A43992" w14:paraId="37D4C82B" w14:textId="77777777" w:rsidTr="007211E3">
        <w:trPr>
          <w:trHeight w:val="255"/>
        </w:trPr>
        <w:tc>
          <w:tcPr>
            <w:tcW w:w="4400" w:type="dxa"/>
            <w:tcBorders>
              <w:top w:val="nil"/>
              <w:left w:val="nil"/>
              <w:bottom w:val="nil"/>
              <w:right w:val="nil"/>
            </w:tcBorders>
            <w:shd w:val="clear" w:color="FFFFFF" w:fill="FFFFFF"/>
            <w:vAlign w:val="bottom"/>
            <w:hideMark/>
          </w:tcPr>
          <w:p w14:paraId="2E11F57F" w14:textId="77777777" w:rsidR="00A43992" w:rsidRDefault="00A43992" w:rsidP="007211E3">
            <w:pPr>
              <w:rPr>
                <w:rFonts w:ascii="Arial" w:hAnsi="Arial" w:cs="Arial"/>
                <w:b/>
                <w:bCs/>
                <w:sz w:val="18"/>
                <w:szCs w:val="18"/>
              </w:rPr>
            </w:pPr>
            <w:r>
              <w:rPr>
                <w:rFonts w:ascii="Arial" w:hAnsi="Arial" w:cs="Arial"/>
                <w:b/>
                <w:bCs/>
                <w:sz w:val="18"/>
                <w:szCs w:val="18"/>
              </w:rPr>
              <w:t xml:space="preserve">Net (cost of)/contribution by services </w:t>
            </w:r>
          </w:p>
        </w:tc>
        <w:tc>
          <w:tcPr>
            <w:tcW w:w="1077" w:type="dxa"/>
            <w:tcBorders>
              <w:top w:val="nil"/>
              <w:left w:val="nil"/>
              <w:bottom w:val="nil"/>
              <w:right w:val="nil"/>
            </w:tcBorders>
            <w:shd w:val="clear" w:color="FFFFFF" w:fill="FFFFFF"/>
            <w:noWrap/>
            <w:vAlign w:val="bottom"/>
            <w:hideMark/>
          </w:tcPr>
          <w:p w14:paraId="0203E680" w14:textId="77777777" w:rsidR="00A43992" w:rsidRDefault="00A43992" w:rsidP="007211E3">
            <w:pPr>
              <w:jc w:val="center"/>
              <w:rPr>
                <w:rFonts w:ascii="Arial" w:hAnsi="Arial" w:cs="Arial"/>
                <w:sz w:val="18"/>
                <w:szCs w:val="18"/>
              </w:rPr>
            </w:pPr>
            <w:r>
              <w:rPr>
                <w:rFonts w:ascii="Arial" w:hAnsi="Arial" w:cs="Arial"/>
                <w:sz w:val="18"/>
                <w:szCs w:val="18"/>
              </w:rPr>
              <w:t> </w:t>
            </w:r>
          </w:p>
        </w:tc>
        <w:tc>
          <w:tcPr>
            <w:tcW w:w="1078" w:type="dxa"/>
            <w:tcBorders>
              <w:top w:val="single" w:sz="4" w:space="0" w:color="auto"/>
              <w:left w:val="nil"/>
              <w:bottom w:val="single" w:sz="4" w:space="0" w:color="auto"/>
              <w:right w:val="nil"/>
            </w:tcBorders>
            <w:shd w:val="clear" w:color="FFFFFF" w:fill="FFFFFF"/>
            <w:noWrap/>
            <w:vAlign w:val="bottom"/>
            <w:hideMark/>
          </w:tcPr>
          <w:p w14:paraId="6AAE7C69" w14:textId="77777777" w:rsidR="00A43992" w:rsidRDefault="00A43992" w:rsidP="007211E3">
            <w:pPr>
              <w:jc w:val="right"/>
              <w:rPr>
                <w:rFonts w:ascii="Arial" w:hAnsi="Arial" w:cs="Arial"/>
                <w:b/>
                <w:bCs/>
                <w:sz w:val="18"/>
                <w:szCs w:val="18"/>
              </w:rPr>
            </w:pPr>
            <w:r>
              <w:rPr>
                <w:rFonts w:ascii="Arial" w:hAnsi="Arial" w:cs="Arial"/>
                <w:b/>
                <w:bCs/>
                <w:sz w:val="18"/>
                <w:szCs w:val="18"/>
              </w:rPr>
              <w:t>(565,288)</w:t>
            </w:r>
          </w:p>
        </w:tc>
        <w:tc>
          <w:tcPr>
            <w:tcW w:w="236" w:type="dxa"/>
            <w:tcBorders>
              <w:top w:val="nil"/>
              <w:left w:val="nil"/>
              <w:bottom w:val="nil"/>
              <w:right w:val="nil"/>
            </w:tcBorders>
            <w:shd w:val="clear" w:color="FFFFFF" w:fill="FFFFFF"/>
            <w:noWrap/>
            <w:vAlign w:val="bottom"/>
            <w:hideMark/>
          </w:tcPr>
          <w:p w14:paraId="42E7C607" w14:textId="77777777" w:rsidR="00A43992" w:rsidRDefault="00A43992" w:rsidP="007211E3">
            <w:pPr>
              <w:rPr>
                <w:rFonts w:ascii="Arial" w:hAnsi="Arial" w:cs="Arial"/>
                <w:sz w:val="18"/>
                <w:szCs w:val="18"/>
              </w:rPr>
            </w:pPr>
            <w:r>
              <w:rPr>
                <w:rFonts w:ascii="Arial" w:hAnsi="Arial" w:cs="Arial"/>
                <w:sz w:val="18"/>
                <w:szCs w:val="18"/>
              </w:rPr>
              <w:t> </w:t>
            </w:r>
          </w:p>
        </w:tc>
        <w:tc>
          <w:tcPr>
            <w:tcW w:w="1030" w:type="dxa"/>
            <w:tcBorders>
              <w:top w:val="single" w:sz="4" w:space="0" w:color="auto"/>
              <w:left w:val="nil"/>
              <w:bottom w:val="single" w:sz="4" w:space="0" w:color="auto"/>
              <w:right w:val="nil"/>
            </w:tcBorders>
            <w:shd w:val="clear" w:color="FFFFFF" w:fill="FFFFFF"/>
            <w:noWrap/>
            <w:vAlign w:val="bottom"/>
            <w:hideMark/>
          </w:tcPr>
          <w:p w14:paraId="50A4CB04" w14:textId="77777777" w:rsidR="00A43992" w:rsidRDefault="00A43992" w:rsidP="007211E3">
            <w:pPr>
              <w:jc w:val="right"/>
              <w:rPr>
                <w:rFonts w:ascii="Arial" w:hAnsi="Arial" w:cs="Arial"/>
                <w:sz w:val="18"/>
                <w:szCs w:val="18"/>
              </w:rPr>
            </w:pPr>
            <w:r>
              <w:rPr>
                <w:rFonts w:ascii="Arial" w:hAnsi="Arial" w:cs="Arial"/>
                <w:sz w:val="18"/>
                <w:szCs w:val="18"/>
              </w:rPr>
              <w:t>(308,024)</w:t>
            </w:r>
          </w:p>
        </w:tc>
        <w:tc>
          <w:tcPr>
            <w:tcW w:w="236" w:type="dxa"/>
            <w:tcBorders>
              <w:top w:val="nil"/>
              <w:left w:val="nil"/>
              <w:bottom w:val="nil"/>
              <w:right w:val="nil"/>
            </w:tcBorders>
            <w:shd w:val="clear" w:color="FFFFFF" w:fill="FFFFFF"/>
            <w:noWrap/>
            <w:vAlign w:val="bottom"/>
            <w:hideMark/>
          </w:tcPr>
          <w:p w14:paraId="5D0D3570" w14:textId="77777777" w:rsidR="00A43992" w:rsidRDefault="00A43992" w:rsidP="007211E3">
            <w:pPr>
              <w:rPr>
                <w:rFonts w:ascii="Arial" w:hAnsi="Arial" w:cs="Arial"/>
                <w:sz w:val="18"/>
                <w:szCs w:val="18"/>
              </w:rPr>
            </w:pPr>
            <w:r>
              <w:rPr>
                <w:rFonts w:ascii="Arial" w:hAnsi="Arial" w:cs="Arial"/>
                <w:sz w:val="18"/>
                <w:szCs w:val="18"/>
              </w:rPr>
              <w:t> </w:t>
            </w:r>
          </w:p>
        </w:tc>
        <w:tc>
          <w:tcPr>
            <w:tcW w:w="1030" w:type="dxa"/>
            <w:tcBorders>
              <w:top w:val="single" w:sz="4" w:space="0" w:color="auto"/>
              <w:left w:val="nil"/>
              <w:bottom w:val="single" w:sz="4" w:space="0" w:color="auto"/>
              <w:right w:val="nil"/>
            </w:tcBorders>
            <w:shd w:val="clear" w:color="FFFFFF" w:fill="FFFFFF"/>
            <w:noWrap/>
            <w:vAlign w:val="bottom"/>
            <w:hideMark/>
          </w:tcPr>
          <w:p w14:paraId="5EC7F37C" w14:textId="77777777" w:rsidR="00A43992" w:rsidRDefault="00A43992" w:rsidP="007211E3">
            <w:pPr>
              <w:jc w:val="right"/>
              <w:rPr>
                <w:rFonts w:ascii="Arial" w:hAnsi="Arial" w:cs="Arial"/>
                <w:sz w:val="18"/>
                <w:szCs w:val="18"/>
              </w:rPr>
            </w:pPr>
            <w:r>
              <w:rPr>
                <w:rFonts w:ascii="Arial" w:hAnsi="Arial" w:cs="Arial"/>
                <w:sz w:val="18"/>
                <w:szCs w:val="18"/>
              </w:rPr>
              <w:t>(473,835)</w:t>
            </w:r>
          </w:p>
        </w:tc>
      </w:tr>
      <w:tr w:rsidR="00A43992" w14:paraId="44C8B101" w14:textId="77777777" w:rsidTr="007211E3">
        <w:trPr>
          <w:trHeight w:val="255"/>
        </w:trPr>
        <w:tc>
          <w:tcPr>
            <w:tcW w:w="4400" w:type="dxa"/>
            <w:tcBorders>
              <w:top w:val="nil"/>
              <w:left w:val="nil"/>
              <w:bottom w:val="nil"/>
              <w:right w:val="nil"/>
            </w:tcBorders>
            <w:shd w:val="clear" w:color="FFFFFF" w:fill="FFFFFF"/>
            <w:vAlign w:val="bottom"/>
            <w:hideMark/>
          </w:tcPr>
          <w:p w14:paraId="790FF794" w14:textId="77777777" w:rsidR="00A43992" w:rsidRDefault="00A43992" w:rsidP="007211E3">
            <w:pPr>
              <w:rPr>
                <w:rFonts w:ascii="Arial" w:hAnsi="Arial" w:cs="Arial"/>
                <w:sz w:val="18"/>
                <w:szCs w:val="18"/>
              </w:rPr>
            </w:pPr>
            <w:r>
              <w:rPr>
                <w:rFonts w:ascii="Arial" w:hAnsi="Arial" w:cs="Arial"/>
                <w:sz w:val="18"/>
                <w:szCs w:val="18"/>
              </w:rPr>
              <w:t> </w:t>
            </w:r>
          </w:p>
        </w:tc>
        <w:tc>
          <w:tcPr>
            <w:tcW w:w="1077" w:type="dxa"/>
            <w:tcBorders>
              <w:top w:val="nil"/>
              <w:left w:val="nil"/>
              <w:bottom w:val="nil"/>
              <w:right w:val="nil"/>
            </w:tcBorders>
            <w:shd w:val="clear" w:color="FFFFFF" w:fill="FFFFFF"/>
            <w:noWrap/>
            <w:vAlign w:val="bottom"/>
            <w:hideMark/>
          </w:tcPr>
          <w:p w14:paraId="7499E06C" w14:textId="77777777" w:rsidR="00A43992" w:rsidRDefault="00A43992" w:rsidP="007211E3">
            <w:pPr>
              <w:jc w:val="center"/>
              <w:rPr>
                <w:rFonts w:ascii="Arial" w:hAnsi="Arial" w:cs="Arial"/>
                <w:sz w:val="18"/>
                <w:szCs w:val="18"/>
              </w:rPr>
            </w:pPr>
            <w:r>
              <w:rPr>
                <w:rFonts w:ascii="Arial" w:hAnsi="Arial" w:cs="Arial"/>
                <w:sz w:val="18"/>
                <w:szCs w:val="18"/>
              </w:rPr>
              <w:t> </w:t>
            </w:r>
          </w:p>
        </w:tc>
        <w:tc>
          <w:tcPr>
            <w:tcW w:w="1078" w:type="dxa"/>
            <w:tcBorders>
              <w:top w:val="nil"/>
              <w:left w:val="nil"/>
              <w:bottom w:val="nil"/>
              <w:right w:val="nil"/>
            </w:tcBorders>
            <w:shd w:val="clear" w:color="FFFFFF" w:fill="FFFFFF"/>
            <w:noWrap/>
            <w:vAlign w:val="bottom"/>
            <w:hideMark/>
          </w:tcPr>
          <w:p w14:paraId="4E439295" w14:textId="77777777" w:rsidR="00A43992" w:rsidRDefault="00A43992" w:rsidP="007211E3">
            <w:pPr>
              <w:jc w:val="right"/>
              <w:rPr>
                <w:rFonts w:ascii="Arial" w:hAnsi="Arial" w:cs="Arial"/>
                <w:b/>
                <w:bCs/>
                <w:sz w:val="18"/>
                <w:szCs w:val="18"/>
              </w:rPr>
            </w:pPr>
            <w:r>
              <w:rPr>
                <w:rFonts w:ascii="Arial" w:hAnsi="Arial" w:cs="Arial"/>
                <w:b/>
                <w:bCs/>
                <w:sz w:val="18"/>
                <w:szCs w:val="18"/>
              </w:rPr>
              <w:t> </w:t>
            </w:r>
          </w:p>
        </w:tc>
        <w:tc>
          <w:tcPr>
            <w:tcW w:w="236" w:type="dxa"/>
            <w:tcBorders>
              <w:top w:val="nil"/>
              <w:left w:val="nil"/>
              <w:bottom w:val="nil"/>
              <w:right w:val="nil"/>
            </w:tcBorders>
            <w:shd w:val="clear" w:color="FFFFFF" w:fill="FFFFFF"/>
            <w:noWrap/>
            <w:vAlign w:val="bottom"/>
            <w:hideMark/>
          </w:tcPr>
          <w:p w14:paraId="115B4801" w14:textId="77777777" w:rsidR="00A43992" w:rsidRDefault="00A43992" w:rsidP="007211E3">
            <w:pPr>
              <w:rPr>
                <w:rFonts w:ascii="Arial" w:hAnsi="Arial" w:cs="Arial"/>
                <w:sz w:val="18"/>
                <w:szCs w:val="18"/>
              </w:rPr>
            </w:pPr>
            <w:r>
              <w:rPr>
                <w:rFonts w:ascii="Arial" w:hAnsi="Arial" w:cs="Arial"/>
                <w:sz w:val="18"/>
                <w:szCs w:val="18"/>
              </w:rPr>
              <w:t> </w:t>
            </w:r>
          </w:p>
        </w:tc>
        <w:tc>
          <w:tcPr>
            <w:tcW w:w="1030" w:type="dxa"/>
            <w:tcBorders>
              <w:top w:val="nil"/>
              <w:left w:val="nil"/>
              <w:bottom w:val="nil"/>
              <w:right w:val="nil"/>
            </w:tcBorders>
            <w:shd w:val="clear" w:color="FFFFFF" w:fill="FFFFFF"/>
            <w:noWrap/>
            <w:vAlign w:val="bottom"/>
            <w:hideMark/>
          </w:tcPr>
          <w:p w14:paraId="75E61B16" w14:textId="77777777" w:rsidR="00A43992" w:rsidRDefault="00A43992" w:rsidP="007211E3">
            <w:pPr>
              <w:jc w:val="right"/>
              <w:rPr>
                <w:rFonts w:ascii="Arial" w:hAnsi="Arial" w:cs="Arial"/>
                <w:sz w:val="18"/>
                <w:szCs w:val="18"/>
              </w:rPr>
            </w:pPr>
            <w:r>
              <w:rPr>
                <w:rFonts w:ascii="Arial" w:hAnsi="Arial" w:cs="Arial"/>
                <w:sz w:val="18"/>
                <w:szCs w:val="18"/>
              </w:rPr>
              <w:t> </w:t>
            </w:r>
          </w:p>
        </w:tc>
        <w:tc>
          <w:tcPr>
            <w:tcW w:w="236" w:type="dxa"/>
            <w:tcBorders>
              <w:top w:val="nil"/>
              <w:left w:val="nil"/>
              <w:bottom w:val="nil"/>
              <w:right w:val="nil"/>
            </w:tcBorders>
            <w:shd w:val="clear" w:color="FFFFFF" w:fill="FFFFFF"/>
            <w:noWrap/>
            <w:vAlign w:val="bottom"/>
            <w:hideMark/>
          </w:tcPr>
          <w:p w14:paraId="17AA1B33" w14:textId="77777777" w:rsidR="00A43992" w:rsidRDefault="00A43992" w:rsidP="007211E3">
            <w:pPr>
              <w:rPr>
                <w:rFonts w:ascii="Arial" w:hAnsi="Arial" w:cs="Arial"/>
                <w:sz w:val="18"/>
                <w:szCs w:val="18"/>
              </w:rPr>
            </w:pPr>
            <w:r>
              <w:rPr>
                <w:rFonts w:ascii="Arial" w:hAnsi="Arial" w:cs="Arial"/>
                <w:sz w:val="18"/>
                <w:szCs w:val="18"/>
              </w:rPr>
              <w:t> </w:t>
            </w:r>
          </w:p>
        </w:tc>
        <w:tc>
          <w:tcPr>
            <w:tcW w:w="1030" w:type="dxa"/>
            <w:tcBorders>
              <w:top w:val="nil"/>
              <w:left w:val="nil"/>
              <w:bottom w:val="nil"/>
              <w:right w:val="nil"/>
            </w:tcBorders>
            <w:shd w:val="clear" w:color="FFFFFF" w:fill="FFFFFF"/>
            <w:noWrap/>
            <w:vAlign w:val="bottom"/>
            <w:hideMark/>
          </w:tcPr>
          <w:p w14:paraId="73E21EE8" w14:textId="77777777" w:rsidR="00A43992" w:rsidRDefault="00A43992" w:rsidP="007211E3">
            <w:pPr>
              <w:jc w:val="right"/>
              <w:rPr>
                <w:rFonts w:ascii="Arial" w:hAnsi="Arial" w:cs="Arial"/>
                <w:sz w:val="18"/>
                <w:szCs w:val="18"/>
              </w:rPr>
            </w:pPr>
            <w:r>
              <w:rPr>
                <w:rFonts w:ascii="Arial" w:hAnsi="Arial" w:cs="Arial"/>
                <w:sz w:val="18"/>
                <w:szCs w:val="18"/>
              </w:rPr>
              <w:t> </w:t>
            </w:r>
          </w:p>
        </w:tc>
      </w:tr>
      <w:tr w:rsidR="00A43992" w14:paraId="152D586E" w14:textId="77777777" w:rsidTr="007211E3">
        <w:trPr>
          <w:trHeight w:val="255"/>
        </w:trPr>
        <w:tc>
          <w:tcPr>
            <w:tcW w:w="4400" w:type="dxa"/>
            <w:tcBorders>
              <w:top w:val="nil"/>
              <w:left w:val="nil"/>
              <w:bottom w:val="nil"/>
              <w:right w:val="nil"/>
            </w:tcBorders>
            <w:shd w:val="clear" w:color="FFFFFF" w:fill="FFFFFF"/>
            <w:vAlign w:val="bottom"/>
            <w:hideMark/>
          </w:tcPr>
          <w:p w14:paraId="623B3D9E" w14:textId="77777777" w:rsidR="00A43992" w:rsidRDefault="00A43992" w:rsidP="007211E3">
            <w:pPr>
              <w:rPr>
                <w:rFonts w:ascii="Arial" w:hAnsi="Arial" w:cs="Arial"/>
                <w:sz w:val="18"/>
                <w:szCs w:val="18"/>
              </w:rPr>
            </w:pPr>
            <w:r>
              <w:rPr>
                <w:rFonts w:ascii="Arial" w:hAnsi="Arial" w:cs="Arial"/>
                <w:sz w:val="18"/>
                <w:szCs w:val="18"/>
              </w:rPr>
              <w:t>Revenue from Government</w:t>
            </w:r>
          </w:p>
        </w:tc>
        <w:tc>
          <w:tcPr>
            <w:tcW w:w="1077" w:type="dxa"/>
            <w:tcBorders>
              <w:top w:val="nil"/>
              <w:left w:val="nil"/>
              <w:bottom w:val="nil"/>
              <w:right w:val="nil"/>
            </w:tcBorders>
            <w:shd w:val="clear" w:color="FFFFFF" w:fill="FFFFFF"/>
            <w:noWrap/>
            <w:vAlign w:val="bottom"/>
            <w:hideMark/>
          </w:tcPr>
          <w:p w14:paraId="15B7B077" w14:textId="77777777" w:rsidR="00A43992" w:rsidRDefault="00A43992" w:rsidP="007211E3">
            <w:pPr>
              <w:jc w:val="center"/>
              <w:rPr>
                <w:rFonts w:ascii="Arial" w:hAnsi="Arial" w:cs="Arial"/>
                <w:sz w:val="18"/>
                <w:szCs w:val="18"/>
              </w:rPr>
            </w:pPr>
            <w:r>
              <w:rPr>
                <w:rFonts w:ascii="Arial" w:hAnsi="Arial" w:cs="Arial"/>
                <w:sz w:val="18"/>
                <w:szCs w:val="18"/>
              </w:rPr>
              <w:t> </w:t>
            </w:r>
          </w:p>
        </w:tc>
        <w:tc>
          <w:tcPr>
            <w:tcW w:w="1078" w:type="dxa"/>
            <w:tcBorders>
              <w:top w:val="nil"/>
              <w:left w:val="nil"/>
              <w:bottom w:val="nil"/>
              <w:right w:val="nil"/>
            </w:tcBorders>
            <w:shd w:val="clear" w:color="FFFFFF" w:fill="FFFFFF"/>
            <w:noWrap/>
            <w:vAlign w:val="bottom"/>
            <w:hideMark/>
          </w:tcPr>
          <w:p w14:paraId="42F98572" w14:textId="77777777" w:rsidR="00A43992" w:rsidRDefault="00A43992" w:rsidP="007211E3">
            <w:pPr>
              <w:jc w:val="right"/>
              <w:rPr>
                <w:rFonts w:ascii="Arial" w:hAnsi="Arial" w:cs="Arial"/>
                <w:b/>
                <w:bCs/>
                <w:sz w:val="18"/>
                <w:szCs w:val="18"/>
              </w:rPr>
            </w:pPr>
            <w:r>
              <w:rPr>
                <w:rFonts w:ascii="Arial" w:hAnsi="Arial" w:cs="Arial"/>
                <w:b/>
                <w:bCs/>
                <w:sz w:val="18"/>
                <w:szCs w:val="18"/>
              </w:rPr>
              <w:t>581,070</w:t>
            </w:r>
          </w:p>
        </w:tc>
        <w:tc>
          <w:tcPr>
            <w:tcW w:w="236" w:type="dxa"/>
            <w:tcBorders>
              <w:top w:val="nil"/>
              <w:left w:val="nil"/>
              <w:bottom w:val="nil"/>
              <w:right w:val="nil"/>
            </w:tcBorders>
            <w:shd w:val="clear" w:color="FFFFFF" w:fill="FFFFFF"/>
            <w:noWrap/>
            <w:vAlign w:val="bottom"/>
            <w:hideMark/>
          </w:tcPr>
          <w:p w14:paraId="79813370" w14:textId="77777777" w:rsidR="00A43992" w:rsidRDefault="00A43992" w:rsidP="007211E3">
            <w:pPr>
              <w:rPr>
                <w:rFonts w:ascii="Arial" w:hAnsi="Arial" w:cs="Arial"/>
                <w:sz w:val="18"/>
                <w:szCs w:val="18"/>
              </w:rPr>
            </w:pPr>
            <w:r>
              <w:rPr>
                <w:rFonts w:ascii="Arial" w:hAnsi="Arial" w:cs="Arial"/>
                <w:sz w:val="18"/>
                <w:szCs w:val="18"/>
              </w:rPr>
              <w:t> </w:t>
            </w:r>
          </w:p>
        </w:tc>
        <w:tc>
          <w:tcPr>
            <w:tcW w:w="1030" w:type="dxa"/>
            <w:tcBorders>
              <w:top w:val="nil"/>
              <w:left w:val="nil"/>
              <w:bottom w:val="nil"/>
              <w:right w:val="nil"/>
            </w:tcBorders>
            <w:shd w:val="clear" w:color="FFFFFF" w:fill="FFFFFF"/>
            <w:noWrap/>
            <w:vAlign w:val="bottom"/>
            <w:hideMark/>
          </w:tcPr>
          <w:p w14:paraId="6C9F4566" w14:textId="77777777" w:rsidR="00A43992" w:rsidRDefault="00A43992" w:rsidP="007211E3">
            <w:pPr>
              <w:jc w:val="right"/>
              <w:rPr>
                <w:rFonts w:ascii="Arial" w:hAnsi="Arial" w:cs="Arial"/>
                <w:sz w:val="18"/>
                <w:szCs w:val="18"/>
              </w:rPr>
            </w:pPr>
            <w:r>
              <w:rPr>
                <w:rFonts w:ascii="Arial" w:hAnsi="Arial" w:cs="Arial"/>
                <w:sz w:val="18"/>
                <w:szCs w:val="18"/>
              </w:rPr>
              <w:t>308,433</w:t>
            </w:r>
          </w:p>
        </w:tc>
        <w:tc>
          <w:tcPr>
            <w:tcW w:w="236" w:type="dxa"/>
            <w:tcBorders>
              <w:top w:val="nil"/>
              <w:left w:val="nil"/>
              <w:bottom w:val="nil"/>
              <w:right w:val="nil"/>
            </w:tcBorders>
            <w:shd w:val="clear" w:color="FFFFFF" w:fill="FFFFFF"/>
            <w:noWrap/>
            <w:vAlign w:val="bottom"/>
            <w:hideMark/>
          </w:tcPr>
          <w:p w14:paraId="353641AE" w14:textId="77777777" w:rsidR="00A43992" w:rsidRDefault="00A43992" w:rsidP="007211E3">
            <w:pPr>
              <w:rPr>
                <w:rFonts w:ascii="Arial" w:hAnsi="Arial" w:cs="Arial"/>
                <w:sz w:val="18"/>
                <w:szCs w:val="18"/>
              </w:rPr>
            </w:pPr>
            <w:r>
              <w:rPr>
                <w:rFonts w:ascii="Arial" w:hAnsi="Arial" w:cs="Arial"/>
                <w:sz w:val="18"/>
                <w:szCs w:val="18"/>
              </w:rPr>
              <w:t> </w:t>
            </w:r>
          </w:p>
        </w:tc>
        <w:tc>
          <w:tcPr>
            <w:tcW w:w="1030" w:type="dxa"/>
            <w:tcBorders>
              <w:top w:val="nil"/>
              <w:left w:val="nil"/>
              <w:bottom w:val="nil"/>
              <w:right w:val="nil"/>
            </w:tcBorders>
            <w:shd w:val="clear" w:color="FFFFFF" w:fill="FFFFFF"/>
            <w:noWrap/>
            <w:vAlign w:val="bottom"/>
            <w:hideMark/>
          </w:tcPr>
          <w:p w14:paraId="7D829224" w14:textId="77777777" w:rsidR="00A43992" w:rsidRDefault="00A43992" w:rsidP="007211E3">
            <w:pPr>
              <w:jc w:val="right"/>
              <w:rPr>
                <w:rFonts w:ascii="Arial" w:hAnsi="Arial" w:cs="Arial"/>
                <w:sz w:val="18"/>
                <w:szCs w:val="18"/>
              </w:rPr>
            </w:pPr>
            <w:r>
              <w:rPr>
                <w:rFonts w:ascii="Arial" w:hAnsi="Arial" w:cs="Arial"/>
                <w:sz w:val="18"/>
                <w:szCs w:val="18"/>
              </w:rPr>
              <w:t>473,835</w:t>
            </w:r>
          </w:p>
        </w:tc>
      </w:tr>
      <w:tr w:rsidR="00A43992" w14:paraId="0CFC1238" w14:textId="77777777" w:rsidTr="007211E3">
        <w:trPr>
          <w:trHeight w:val="255"/>
        </w:trPr>
        <w:tc>
          <w:tcPr>
            <w:tcW w:w="4400" w:type="dxa"/>
            <w:tcBorders>
              <w:top w:val="nil"/>
              <w:left w:val="nil"/>
              <w:bottom w:val="nil"/>
              <w:right w:val="nil"/>
            </w:tcBorders>
            <w:shd w:val="clear" w:color="FFFFFF" w:fill="FFFFFF"/>
            <w:vAlign w:val="bottom"/>
            <w:hideMark/>
          </w:tcPr>
          <w:p w14:paraId="07A6366D" w14:textId="77777777" w:rsidR="00A43992" w:rsidRDefault="00A43992" w:rsidP="007211E3">
            <w:pPr>
              <w:rPr>
                <w:rFonts w:ascii="Arial" w:hAnsi="Arial" w:cs="Arial"/>
                <w:b/>
                <w:bCs/>
                <w:sz w:val="18"/>
                <w:szCs w:val="18"/>
              </w:rPr>
            </w:pPr>
            <w:r>
              <w:rPr>
                <w:rFonts w:ascii="Arial" w:hAnsi="Arial" w:cs="Arial"/>
                <w:b/>
                <w:bCs/>
                <w:sz w:val="18"/>
                <w:szCs w:val="18"/>
              </w:rPr>
              <w:t xml:space="preserve">Surplus/(Deficit) </w:t>
            </w:r>
          </w:p>
        </w:tc>
        <w:tc>
          <w:tcPr>
            <w:tcW w:w="1077" w:type="dxa"/>
            <w:tcBorders>
              <w:top w:val="nil"/>
              <w:left w:val="nil"/>
              <w:bottom w:val="nil"/>
              <w:right w:val="nil"/>
            </w:tcBorders>
            <w:shd w:val="clear" w:color="FFFFFF" w:fill="FFFFFF"/>
            <w:noWrap/>
            <w:vAlign w:val="bottom"/>
            <w:hideMark/>
          </w:tcPr>
          <w:p w14:paraId="0E82AB7F" w14:textId="77777777" w:rsidR="00A43992" w:rsidRDefault="00A43992" w:rsidP="007211E3">
            <w:pPr>
              <w:jc w:val="center"/>
              <w:rPr>
                <w:rFonts w:ascii="Arial" w:hAnsi="Arial" w:cs="Arial"/>
                <w:sz w:val="18"/>
                <w:szCs w:val="18"/>
              </w:rPr>
            </w:pPr>
            <w:r>
              <w:rPr>
                <w:rFonts w:ascii="Arial" w:hAnsi="Arial" w:cs="Arial"/>
                <w:sz w:val="18"/>
                <w:szCs w:val="18"/>
              </w:rPr>
              <w:t> </w:t>
            </w:r>
          </w:p>
        </w:tc>
        <w:tc>
          <w:tcPr>
            <w:tcW w:w="1078" w:type="dxa"/>
            <w:tcBorders>
              <w:top w:val="single" w:sz="4" w:space="0" w:color="auto"/>
              <w:left w:val="nil"/>
              <w:bottom w:val="single" w:sz="4" w:space="0" w:color="auto"/>
              <w:right w:val="nil"/>
            </w:tcBorders>
            <w:shd w:val="clear" w:color="FFFFFF" w:fill="FFFFFF"/>
            <w:noWrap/>
            <w:vAlign w:val="bottom"/>
            <w:hideMark/>
          </w:tcPr>
          <w:p w14:paraId="45F9EDF2" w14:textId="77777777" w:rsidR="00A43992" w:rsidRDefault="00A43992" w:rsidP="007211E3">
            <w:pPr>
              <w:jc w:val="right"/>
              <w:rPr>
                <w:rFonts w:ascii="Arial" w:hAnsi="Arial" w:cs="Arial"/>
                <w:b/>
                <w:bCs/>
                <w:sz w:val="18"/>
                <w:szCs w:val="18"/>
              </w:rPr>
            </w:pPr>
            <w:r w:rsidRPr="00267088">
              <w:rPr>
                <w:rFonts w:ascii="Arial" w:hAnsi="Arial" w:cs="Arial"/>
                <w:b/>
                <w:bCs/>
                <w:sz w:val="18"/>
                <w:szCs w:val="18"/>
              </w:rPr>
              <w:t>15,782</w:t>
            </w:r>
          </w:p>
        </w:tc>
        <w:tc>
          <w:tcPr>
            <w:tcW w:w="236" w:type="dxa"/>
            <w:tcBorders>
              <w:top w:val="nil"/>
              <w:left w:val="nil"/>
              <w:bottom w:val="nil"/>
              <w:right w:val="nil"/>
            </w:tcBorders>
            <w:shd w:val="clear" w:color="FFFFFF" w:fill="FFFFFF"/>
            <w:noWrap/>
            <w:vAlign w:val="bottom"/>
            <w:hideMark/>
          </w:tcPr>
          <w:p w14:paraId="202A2958" w14:textId="77777777" w:rsidR="00A43992" w:rsidRDefault="00A43992" w:rsidP="007211E3">
            <w:pPr>
              <w:rPr>
                <w:rFonts w:ascii="Arial" w:hAnsi="Arial" w:cs="Arial"/>
                <w:sz w:val="18"/>
                <w:szCs w:val="18"/>
              </w:rPr>
            </w:pPr>
            <w:r>
              <w:rPr>
                <w:rFonts w:ascii="Arial" w:hAnsi="Arial" w:cs="Arial"/>
                <w:sz w:val="18"/>
                <w:szCs w:val="18"/>
              </w:rPr>
              <w:t> </w:t>
            </w:r>
          </w:p>
        </w:tc>
        <w:tc>
          <w:tcPr>
            <w:tcW w:w="1030" w:type="dxa"/>
            <w:tcBorders>
              <w:top w:val="single" w:sz="4" w:space="0" w:color="auto"/>
              <w:left w:val="nil"/>
              <w:bottom w:val="single" w:sz="4" w:space="0" w:color="auto"/>
              <w:right w:val="nil"/>
            </w:tcBorders>
            <w:shd w:val="clear" w:color="FFFFFF" w:fill="FFFFFF"/>
            <w:noWrap/>
            <w:vAlign w:val="bottom"/>
            <w:hideMark/>
          </w:tcPr>
          <w:p w14:paraId="0C80D2F0" w14:textId="77777777" w:rsidR="00A43992" w:rsidRDefault="00A43992" w:rsidP="007211E3">
            <w:pPr>
              <w:jc w:val="right"/>
              <w:rPr>
                <w:rFonts w:ascii="Arial" w:hAnsi="Arial" w:cs="Arial"/>
                <w:sz w:val="18"/>
                <w:szCs w:val="18"/>
              </w:rPr>
            </w:pPr>
            <w:r>
              <w:rPr>
                <w:rFonts w:ascii="Arial" w:hAnsi="Arial" w:cs="Arial"/>
                <w:sz w:val="18"/>
                <w:szCs w:val="18"/>
              </w:rPr>
              <w:t>409</w:t>
            </w:r>
          </w:p>
        </w:tc>
        <w:tc>
          <w:tcPr>
            <w:tcW w:w="236" w:type="dxa"/>
            <w:tcBorders>
              <w:top w:val="nil"/>
              <w:left w:val="nil"/>
              <w:bottom w:val="nil"/>
              <w:right w:val="nil"/>
            </w:tcBorders>
            <w:shd w:val="clear" w:color="FFFFFF" w:fill="FFFFFF"/>
            <w:noWrap/>
            <w:vAlign w:val="bottom"/>
            <w:hideMark/>
          </w:tcPr>
          <w:p w14:paraId="4528FCFB" w14:textId="77777777" w:rsidR="00A43992" w:rsidRDefault="00A43992" w:rsidP="007211E3">
            <w:pPr>
              <w:rPr>
                <w:rFonts w:ascii="Arial" w:hAnsi="Arial" w:cs="Arial"/>
                <w:sz w:val="18"/>
                <w:szCs w:val="18"/>
              </w:rPr>
            </w:pPr>
            <w:r>
              <w:rPr>
                <w:rFonts w:ascii="Arial" w:hAnsi="Arial" w:cs="Arial"/>
                <w:sz w:val="18"/>
                <w:szCs w:val="18"/>
              </w:rPr>
              <w:t> </w:t>
            </w:r>
          </w:p>
        </w:tc>
        <w:tc>
          <w:tcPr>
            <w:tcW w:w="1030" w:type="dxa"/>
            <w:tcBorders>
              <w:top w:val="single" w:sz="4" w:space="0" w:color="auto"/>
              <w:left w:val="nil"/>
              <w:bottom w:val="single" w:sz="4" w:space="0" w:color="auto"/>
              <w:right w:val="nil"/>
            </w:tcBorders>
            <w:shd w:val="clear" w:color="FFFFFF" w:fill="FFFFFF"/>
            <w:noWrap/>
            <w:vAlign w:val="bottom"/>
            <w:hideMark/>
          </w:tcPr>
          <w:p w14:paraId="507E0113" w14:textId="77777777" w:rsidR="00A43992" w:rsidRDefault="00A43992" w:rsidP="007211E3">
            <w:pPr>
              <w:jc w:val="right"/>
              <w:rPr>
                <w:rFonts w:ascii="Arial" w:hAnsi="Arial" w:cs="Arial"/>
                <w:sz w:val="18"/>
                <w:szCs w:val="18"/>
              </w:rPr>
            </w:pPr>
            <w:r>
              <w:rPr>
                <w:rFonts w:ascii="Arial" w:hAnsi="Arial" w:cs="Arial"/>
                <w:sz w:val="18"/>
                <w:szCs w:val="18"/>
              </w:rPr>
              <w:t>-</w:t>
            </w:r>
          </w:p>
        </w:tc>
      </w:tr>
      <w:tr w:rsidR="00A43992" w14:paraId="64E09A3E" w14:textId="77777777" w:rsidTr="007211E3">
        <w:trPr>
          <w:trHeight w:val="255"/>
        </w:trPr>
        <w:tc>
          <w:tcPr>
            <w:tcW w:w="4400" w:type="dxa"/>
            <w:tcBorders>
              <w:top w:val="nil"/>
              <w:left w:val="nil"/>
              <w:bottom w:val="nil"/>
              <w:right w:val="nil"/>
            </w:tcBorders>
            <w:shd w:val="clear" w:color="FFFFFF" w:fill="FFFFFF"/>
            <w:vAlign w:val="bottom"/>
            <w:hideMark/>
          </w:tcPr>
          <w:p w14:paraId="3D53996E" w14:textId="77777777" w:rsidR="00A43992" w:rsidRDefault="00A43992" w:rsidP="007211E3">
            <w:pPr>
              <w:rPr>
                <w:rFonts w:ascii="Arial" w:hAnsi="Arial" w:cs="Arial"/>
                <w:sz w:val="18"/>
                <w:szCs w:val="18"/>
              </w:rPr>
            </w:pPr>
            <w:r>
              <w:rPr>
                <w:rFonts w:ascii="Arial" w:hAnsi="Arial" w:cs="Arial"/>
                <w:sz w:val="18"/>
                <w:szCs w:val="18"/>
              </w:rPr>
              <w:t> </w:t>
            </w:r>
          </w:p>
        </w:tc>
        <w:tc>
          <w:tcPr>
            <w:tcW w:w="1077" w:type="dxa"/>
            <w:tcBorders>
              <w:top w:val="nil"/>
              <w:left w:val="nil"/>
              <w:bottom w:val="nil"/>
              <w:right w:val="nil"/>
            </w:tcBorders>
            <w:shd w:val="clear" w:color="FFFFFF" w:fill="FFFFFF"/>
            <w:noWrap/>
            <w:vAlign w:val="bottom"/>
            <w:hideMark/>
          </w:tcPr>
          <w:p w14:paraId="4B31D572" w14:textId="77777777" w:rsidR="00A43992" w:rsidRDefault="00A43992" w:rsidP="007211E3">
            <w:pPr>
              <w:jc w:val="center"/>
              <w:rPr>
                <w:rFonts w:ascii="Arial" w:hAnsi="Arial" w:cs="Arial"/>
                <w:sz w:val="18"/>
                <w:szCs w:val="18"/>
              </w:rPr>
            </w:pPr>
            <w:r>
              <w:rPr>
                <w:rFonts w:ascii="Arial" w:hAnsi="Arial" w:cs="Arial"/>
                <w:sz w:val="18"/>
                <w:szCs w:val="18"/>
              </w:rPr>
              <w:t> </w:t>
            </w:r>
          </w:p>
        </w:tc>
        <w:tc>
          <w:tcPr>
            <w:tcW w:w="1078" w:type="dxa"/>
            <w:tcBorders>
              <w:top w:val="nil"/>
              <w:left w:val="nil"/>
              <w:bottom w:val="nil"/>
              <w:right w:val="nil"/>
            </w:tcBorders>
            <w:shd w:val="clear" w:color="FFFFFF" w:fill="FFFFFF"/>
            <w:noWrap/>
            <w:vAlign w:val="bottom"/>
            <w:hideMark/>
          </w:tcPr>
          <w:p w14:paraId="51D65100" w14:textId="77777777" w:rsidR="00A43992" w:rsidRDefault="00A43992" w:rsidP="007211E3">
            <w:pPr>
              <w:jc w:val="right"/>
              <w:rPr>
                <w:rFonts w:ascii="Arial" w:hAnsi="Arial" w:cs="Arial"/>
                <w:b/>
                <w:bCs/>
                <w:sz w:val="18"/>
                <w:szCs w:val="18"/>
              </w:rPr>
            </w:pPr>
            <w:r>
              <w:rPr>
                <w:rFonts w:ascii="Arial" w:hAnsi="Arial" w:cs="Arial"/>
                <w:b/>
                <w:bCs/>
                <w:sz w:val="18"/>
                <w:szCs w:val="18"/>
              </w:rPr>
              <w:t> </w:t>
            </w:r>
          </w:p>
        </w:tc>
        <w:tc>
          <w:tcPr>
            <w:tcW w:w="236" w:type="dxa"/>
            <w:tcBorders>
              <w:top w:val="nil"/>
              <w:left w:val="nil"/>
              <w:bottom w:val="nil"/>
              <w:right w:val="nil"/>
            </w:tcBorders>
            <w:shd w:val="clear" w:color="FFFFFF" w:fill="FFFFFF"/>
            <w:noWrap/>
            <w:vAlign w:val="bottom"/>
            <w:hideMark/>
          </w:tcPr>
          <w:p w14:paraId="25EE5DFE" w14:textId="77777777" w:rsidR="00A43992" w:rsidRDefault="00A43992" w:rsidP="007211E3">
            <w:pPr>
              <w:rPr>
                <w:rFonts w:ascii="Arial" w:hAnsi="Arial" w:cs="Arial"/>
                <w:sz w:val="18"/>
                <w:szCs w:val="18"/>
              </w:rPr>
            </w:pPr>
            <w:r>
              <w:rPr>
                <w:rFonts w:ascii="Arial" w:hAnsi="Arial" w:cs="Arial"/>
                <w:sz w:val="18"/>
                <w:szCs w:val="18"/>
              </w:rPr>
              <w:t> </w:t>
            </w:r>
          </w:p>
        </w:tc>
        <w:tc>
          <w:tcPr>
            <w:tcW w:w="1030" w:type="dxa"/>
            <w:tcBorders>
              <w:top w:val="nil"/>
              <w:left w:val="nil"/>
              <w:bottom w:val="nil"/>
              <w:right w:val="nil"/>
            </w:tcBorders>
            <w:shd w:val="clear" w:color="FFFFFF" w:fill="FFFFFF"/>
            <w:noWrap/>
            <w:vAlign w:val="bottom"/>
            <w:hideMark/>
          </w:tcPr>
          <w:p w14:paraId="4498AFD1" w14:textId="77777777" w:rsidR="00A43992" w:rsidRDefault="00A43992" w:rsidP="007211E3">
            <w:pPr>
              <w:jc w:val="right"/>
              <w:rPr>
                <w:rFonts w:ascii="Arial" w:hAnsi="Arial" w:cs="Arial"/>
                <w:sz w:val="18"/>
                <w:szCs w:val="18"/>
              </w:rPr>
            </w:pPr>
            <w:r>
              <w:rPr>
                <w:rFonts w:ascii="Arial" w:hAnsi="Arial" w:cs="Arial"/>
                <w:sz w:val="18"/>
                <w:szCs w:val="18"/>
              </w:rPr>
              <w:t> </w:t>
            </w:r>
          </w:p>
        </w:tc>
        <w:tc>
          <w:tcPr>
            <w:tcW w:w="236" w:type="dxa"/>
            <w:tcBorders>
              <w:top w:val="nil"/>
              <w:left w:val="nil"/>
              <w:bottom w:val="nil"/>
              <w:right w:val="nil"/>
            </w:tcBorders>
            <w:shd w:val="clear" w:color="FFFFFF" w:fill="FFFFFF"/>
            <w:noWrap/>
            <w:vAlign w:val="bottom"/>
            <w:hideMark/>
          </w:tcPr>
          <w:p w14:paraId="309DB6E6" w14:textId="77777777" w:rsidR="00A43992" w:rsidRDefault="00A43992" w:rsidP="007211E3">
            <w:pPr>
              <w:rPr>
                <w:rFonts w:ascii="Arial" w:hAnsi="Arial" w:cs="Arial"/>
                <w:sz w:val="18"/>
                <w:szCs w:val="18"/>
              </w:rPr>
            </w:pPr>
            <w:r>
              <w:rPr>
                <w:rFonts w:ascii="Arial" w:hAnsi="Arial" w:cs="Arial"/>
                <w:sz w:val="18"/>
                <w:szCs w:val="18"/>
              </w:rPr>
              <w:t> </w:t>
            </w:r>
          </w:p>
        </w:tc>
        <w:tc>
          <w:tcPr>
            <w:tcW w:w="1030" w:type="dxa"/>
            <w:tcBorders>
              <w:top w:val="nil"/>
              <w:left w:val="nil"/>
              <w:bottom w:val="nil"/>
              <w:right w:val="nil"/>
            </w:tcBorders>
            <w:shd w:val="clear" w:color="FFFFFF" w:fill="FFFFFF"/>
            <w:noWrap/>
            <w:vAlign w:val="bottom"/>
            <w:hideMark/>
          </w:tcPr>
          <w:p w14:paraId="2D7E6475" w14:textId="77777777" w:rsidR="00A43992" w:rsidRDefault="00A43992" w:rsidP="007211E3">
            <w:pPr>
              <w:jc w:val="right"/>
              <w:rPr>
                <w:rFonts w:ascii="Arial" w:hAnsi="Arial" w:cs="Arial"/>
                <w:sz w:val="18"/>
                <w:szCs w:val="18"/>
              </w:rPr>
            </w:pPr>
            <w:r>
              <w:rPr>
                <w:rFonts w:ascii="Arial" w:hAnsi="Arial" w:cs="Arial"/>
                <w:sz w:val="18"/>
                <w:szCs w:val="18"/>
              </w:rPr>
              <w:t> </w:t>
            </w:r>
          </w:p>
        </w:tc>
      </w:tr>
      <w:tr w:rsidR="00A43992" w14:paraId="55BB1F15" w14:textId="77777777" w:rsidTr="007211E3">
        <w:trPr>
          <w:trHeight w:val="255"/>
        </w:trPr>
        <w:tc>
          <w:tcPr>
            <w:tcW w:w="4400" w:type="dxa"/>
            <w:tcBorders>
              <w:top w:val="nil"/>
              <w:left w:val="nil"/>
              <w:bottom w:val="nil"/>
              <w:right w:val="nil"/>
            </w:tcBorders>
            <w:shd w:val="clear" w:color="FFFFFF" w:fill="FFFFFF"/>
            <w:vAlign w:val="bottom"/>
            <w:hideMark/>
          </w:tcPr>
          <w:p w14:paraId="178A3024" w14:textId="77777777" w:rsidR="00A43992" w:rsidRDefault="00A43992" w:rsidP="007211E3">
            <w:pPr>
              <w:rPr>
                <w:rFonts w:ascii="Arial" w:hAnsi="Arial" w:cs="Arial"/>
                <w:b/>
                <w:bCs/>
                <w:sz w:val="18"/>
                <w:szCs w:val="18"/>
              </w:rPr>
            </w:pPr>
            <w:r>
              <w:rPr>
                <w:rFonts w:ascii="Arial" w:hAnsi="Arial" w:cs="Arial"/>
                <w:b/>
                <w:bCs/>
                <w:sz w:val="18"/>
                <w:szCs w:val="18"/>
              </w:rPr>
              <w:t>OTHER COMPREHENSIVE INCOME</w:t>
            </w:r>
          </w:p>
        </w:tc>
        <w:tc>
          <w:tcPr>
            <w:tcW w:w="1077" w:type="dxa"/>
            <w:tcBorders>
              <w:top w:val="nil"/>
              <w:left w:val="nil"/>
              <w:bottom w:val="nil"/>
              <w:right w:val="nil"/>
            </w:tcBorders>
            <w:shd w:val="clear" w:color="FFFFFF" w:fill="FFFFFF"/>
            <w:noWrap/>
            <w:vAlign w:val="bottom"/>
            <w:hideMark/>
          </w:tcPr>
          <w:p w14:paraId="2B6592F8" w14:textId="77777777" w:rsidR="00A43992" w:rsidRDefault="00A43992" w:rsidP="007211E3">
            <w:pPr>
              <w:jc w:val="center"/>
              <w:rPr>
                <w:rFonts w:ascii="Arial" w:hAnsi="Arial" w:cs="Arial"/>
                <w:sz w:val="18"/>
                <w:szCs w:val="18"/>
              </w:rPr>
            </w:pPr>
            <w:r>
              <w:rPr>
                <w:rFonts w:ascii="Arial" w:hAnsi="Arial" w:cs="Arial"/>
                <w:sz w:val="18"/>
                <w:szCs w:val="18"/>
              </w:rPr>
              <w:t> </w:t>
            </w:r>
          </w:p>
        </w:tc>
        <w:tc>
          <w:tcPr>
            <w:tcW w:w="1078" w:type="dxa"/>
            <w:tcBorders>
              <w:top w:val="nil"/>
              <w:left w:val="nil"/>
              <w:bottom w:val="nil"/>
              <w:right w:val="nil"/>
            </w:tcBorders>
            <w:shd w:val="clear" w:color="FFFFFF" w:fill="FFFFFF"/>
            <w:noWrap/>
            <w:vAlign w:val="bottom"/>
            <w:hideMark/>
          </w:tcPr>
          <w:p w14:paraId="72C40F47" w14:textId="77777777" w:rsidR="00A43992" w:rsidRDefault="00A43992" w:rsidP="007211E3">
            <w:pPr>
              <w:jc w:val="right"/>
              <w:rPr>
                <w:rFonts w:ascii="Arial" w:hAnsi="Arial" w:cs="Arial"/>
                <w:b/>
                <w:bCs/>
                <w:sz w:val="18"/>
                <w:szCs w:val="18"/>
              </w:rPr>
            </w:pPr>
            <w:r>
              <w:rPr>
                <w:rFonts w:ascii="Arial" w:hAnsi="Arial" w:cs="Arial"/>
                <w:b/>
                <w:bCs/>
                <w:sz w:val="18"/>
                <w:szCs w:val="18"/>
              </w:rPr>
              <w:t> </w:t>
            </w:r>
          </w:p>
        </w:tc>
        <w:tc>
          <w:tcPr>
            <w:tcW w:w="236" w:type="dxa"/>
            <w:tcBorders>
              <w:top w:val="nil"/>
              <w:left w:val="nil"/>
              <w:bottom w:val="nil"/>
              <w:right w:val="nil"/>
            </w:tcBorders>
            <w:shd w:val="clear" w:color="FFFFFF" w:fill="FFFFFF"/>
            <w:noWrap/>
            <w:vAlign w:val="bottom"/>
            <w:hideMark/>
          </w:tcPr>
          <w:p w14:paraId="668B192B" w14:textId="77777777" w:rsidR="00A43992" w:rsidRDefault="00A43992" w:rsidP="007211E3">
            <w:pPr>
              <w:rPr>
                <w:rFonts w:ascii="Arial" w:hAnsi="Arial" w:cs="Arial"/>
                <w:sz w:val="18"/>
                <w:szCs w:val="18"/>
              </w:rPr>
            </w:pPr>
            <w:r>
              <w:rPr>
                <w:rFonts w:ascii="Arial" w:hAnsi="Arial" w:cs="Arial"/>
                <w:sz w:val="18"/>
                <w:szCs w:val="18"/>
              </w:rPr>
              <w:t> </w:t>
            </w:r>
          </w:p>
        </w:tc>
        <w:tc>
          <w:tcPr>
            <w:tcW w:w="1030" w:type="dxa"/>
            <w:tcBorders>
              <w:top w:val="nil"/>
              <w:left w:val="nil"/>
              <w:bottom w:val="nil"/>
              <w:right w:val="nil"/>
            </w:tcBorders>
            <w:shd w:val="clear" w:color="FFFFFF" w:fill="FFFFFF"/>
            <w:noWrap/>
            <w:vAlign w:val="bottom"/>
            <w:hideMark/>
          </w:tcPr>
          <w:p w14:paraId="01516290" w14:textId="77777777" w:rsidR="00A43992" w:rsidRDefault="00A43992" w:rsidP="007211E3">
            <w:pPr>
              <w:jc w:val="right"/>
              <w:rPr>
                <w:rFonts w:ascii="Arial" w:hAnsi="Arial" w:cs="Arial"/>
                <w:sz w:val="18"/>
                <w:szCs w:val="18"/>
              </w:rPr>
            </w:pPr>
            <w:r>
              <w:rPr>
                <w:rFonts w:ascii="Arial" w:hAnsi="Arial" w:cs="Arial"/>
                <w:sz w:val="18"/>
                <w:szCs w:val="18"/>
              </w:rPr>
              <w:t> </w:t>
            </w:r>
          </w:p>
        </w:tc>
        <w:tc>
          <w:tcPr>
            <w:tcW w:w="236" w:type="dxa"/>
            <w:tcBorders>
              <w:top w:val="nil"/>
              <w:left w:val="nil"/>
              <w:bottom w:val="nil"/>
              <w:right w:val="nil"/>
            </w:tcBorders>
            <w:shd w:val="clear" w:color="FFFFFF" w:fill="FFFFFF"/>
            <w:noWrap/>
            <w:vAlign w:val="bottom"/>
            <w:hideMark/>
          </w:tcPr>
          <w:p w14:paraId="2A3EDCEB" w14:textId="77777777" w:rsidR="00A43992" w:rsidRDefault="00A43992" w:rsidP="007211E3">
            <w:pPr>
              <w:rPr>
                <w:rFonts w:ascii="Arial" w:hAnsi="Arial" w:cs="Arial"/>
                <w:sz w:val="18"/>
                <w:szCs w:val="18"/>
              </w:rPr>
            </w:pPr>
            <w:r>
              <w:rPr>
                <w:rFonts w:ascii="Arial" w:hAnsi="Arial" w:cs="Arial"/>
                <w:sz w:val="18"/>
                <w:szCs w:val="18"/>
              </w:rPr>
              <w:t> </w:t>
            </w:r>
          </w:p>
        </w:tc>
        <w:tc>
          <w:tcPr>
            <w:tcW w:w="1030" w:type="dxa"/>
            <w:tcBorders>
              <w:top w:val="nil"/>
              <w:left w:val="nil"/>
              <w:bottom w:val="nil"/>
              <w:right w:val="nil"/>
            </w:tcBorders>
            <w:shd w:val="clear" w:color="FFFFFF" w:fill="FFFFFF"/>
            <w:noWrap/>
            <w:vAlign w:val="bottom"/>
            <w:hideMark/>
          </w:tcPr>
          <w:p w14:paraId="48ADFC76" w14:textId="77777777" w:rsidR="00A43992" w:rsidRDefault="00A43992" w:rsidP="007211E3">
            <w:pPr>
              <w:jc w:val="right"/>
              <w:rPr>
                <w:rFonts w:ascii="Arial" w:hAnsi="Arial" w:cs="Arial"/>
                <w:sz w:val="18"/>
                <w:szCs w:val="18"/>
              </w:rPr>
            </w:pPr>
            <w:r>
              <w:rPr>
                <w:rFonts w:ascii="Arial" w:hAnsi="Arial" w:cs="Arial"/>
                <w:sz w:val="18"/>
                <w:szCs w:val="18"/>
              </w:rPr>
              <w:t> </w:t>
            </w:r>
          </w:p>
        </w:tc>
      </w:tr>
      <w:tr w:rsidR="00A43992" w14:paraId="18D2FECC" w14:textId="77777777" w:rsidTr="007211E3">
        <w:trPr>
          <w:trHeight w:val="480"/>
        </w:trPr>
        <w:tc>
          <w:tcPr>
            <w:tcW w:w="4400" w:type="dxa"/>
            <w:tcBorders>
              <w:top w:val="nil"/>
              <w:left w:val="nil"/>
              <w:bottom w:val="nil"/>
              <w:right w:val="nil"/>
            </w:tcBorders>
            <w:shd w:val="clear" w:color="FFFFFF" w:fill="FFFFFF"/>
            <w:vAlign w:val="bottom"/>
            <w:hideMark/>
          </w:tcPr>
          <w:p w14:paraId="06A4537B" w14:textId="77777777" w:rsidR="00A43992" w:rsidRDefault="00A43992" w:rsidP="007211E3">
            <w:pPr>
              <w:rPr>
                <w:rFonts w:ascii="Arial" w:hAnsi="Arial" w:cs="Arial"/>
                <w:b/>
                <w:bCs/>
                <w:sz w:val="18"/>
                <w:szCs w:val="18"/>
              </w:rPr>
            </w:pPr>
            <w:r>
              <w:rPr>
                <w:rFonts w:ascii="Arial" w:hAnsi="Arial" w:cs="Arial"/>
                <w:b/>
                <w:bCs/>
                <w:sz w:val="18"/>
                <w:szCs w:val="18"/>
              </w:rPr>
              <w:t>Items not subject to subsequent reclassification to net cost of services</w:t>
            </w:r>
          </w:p>
        </w:tc>
        <w:tc>
          <w:tcPr>
            <w:tcW w:w="1077" w:type="dxa"/>
            <w:tcBorders>
              <w:top w:val="nil"/>
              <w:left w:val="nil"/>
              <w:bottom w:val="nil"/>
              <w:right w:val="nil"/>
            </w:tcBorders>
            <w:shd w:val="clear" w:color="FFFFFF" w:fill="FFFFFF"/>
            <w:noWrap/>
            <w:vAlign w:val="bottom"/>
            <w:hideMark/>
          </w:tcPr>
          <w:p w14:paraId="692349E8" w14:textId="77777777" w:rsidR="00A43992" w:rsidRDefault="00A43992" w:rsidP="007211E3">
            <w:pPr>
              <w:jc w:val="center"/>
              <w:rPr>
                <w:rFonts w:ascii="Arial" w:hAnsi="Arial" w:cs="Arial"/>
                <w:sz w:val="18"/>
                <w:szCs w:val="18"/>
              </w:rPr>
            </w:pPr>
            <w:r>
              <w:rPr>
                <w:rFonts w:ascii="Arial" w:hAnsi="Arial" w:cs="Arial"/>
                <w:sz w:val="18"/>
                <w:szCs w:val="18"/>
              </w:rPr>
              <w:t> </w:t>
            </w:r>
          </w:p>
        </w:tc>
        <w:tc>
          <w:tcPr>
            <w:tcW w:w="1078" w:type="dxa"/>
            <w:tcBorders>
              <w:top w:val="nil"/>
              <w:left w:val="nil"/>
              <w:bottom w:val="nil"/>
              <w:right w:val="nil"/>
            </w:tcBorders>
            <w:shd w:val="clear" w:color="FFFFFF" w:fill="FFFFFF"/>
            <w:noWrap/>
            <w:vAlign w:val="bottom"/>
            <w:hideMark/>
          </w:tcPr>
          <w:p w14:paraId="09D73A47" w14:textId="77777777" w:rsidR="00A43992" w:rsidRDefault="00A43992" w:rsidP="007211E3">
            <w:pPr>
              <w:jc w:val="right"/>
              <w:rPr>
                <w:rFonts w:ascii="Arial" w:hAnsi="Arial" w:cs="Arial"/>
                <w:b/>
                <w:bCs/>
                <w:sz w:val="18"/>
                <w:szCs w:val="18"/>
              </w:rPr>
            </w:pPr>
            <w:r>
              <w:rPr>
                <w:rFonts w:ascii="Arial" w:hAnsi="Arial" w:cs="Arial"/>
                <w:b/>
                <w:bCs/>
                <w:sz w:val="18"/>
                <w:szCs w:val="18"/>
              </w:rPr>
              <w:t> </w:t>
            </w:r>
          </w:p>
        </w:tc>
        <w:tc>
          <w:tcPr>
            <w:tcW w:w="236" w:type="dxa"/>
            <w:tcBorders>
              <w:top w:val="nil"/>
              <w:left w:val="nil"/>
              <w:bottom w:val="nil"/>
              <w:right w:val="nil"/>
            </w:tcBorders>
            <w:shd w:val="clear" w:color="FFFFFF" w:fill="FFFFFF"/>
            <w:noWrap/>
            <w:vAlign w:val="bottom"/>
            <w:hideMark/>
          </w:tcPr>
          <w:p w14:paraId="20E365F9" w14:textId="77777777" w:rsidR="00A43992" w:rsidRDefault="00A43992" w:rsidP="007211E3">
            <w:pPr>
              <w:rPr>
                <w:rFonts w:ascii="Arial" w:hAnsi="Arial" w:cs="Arial"/>
                <w:sz w:val="18"/>
                <w:szCs w:val="18"/>
              </w:rPr>
            </w:pPr>
            <w:r>
              <w:rPr>
                <w:rFonts w:ascii="Arial" w:hAnsi="Arial" w:cs="Arial"/>
                <w:sz w:val="18"/>
                <w:szCs w:val="18"/>
              </w:rPr>
              <w:t> </w:t>
            </w:r>
          </w:p>
        </w:tc>
        <w:tc>
          <w:tcPr>
            <w:tcW w:w="1030" w:type="dxa"/>
            <w:tcBorders>
              <w:top w:val="nil"/>
              <w:left w:val="nil"/>
              <w:bottom w:val="nil"/>
              <w:right w:val="nil"/>
            </w:tcBorders>
            <w:shd w:val="clear" w:color="FFFFFF" w:fill="FFFFFF"/>
            <w:noWrap/>
            <w:vAlign w:val="bottom"/>
            <w:hideMark/>
          </w:tcPr>
          <w:p w14:paraId="4ECBD36E" w14:textId="77777777" w:rsidR="00A43992" w:rsidRDefault="00A43992" w:rsidP="007211E3">
            <w:pPr>
              <w:jc w:val="right"/>
              <w:rPr>
                <w:rFonts w:ascii="Arial" w:hAnsi="Arial" w:cs="Arial"/>
                <w:sz w:val="18"/>
                <w:szCs w:val="18"/>
              </w:rPr>
            </w:pPr>
            <w:r>
              <w:rPr>
                <w:rFonts w:ascii="Arial" w:hAnsi="Arial" w:cs="Arial"/>
                <w:sz w:val="18"/>
                <w:szCs w:val="18"/>
              </w:rPr>
              <w:t> </w:t>
            </w:r>
          </w:p>
        </w:tc>
        <w:tc>
          <w:tcPr>
            <w:tcW w:w="236" w:type="dxa"/>
            <w:tcBorders>
              <w:top w:val="nil"/>
              <w:left w:val="nil"/>
              <w:bottom w:val="nil"/>
              <w:right w:val="nil"/>
            </w:tcBorders>
            <w:shd w:val="clear" w:color="FFFFFF" w:fill="FFFFFF"/>
            <w:noWrap/>
            <w:vAlign w:val="bottom"/>
            <w:hideMark/>
          </w:tcPr>
          <w:p w14:paraId="7C7AF1DB" w14:textId="77777777" w:rsidR="00A43992" w:rsidRDefault="00A43992" w:rsidP="007211E3">
            <w:pPr>
              <w:rPr>
                <w:rFonts w:ascii="Arial" w:hAnsi="Arial" w:cs="Arial"/>
                <w:sz w:val="18"/>
                <w:szCs w:val="18"/>
              </w:rPr>
            </w:pPr>
            <w:r>
              <w:rPr>
                <w:rFonts w:ascii="Arial" w:hAnsi="Arial" w:cs="Arial"/>
                <w:sz w:val="18"/>
                <w:szCs w:val="18"/>
              </w:rPr>
              <w:t> </w:t>
            </w:r>
          </w:p>
        </w:tc>
        <w:tc>
          <w:tcPr>
            <w:tcW w:w="1030" w:type="dxa"/>
            <w:tcBorders>
              <w:top w:val="nil"/>
              <w:left w:val="nil"/>
              <w:bottom w:val="nil"/>
              <w:right w:val="nil"/>
            </w:tcBorders>
            <w:shd w:val="clear" w:color="FFFFFF" w:fill="FFFFFF"/>
            <w:noWrap/>
            <w:vAlign w:val="bottom"/>
            <w:hideMark/>
          </w:tcPr>
          <w:p w14:paraId="139D6907" w14:textId="77777777" w:rsidR="00A43992" w:rsidRDefault="00A43992" w:rsidP="007211E3">
            <w:pPr>
              <w:jc w:val="right"/>
              <w:rPr>
                <w:rFonts w:ascii="Arial" w:hAnsi="Arial" w:cs="Arial"/>
                <w:sz w:val="18"/>
                <w:szCs w:val="18"/>
              </w:rPr>
            </w:pPr>
            <w:r>
              <w:rPr>
                <w:rFonts w:ascii="Arial" w:hAnsi="Arial" w:cs="Arial"/>
                <w:sz w:val="18"/>
                <w:szCs w:val="18"/>
              </w:rPr>
              <w:t> </w:t>
            </w:r>
          </w:p>
        </w:tc>
      </w:tr>
      <w:tr w:rsidR="00A43992" w14:paraId="79520E5C" w14:textId="77777777" w:rsidTr="007211E3">
        <w:trPr>
          <w:trHeight w:val="255"/>
        </w:trPr>
        <w:tc>
          <w:tcPr>
            <w:tcW w:w="4400" w:type="dxa"/>
            <w:tcBorders>
              <w:top w:val="nil"/>
              <w:left w:val="nil"/>
              <w:bottom w:val="nil"/>
              <w:right w:val="nil"/>
            </w:tcBorders>
            <w:shd w:val="clear" w:color="FFFFFF" w:fill="FFFFFF"/>
            <w:vAlign w:val="bottom"/>
            <w:hideMark/>
          </w:tcPr>
          <w:p w14:paraId="718595FF" w14:textId="77777777" w:rsidR="00A43992" w:rsidRDefault="00A43992" w:rsidP="007211E3">
            <w:pPr>
              <w:ind w:firstLineChars="100" w:firstLine="180"/>
              <w:rPr>
                <w:rFonts w:ascii="Arial" w:hAnsi="Arial" w:cs="Arial"/>
                <w:sz w:val="18"/>
                <w:szCs w:val="18"/>
              </w:rPr>
            </w:pPr>
            <w:r>
              <w:rPr>
                <w:rFonts w:ascii="Arial" w:hAnsi="Arial" w:cs="Arial"/>
                <w:sz w:val="18"/>
                <w:szCs w:val="18"/>
              </w:rPr>
              <w:t>Changes in asset revaluation surplus</w:t>
            </w:r>
          </w:p>
        </w:tc>
        <w:tc>
          <w:tcPr>
            <w:tcW w:w="1077" w:type="dxa"/>
            <w:tcBorders>
              <w:top w:val="nil"/>
              <w:left w:val="nil"/>
              <w:bottom w:val="nil"/>
              <w:right w:val="nil"/>
            </w:tcBorders>
            <w:shd w:val="clear" w:color="FFFFFF" w:fill="FFFFFF"/>
            <w:noWrap/>
            <w:vAlign w:val="bottom"/>
            <w:hideMark/>
          </w:tcPr>
          <w:p w14:paraId="2CD85930" w14:textId="77777777" w:rsidR="00A43992" w:rsidRDefault="00A43992" w:rsidP="007211E3">
            <w:pPr>
              <w:jc w:val="center"/>
              <w:rPr>
                <w:rFonts w:ascii="Arial" w:hAnsi="Arial" w:cs="Arial"/>
                <w:sz w:val="18"/>
                <w:szCs w:val="18"/>
              </w:rPr>
            </w:pPr>
            <w:r>
              <w:rPr>
                <w:rFonts w:ascii="Arial" w:hAnsi="Arial" w:cs="Arial"/>
                <w:sz w:val="18"/>
                <w:szCs w:val="18"/>
              </w:rPr>
              <w:t> </w:t>
            </w:r>
          </w:p>
        </w:tc>
        <w:tc>
          <w:tcPr>
            <w:tcW w:w="1078" w:type="dxa"/>
            <w:tcBorders>
              <w:top w:val="nil"/>
              <w:left w:val="nil"/>
              <w:bottom w:val="nil"/>
              <w:right w:val="nil"/>
            </w:tcBorders>
            <w:shd w:val="clear" w:color="FFFFFF" w:fill="FFFFFF"/>
            <w:noWrap/>
            <w:vAlign w:val="bottom"/>
            <w:hideMark/>
          </w:tcPr>
          <w:p w14:paraId="02E26287" w14:textId="77777777" w:rsidR="00A43992" w:rsidRDefault="00A43992" w:rsidP="007211E3">
            <w:pPr>
              <w:jc w:val="right"/>
              <w:rPr>
                <w:rFonts w:ascii="Arial" w:hAnsi="Arial" w:cs="Arial"/>
                <w:b/>
                <w:bCs/>
                <w:sz w:val="18"/>
                <w:szCs w:val="18"/>
              </w:rPr>
            </w:pPr>
            <w:r>
              <w:rPr>
                <w:rFonts w:ascii="Arial" w:hAnsi="Arial" w:cs="Arial"/>
                <w:b/>
                <w:bCs/>
                <w:sz w:val="18"/>
                <w:szCs w:val="18"/>
              </w:rPr>
              <w:t>1,881</w:t>
            </w:r>
          </w:p>
        </w:tc>
        <w:tc>
          <w:tcPr>
            <w:tcW w:w="236" w:type="dxa"/>
            <w:tcBorders>
              <w:top w:val="nil"/>
              <w:left w:val="nil"/>
              <w:bottom w:val="nil"/>
              <w:right w:val="nil"/>
            </w:tcBorders>
            <w:shd w:val="clear" w:color="FFFFFF" w:fill="FFFFFF"/>
            <w:noWrap/>
            <w:vAlign w:val="bottom"/>
            <w:hideMark/>
          </w:tcPr>
          <w:p w14:paraId="41EA9196" w14:textId="77777777" w:rsidR="00A43992" w:rsidRDefault="00A43992" w:rsidP="007211E3">
            <w:pPr>
              <w:rPr>
                <w:rFonts w:ascii="Arial" w:hAnsi="Arial" w:cs="Arial"/>
                <w:sz w:val="18"/>
                <w:szCs w:val="18"/>
              </w:rPr>
            </w:pPr>
            <w:r>
              <w:rPr>
                <w:rFonts w:ascii="Arial" w:hAnsi="Arial" w:cs="Arial"/>
                <w:sz w:val="18"/>
                <w:szCs w:val="18"/>
              </w:rPr>
              <w:t> </w:t>
            </w:r>
          </w:p>
        </w:tc>
        <w:tc>
          <w:tcPr>
            <w:tcW w:w="1030" w:type="dxa"/>
            <w:tcBorders>
              <w:top w:val="nil"/>
              <w:left w:val="nil"/>
              <w:bottom w:val="nil"/>
              <w:right w:val="nil"/>
            </w:tcBorders>
            <w:shd w:val="clear" w:color="FFFFFF" w:fill="FFFFFF"/>
            <w:noWrap/>
            <w:vAlign w:val="bottom"/>
            <w:hideMark/>
          </w:tcPr>
          <w:p w14:paraId="5EDFF857" w14:textId="77777777" w:rsidR="00A43992" w:rsidRDefault="00A43992" w:rsidP="007211E3">
            <w:pPr>
              <w:jc w:val="right"/>
              <w:rPr>
                <w:rFonts w:ascii="Arial" w:hAnsi="Arial" w:cs="Arial"/>
                <w:sz w:val="18"/>
                <w:szCs w:val="18"/>
              </w:rPr>
            </w:pPr>
            <w:r>
              <w:rPr>
                <w:rFonts w:ascii="Arial" w:hAnsi="Arial" w:cs="Arial"/>
                <w:sz w:val="18"/>
                <w:szCs w:val="18"/>
              </w:rPr>
              <w:t>-</w:t>
            </w:r>
          </w:p>
        </w:tc>
        <w:tc>
          <w:tcPr>
            <w:tcW w:w="236" w:type="dxa"/>
            <w:tcBorders>
              <w:top w:val="nil"/>
              <w:left w:val="nil"/>
              <w:bottom w:val="nil"/>
              <w:right w:val="nil"/>
            </w:tcBorders>
            <w:shd w:val="clear" w:color="FFFFFF" w:fill="FFFFFF"/>
            <w:noWrap/>
            <w:vAlign w:val="bottom"/>
            <w:hideMark/>
          </w:tcPr>
          <w:p w14:paraId="51471212" w14:textId="77777777" w:rsidR="00A43992" w:rsidRDefault="00A43992" w:rsidP="007211E3">
            <w:pPr>
              <w:rPr>
                <w:rFonts w:ascii="Arial" w:hAnsi="Arial" w:cs="Arial"/>
                <w:sz w:val="18"/>
                <w:szCs w:val="18"/>
              </w:rPr>
            </w:pPr>
            <w:r>
              <w:rPr>
                <w:rFonts w:ascii="Arial" w:hAnsi="Arial" w:cs="Arial"/>
                <w:sz w:val="18"/>
                <w:szCs w:val="18"/>
              </w:rPr>
              <w:t> </w:t>
            </w:r>
          </w:p>
        </w:tc>
        <w:tc>
          <w:tcPr>
            <w:tcW w:w="1030" w:type="dxa"/>
            <w:tcBorders>
              <w:top w:val="nil"/>
              <w:left w:val="nil"/>
              <w:bottom w:val="nil"/>
              <w:right w:val="nil"/>
            </w:tcBorders>
            <w:shd w:val="clear" w:color="FFFFFF" w:fill="FFFFFF"/>
            <w:noWrap/>
            <w:vAlign w:val="bottom"/>
            <w:hideMark/>
          </w:tcPr>
          <w:p w14:paraId="2E8D2F08" w14:textId="77777777" w:rsidR="00A43992" w:rsidRDefault="00A43992" w:rsidP="007211E3">
            <w:pPr>
              <w:jc w:val="right"/>
              <w:rPr>
                <w:rFonts w:ascii="Arial" w:hAnsi="Arial" w:cs="Arial"/>
                <w:sz w:val="18"/>
                <w:szCs w:val="18"/>
              </w:rPr>
            </w:pPr>
            <w:r>
              <w:rPr>
                <w:rFonts w:ascii="Arial" w:hAnsi="Arial" w:cs="Arial"/>
                <w:sz w:val="18"/>
                <w:szCs w:val="18"/>
              </w:rPr>
              <w:t>- </w:t>
            </w:r>
          </w:p>
        </w:tc>
      </w:tr>
      <w:tr w:rsidR="00A43992" w14:paraId="1526730A" w14:textId="77777777" w:rsidTr="007211E3">
        <w:trPr>
          <w:trHeight w:val="255"/>
        </w:trPr>
        <w:tc>
          <w:tcPr>
            <w:tcW w:w="4400" w:type="dxa"/>
            <w:tcBorders>
              <w:top w:val="nil"/>
              <w:left w:val="nil"/>
              <w:bottom w:val="nil"/>
              <w:right w:val="nil"/>
            </w:tcBorders>
            <w:shd w:val="clear" w:color="FFFFFF" w:fill="FFFFFF"/>
            <w:vAlign w:val="bottom"/>
            <w:hideMark/>
          </w:tcPr>
          <w:p w14:paraId="5BFDD210" w14:textId="77777777" w:rsidR="00A43992" w:rsidRDefault="00A43992" w:rsidP="007211E3">
            <w:pPr>
              <w:rPr>
                <w:rFonts w:ascii="Arial" w:hAnsi="Arial" w:cs="Arial"/>
                <w:b/>
                <w:bCs/>
                <w:sz w:val="18"/>
                <w:szCs w:val="18"/>
              </w:rPr>
            </w:pPr>
            <w:r>
              <w:rPr>
                <w:rFonts w:ascii="Arial" w:hAnsi="Arial" w:cs="Arial"/>
                <w:b/>
                <w:bCs/>
                <w:sz w:val="18"/>
                <w:szCs w:val="18"/>
              </w:rPr>
              <w:t>Total comprehensive income</w:t>
            </w:r>
          </w:p>
        </w:tc>
        <w:tc>
          <w:tcPr>
            <w:tcW w:w="1077" w:type="dxa"/>
            <w:tcBorders>
              <w:top w:val="nil"/>
              <w:left w:val="nil"/>
              <w:bottom w:val="nil"/>
              <w:right w:val="nil"/>
            </w:tcBorders>
            <w:shd w:val="clear" w:color="FFFFFF" w:fill="FFFFFF"/>
            <w:noWrap/>
            <w:vAlign w:val="bottom"/>
            <w:hideMark/>
          </w:tcPr>
          <w:p w14:paraId="3370865B" w14:textId="77777777" w:rsidR="00A43992" w:rsidRDefault="00A43992" w:rsidP="007211E3">
            <w:pPr>
              <w:jc w:val="center"/>
              <w:rPr>
                <w:rFonts w:ascii="Arial" w:hAnsi="Arial" w:cs="Arial"/>
                <w:sz w:val="18"/>
                <w:szCs w:val="18"/>
              </w:rPr>
            </w:pPr>
            <w:r>
              <w:rPr>
                <w:rFonts w:ascii="Arial" w:hAnsi="Arial" w:cs="Arial"/>
                <w:sz w:val="18"/>
                <w:szCs w:val="18"/>
              </w:rPr>
              <w:t> </w:t>
            </w:r>
          </w:p>
        </w:tc>
        <w:tc>
          <w:tcPr>
            <w:tcW w:w="1078" w:type="dxa"/>
            <w:tcBorders>
              <w:top w:val="single" w:sz="4" w:space="0" w:color="auto"/>
              <w:left w:val="nil"/>
              <w:bottom w:val="single" w:sz="4" w:space="0" w:color="auto"/>
              <w:right w:val="nil"/>
            </w:tcBorders>
            <w:shd w:val="clear" w:color="FFFFFF" w:fill="FFFFFF"/>
            <w:noWrap/>
            <w:vAlign w:val="bottom"/>
            <w:hideMark/>
          </w:tcPr>
          <w:p w14:paraId="7EDF2307" w14:textId="77777777" w:rsidR="00A43992" w:rsidRDefault="00A43992" w:rsidP="007211E3">
            <w:pPr>
              <w:jc w:val="right"/>
              <w:rPr>
                <w:rFonts w:ascii="Arial" w:hAnsi="Arial" w:cs="Arial"/>
                <w:b/>
                <w:bCs/>
                <w:sz w:val="18"/>
                <w:szCs w:val="18"/>
              </w:rPr>
            </w:pPr>
            <w:r>
              <w:rPr>
                <w:rFonts w:ascii="Arial" w:hAnsi="Arial" w:cs="Arial"/>
                <w:b/>
                <w:bCs/>
                <w:sz w:val="18"/>
                <w:szCs w:val="18"/>
              </w:rPr>
              <w:t>1,881</w:t>
            </w:r>
          </w:p>
        </w:tc>
        <w:tc>
          <w:tcPr>
            <w:tcW w:w="236" w:type="dxa"/>
            <w:tcBorders>
              <w:top w:val="nil"/>
              <w:left w:val="nil"/>
              <w:bottom w:val="nil"/>
              <w:right w:val="nil"/>
            </w:tcBorders>
            <w:shd w:val="clear" w:color="FFFFFF" w:fill="FFFFFF"/>
            <w:noWrap/>
            <w:vAlign w:val="bottom"/>
            <w:hideMark/>
          </w:tcPr>
          <w:p w14:paraId="514FB8CE" w14:textId="77777777" w:rsidR="00A43992" w:rsidRDefault="00A43992" w:rsidP="007211E3">
            <w:pPr>
              <w:rPr>
                <w:rFonts w:ascii="Arial" w:hAnsi="Arial" w:cs="Arial"/>
                <w:sz w:val="18"/>
                <w:szCs w:val="18"/>
              </w:rPr>
            </w:pPr>
            <w:r>
              <w:rPr>
                <w:rFonts w:ascii="Arial" w:hAnsi="Arial" w:cs="Arial"/>
                <w:sz w:val="18"/>
                <w:szCs w:val="18"/>
              </w:rPr>
              <w:t> </w:t>
            </w:r>
          </w:p>
        </w:tc>
        <w:tc>
          <w:tcPr>
            <w:tcW w:w="1030" w:type="dxa"/>
            <w:tcBorders>
              <w:top w:val="single" w:sz="4" w:space="0" w:color="auto"/>
              <w:left w:val="nil"/>
              <w:bottom w:val="single" w:sz="4" w:space="0" w:color="auto"/>
              <w:right w:val="nil"/>
            </w:tcBorders>
            <w:shd w:val="clear" w:color="FFFFFF" w:fill="FFFFFF"/>
            <w:noWrap/>
            <w:vAlign w:val="bottom"/>
            <w:hideMark/>
          </w:tcPr>
          <w:p w14:paraId="7A719B03" w14:textId="77777777" w:rsidR="00A43992" w:rsidRDefault="00A43992" w:rsidP="007211E3">
            <w:pPr>
              <w:jc w:val="right"/>
              <w:rPr>
                <w:rFonts w:ascii="Arial" w:hAnsi="Arial" w:cs="Arial"/>
                <w:sz w:val="18"/>
                <w:szCs w:val="18"/>
              </w:rPr>
            </w:pPr>
            <w:r>
              <w:rPr>
                <w:rFonts w:ascii="Arial" w:hAnsi="Arial" w:cs="Arial"/>
                <w:sz w:val="18"/>
                <w:szCs w:val="18"/>
              </w:rPr>
              <w:t>-</w:t>
            </w:r>
          </w:p>
        </w:tc>
        <w:tc>
          <w:tcPr>
            <w:tcW w:w="236" w:type="dxa"/>
            <w:tcBorders>
              <w:top w:val="nil"/>
              <w:left w:val="nil"/>
              <w:bottom w:val="nil"/>
              <w:right w:val="nil"/>
            </w:tcBorders>
            <w:shd w:val="clear" w:color="FFFFFF" w:fill="FFFFFF"/>
            <w:noWrap/>
            <w:vAlign w:val="bottom"/>
            <w:hideMark/>
          </w:tcPr>
          <w:p w14:paraId="7354BCAB" w14:textId="77777777" w:rsidR="00A43992" w:rsidRDefault="00A43992" w:rsidP="007211E3">
            <w:pPr>
              <w:rPr>
                <w:rFonts w:ascii="Arial" w:hAnsi="Arial" w:cs="Arial"/>
                <w:sz w:val="18"/>
                <w:szCs w:val="18"/>
              </w:rPr>
            </w:pPr>
            <w:r>
              <w:rPr>
                <w:rFonts w:ascii="Arial" w:hAnsi="Arial" w:cs="Arial"/>
                <w:sz w:val="18"/>
                <w:szCs w:val="18"/>
              </w:rPr>
              <w:t> </w:t>
            </w:r>
          </w:p>
        </w:tc>
        <w:tc>
          <w:tcPr>
            <w:tcW w:w="1030" w:type="dxa"/>
            <w:tcBorders>
              <w:top w:val="single" w:sz="4" w:space="0" w:color="auto"/>
              <w:left w:val="nil"/>
              <w:bottom w:val="single" w:sz="4" w:space="0" w:color="auto"/>
              <w:right w:val="nil"/>
            </w:tcBorders>
            <w:shd w:val="clear" w:color="FFFFFF" w:fill="FFFFFF"/>
            <w:noWrap/>
            <w:vAlign w:val="bottom"/>
            <w:hideMark/>
          </w:tcPr>
          <w:p w14:paraId="14D6F29F" w14:textId="77777777" w:rsidR="00A43992" w:rsidRDefault="00A43992" w:rsidP="007211E3">
            <w:pPr>
              <w:jc w:val="right"/>
              <w:rPr>
                <w:rFonts w:ascii="Arial" w:hAnsi="Arial" w:cs="Arial"/>
                <w:sz w:val="18"/>
                <w:szCs w:val="18"/>
              </w:rPr>
            </w:pPr>
            <w:r>
              <w:rPr>
                <w:rFonts w:ascii="Arial" w:hAnsi="Arial" w:cs="Arial"/>
                <w:sz w:val="18"/>
                <w:szCs w:val="18"/>
              </w:rPr>
              <w:t>- </w:t>
            </w:r>
          </w:p>
        </w:tc>
      </w:tr>
      <w:tr w:rsidR="00A43992" w14:paraId="6B5AABE1" w14:textId="77777777" w:rsidTr="007211E3">
        <w:trPr>
          <w:trHeight w:val="255"/>
        </w:trPr>
        <w:tc>
          <w:tcPr>
            <w:tcW w:w="4400" w:type="dxa"/>
            <w:tcBorders>
              <w:top w:val="nil"/>
              <w:left w:val="nil"/>
              <w:bottom w:val="nil"/>
              <w:right w:val="nil"/>
            </w:tcBorders>
            <w:shd w:val="clear" w:color="FFFFFF" w:fill="FFFFFF"/>
            <w:vAlign w:val="bottom"/>
            <w:hideMark/>
          </w:tcPr>
          <w:p w14:paraId="7F17FFBA" w14:textId="77777777" w:rsidR="00A43992" w:rsidRDefault="00A43992" w:rsidP="007211E3">
            <w:pPr>
              <w:rPr>
                <w:rFonts w:ascii="Arial" w:hAnsi="Arial" w:cs="Arial"/>
                <w:sz w:val="18"/>
                <w:szCs w:val="18"/>
              </w:rPr>
            </w:pPr>
            <w:r>
              <w:rPr>
                <w:rFonts w:ascii="Arial" w:hAnsi="Arial" w:cs="Arial"/>
                <w:sz w:val="18"/>
                <w:szCs w:val="18"/>
              </w:rPr>
              <w:t> </w:t>
            </w:r>
          </w:p>
        </w:tc>
        <w:tc>
          <w:tcPr>
            <w:tcW w:w="1077" w:type="dxa"/>
            <w:tcBorders>
              <w:top w:val="nil"/>
              <w:left w:val="nil"/>
              <w:bottom w:val="nil"/>
              <w:right w:val="nil"/>
            </w:tcBorders>
            <w:shd w:val="clear" w:color="FFFFFF" w:fill="FFFFFF"/>
            <w:noWrap/>
            <w:vAlign w:val="bottom"/>
            <w:hideMark/>
          </w:tcPr>
          <w:p w14:paraId="56BA6C25" w14:textId="77777777" w:rsidR="00A43992" w:rsidRDefault="00A43992" w:rsidP="007211E3">
            <w:pPr>
              <w:jc w:val="center"/>
              <w:rPr>
                <w:rFonts w:ascii="Arial" w:hAnsi="Arial" w:cs="Arial"/>
                <w:sz w:val="18"/>
                <w:szCs w:val="18"/>
              </w:rPr>
            </w:pPr>
            <w:r>
              <w:rPr>
                <w:rFonts w:ascii="Arial" w:hAnsi="Arial" w:cs="Arial"/>
                <w:sz w:val="18"/>
                <w:szCs w:val="18"/>
              </w:rPr>
              <w:t> </w:t>
            </w:r>
          </w:p>
        </w:tc>
        <w:tc>
          <w:tcPr>
            <w:tcW w:w="1078" w:type="dxa"/>
            <w:tcBorders>
              <w:top w:val="nil"/>
              <w:left w:val="nil"/>
              <w:bottom w:val="nil"/>
              <w:right w:val="nil"/>
            </w:tcBorders>
            <w:shd w:val="clear" w:color="FFFFFF" w:fill="FFFFFF"/>
            <w:noWrap/>
            <w:vAlign w:val="bottom"/>
            <w:hideMark/>
          </w:tcPr>
          <w:p w14:paraId="48D39EBC" w14:textId="77777777" w:rsidR="00A43992" w:rsidRDefault="00A43992" w:rsidP="007211E3">
            <w:pPr>
              <w:jc w:val="right"/>
              <w:rPr>
                <w:rFonts w:ascii="Arial" w:hAnsi="Arial" w:cs="Arial"/>
                <w:b/>
                <w:bCs/>
                <w:sz w:val="18"/>
                <w:szCs w:val="18"/>
              </w:rPr>
            </w:pPr>
            <w:r>
              <w:rPr>
                <w:rFonts w:ascii="Arial" w:hAnsi="Arial" w:cs="Arial"/>
                <w:b/>
                <w:bCs/>
                <w:sz w:val="18"/>
                <w:szCs w:val="18"/>
              </w:rPr>
              <w:t> </w:t>
            </w:r>
          </w:p>
        </w:tc>
        <w:tc>
          <w:tcPr>
            <w:tcW w:w="236" w:type="dxa"/>
            <w:tcBorders>
              <w:top w:val="nil"/>
              <w:left w:val="nil"/>
              <w:bottom w:val="nil"/>
              <w:right w:val="nil"/>
            </w:tcBorders>
            <w:shd w:val="clear" w:color="FFFFFF" w:fill="FFFFFF"/>
            <w:noWrap/>
            <w:vAlign w:val="bottom"/>
            <w:hideMark/>
          </w:tcPr>
          <w:p w14:paraId="797D5D39" w14:textId="77777777" w:rsidR="00A43992" w:rsidRDefault="00A43992" w:rsidP="007211E3">
            <w:pPr>
              <w:rPr>
                <w:rFonts w:ascii="Arial" w:hAnsi="Arial" w:cs="Arial"/>
                <w:sz w:val="18"/>
                <w:szCs w:val="18"/>
              </w:rPr>
            </w:pPr>
            <w:r>
              <w:rPr>
                <w:rFonts w:ascii="Arial" w:hAnsi="Arial" w:cs="Arial"/>
                <w:sz w:val="18"/>
                <w:szCs w:val="18"/>
              </w:rPr>
              <w:t> </w:t>
            </w:r>
          </w:p>
        </w:tc>
        <w:tc>
          <w:tcPr>
            <w:tcW w:w="1030" w:type="dxa"/>
            <w:tcBorders>
              <w:top w:val="nil"/>
              <w:left w:val="nil"/>
              <w:bottom w:val="nil"/>
              <w:right w:val="nil"/>
            </w:tcBorders>
            <w:shd w:val="clear" w:color="FFFFFF" w:fill="FFFFFF"/>
            <w:noWrap/>
            <w:vAlign w:val="bottom"/>
            <w:hideMark/>
          </w:tcPr>
          <w:p w14:paraId="596E461F" w14:textId="77777777" w:rsidR="00A43992" w:rsidRDefault="00A43992" w:rsidP="007211E3">
            <w:pPr>
              <w:jc w:val="right"/>
              <w:rPr>
                <w:rFonts w:ascii="Arial" w:hAnsi="Arial" w:cs="Arial"/>
                <w:sz w:val="18"/>
                <w:szCs w:val="18"/>
              </w:rPr>
            </w:pPr>
            <w:r>
              <w:rPr>
                <w:rFonts w:ascii="Arial" w:hAnsi="Arial" w:cs="Arial"/>
                <w:sz w:val="18"/>
                <w:szCs w:val="18"/>
              </w:rPr>
              <w:t> </w:t>
            </w:r>
          </w:p>
        </w:tc>
        <w:tc>
          <w:tcPr>
            <w:tcW w:w="236" w:type="dxa"/>
            <w:tcBorders>
              <w:top w:val="nil"/>
              <w:left w:val="nil"/>
              <w:bottom w:val="nil"/>
              <w:right w:val="nil"/>
            </w:tcBorders>
            <w:shd w:val="clear" w:color="FFFFFF" w:fill="FFFFFF"/>
            <w:noWrap/>
            <w:vAlign w:val="bottom"/>
            <w:hideMark/>
          </w:tcPr>
          <w:p w14:paraId="7684FB2F" w14:textId="77777777" w:rsidR="00A43992" w:rsidRDefault="00A43992" w:rsidP="007211E3">
            <w:pPr>
              <w:rPr>
                <w:rFonts w:ascii="Arial" w:hAnsi="Arial" w:cs="Arial"/>
                <w:sz w:val="18"/>
                <w:szCs w:val="18"/>
              </w:rPr>
            </w:pPr>
            <w:r>
              <w:rPr>
                <w:rFonts w:ascii="Arial" w:hAnsi="Arial" w:cs="Arial"/>
                <w:sz w:val="18"/>
                <w:szCs w:val="18"/>
              </w:rPr>
              <w:t> </w:t>
            </w:r>
          </w:p>
        </w:tc>
        <w:tc>
          <w:tcPr>
            <w:tcW w:w="1030" w:type="dxa"/>
            <w:tcBorders>
              <w:top w:val="nil"/>
              <w:left w:val="nil"/>
              <w:bottom w:val="nil"/>
              <w:right w:val="nil"/>
            </w:tcBorders>
            <w:shd w:val="clear" w:color="FFFFFF" w:fill="FFFFFF"/>
            <w:noWrap/>
            <w:vAlign w:val="bottom"/>
            <w:hideMark/>
          </w:tcPr>
          <w:p w14:paraId="66A537CD" w14:textId="77777777" w:rsidR="00A43992" w:rsidRDefault="00A43992" w:rsidP="007211E3">
            <w:pPr>
              <w:jc w:val="right"/>
              <w:rPr>
                <w:rFonts w:ascii="Arial" w:hAnsi="Arial" w:cs="Arial"/>
                <w:sz w:val="18"/>
                <w:szCs w:val="18"/>
              </w:rPr>
            </w:pPr>
            <w:r>
              <w:rPr>
                <w:rFonts w:ascii="Arial" w:hAnsi="Arial" w:cs="Arial"/>
                <w:sz w:val="18"/>
                <w:szCs w:val="18"/>
              </w:rPr>
              <w:t> </w:t>
            </w:r>
          </w:p>
        </w:tc>
      </w:tr>
      <w:tr w:rsidR="00A43992" w14:paraId="7440E18F" w14:textId="77777777" w:rsidTr="007211E3">
        <w:trPr>
          <w:trHeight w:val="255"/>
        </w:trPr>
        <w:tc>
          <w:tcPr>
            <w:tcW w:w="4400" w:type="dxa"/>
            <w:tcBorders>
              <w:top w:val="nil"/>
              <w:left w:val="nil"/>
              <w:bottom w:val="nil"/>
              <w:right w:val="nil"/>
            </w:tcBorders>
            <w:shd w:val="clear" w:color="FFFFFF" w:fill="FFFFFF"/>
            <w:vAlign w:val="bottom"/>
            <w:hideMark/>
          </w:tcPr>
          <w:p w14:paraId="1080D2F9" w14:textId="77777777" w:rsidR="00A43992" w:rsidRDefault="00A43992" w:rsidP="007211E3">
            <w:pPr>
              <w:rPr>
                <w:rFonts w:ascii="Arial" w:hAnsi="Arial" w:cs="Arial"/>
                <w:b/>
                <w:bCs/>
                <w:sz w:val="18"/>
                <w:szCs w:val="18"/>
              </w:rPr>
            </w:pPr>
            <w:r>
              <w:rPr>
                <w:rFonts w:ascii="Arial" w:hAnsi="Arial" w:cs="Arial"/>
                <w:b/>
                <w:bCs/>
                <w:sz w:val="18"/>
                <w:szCs w:val="18"/>
              </w:rPr>
              <w:t>Total comprehensive income/(loss)</w:t>
            </w:r>
          </w:p>
        </w:tc>
        <w:tc>
          <w:tcPr>
            <w:tcW w:w="1077" w:type="dxa"/>
            <w:tcBorders>
              <w:top w:val="nil"/>
              <w:left w:val="nil"/>
              <w:bottom w:val="nil"/>
              <w:right w:val="nil"/>
            </w:tcBorders>
            <w:shd w:val="clear" w:color="FFFFFF" w:fill="FFFFFF"/>
            <w:noWrap/>
            <w:vAlign w:val="bottom"/>
            <w:hideMark/>
          </w:tcPr>
          <w:p w14:paraId="392A543A" w14:textId="77777777" w:rsidR="00A43992" w:rsidRDefault="00A43992" w:rsidP="007211E3">
            <w:pPr>
              <w:jc w:val="center"/>
              <w:rPr>
                <w:rFonts w:ascii="Arial" w:hAnsi="Arial" w:cs="Arial"/>
                <w:sz w:val="18"/>
                <w:szCs w:val="18"/>
              </w:rPr>
            </w:pPr>
            <w:r>
              <w:rPr>
                <w:rFonts w:ascii="Arial" w:hAnsi="Arial" w:cs="Arial"/>
                <w:sz w:val="18"/>
                <w:szCs w:val="18"/>
              </w:rPr>
              <w:t> </w:t>
            </w:r>
          </w:p>
        </w:tc>
        <w:tc>
          <w:tcPr>
            <w:tcW w:w="1078" w:type="dxa"/>
            <w:tcBorders>
              <w:top w:val="single" w:sz="4" w:space="0" w:color="auto"/>
              <w:left w:val="nil"/>
              <w:bottom w:val="single" w:sz="4" w:space="0" w:color="auto"/>
              <w:right w:val="nil"/>
            </w:tcBorders>
            <w:shd w:val="clear" w:color="FFFFFF" w:fill="FFFFFF"/>
            <w:noWrap/>
            <w:vAlign w:val="bottom"/>
            <w:hideMark/>
          </w:tcPr>
          <w:p w14:paraId="27EE10A2" w14:textId="77777777" w:rsidR="00A43992" w:rsidRDefault="00A43992" w:rsidP="007211E3">
            <w:pPr>
              <w:jc w:val="right"/>
              <w:rPr>
                <w:rFonts w:ascii="Arial" w:hAnsi="Arial" w:cs="Arial"/>
                <w:b/>
                <w:bCs/>
                <w:sz w:val="18"/>
                <w:szCs w:val="18"/>
              </w:rPr>
            </w:pPr>
            <w:r w:rsidRPr="00267088">
              <w:rPr>
                <w:rFonts w:ascii="Arial" w:hAnsi="Arial" w:cs="Arial"/>
                <w:b/>
                <w:bCs/>
                <w:sz w:val="18"/>
                <w:szCs w:val="18"/>
              </w:rPr>
              <w:t>17,663</w:t>
            </w:r>
          </w:p>
        </w:tc>
        <w:tc>
          <w:tcPr>
            <w:tcW w:w="236" w:type="dxa"/>
            <w:tcBorders>
              <w:top w:val="nil"/>
              <w:left w:val="nil"/>
              <w:bottom w:val="nil"/>
              <w:right w:val="nil"/>
            </w:tcBorders>
            <w:shd w:val="clear" w:color="FFFFFF" w:fill="FFFFFF"/>
            <w:noWrap/>
            <w:vAlign w:val="bottom"/>
            <w:hideMark/>
          </w:tcPr>
          <w:p w14:paraId="7300EF57" w14:textId="77777777" w:rsidR="00A43992" w:rsidRDefault="00A43992" w:rsidP="007211E3">
            <w:pPr>
              <w:rPr>
                <w:rFonts w:ascii="Arial" w:hAnsi="Arial" w:cs="Arial"/>
                <w:sz w:val="18"/>
                <w:szCs w:val="18"/>
              </w:rPr>
            </w:pPr>
            <w:r>
              <w:rPr>
                <w:rFonts w:ascii="Arial" w:hAnsi="Arial" w:cs="Arial"/>
                <w:sz w:val="18"/>
                <w:szCs w:val="18"/>
              </w:rPr>
              <w:t> </w:t>
            </w:r>
          </w:p>
        </w:tc>
        <w:tc>
          <w:tcPr>
            <w:tcW w:w="1030" w:type="dxa"/>
            <w:tcBorders>
              <w:top w:val="single" w:sz="4" w:space="0" w:color="auto"/>
              <w:left w:val="nil"/>
              <w:bottom w:val="single" w:sz="4" w:space="0" w:color="auto"/>
              <w:right w:val="nil"/>
            </w:tcBorders>
            <w:shd w:val="clear" w:color="FFFFFF" w:fill="FFFFFF"/>
            <w:noWrap/>
            <w:vAlign w:val="bottom"/>
            <w:hideMark/>
          </w:tcPr>
          <w:p w14:paraId="05EACA4E" w14:textId="77777777" w:rsidR="00A43992" w:rsidRDefault="00A43992" w:rsidP="007211E3">
            <w:pPr>
              <w:jc w:val="right"/>
              <w:rPr>
                <w:rFonts w:ascii="Arial" w:hAnsi="Arial" w:cs="Arial"/>
                <w:sz w:val="18"/>
                <w:szCs w:val="18"/>
              </w:rPr>
            </w:pPr>
            <w:r>
              <w:rPr>
                <w:rFonts w:ascii="Arial" w:hAnsi="Arial" w:cs="Arial"/>
                <w:sz w:val="18"/>
                <w:szCs w:val="18"/>
              </w:rPr>
              <w:t>409</w:t>
            </w:r>
          </w:p>
        </w:tc>
        <w:tc>
          <w:tcPr>
            <w:tcW w:w="236" w:type="dxa"/>
            <w:tcBorders>
              <w:top w:val="nil"/>
              <w:left w:val="nil"/>
              <w:bottom w:val="nil"/>
              <w:right w:val="nil"/>
            </w:tcBorders>
            <w:shd w:val="clear" w:color="FFFFFF" w:fill="FFFFFF"/>
            <w:noWrap/>
            <w:vAlign w:val="bottom"/>
            <w:hideMark/>
          </w:tcPr>
          <w:p w14:paraId="1B5FC2D1" w14:textId="77777777" w:rsidR="00A43992" w:rsidRDefault="00A43992" w:rsidP="007211E3">
            <w:pPr>
              <w:rPr>
                <w:rFonts w:ascii="Arial" w:hAnsi="Arial" w:cs="Arial"/>
                <w:sz w:val="18"/>
                <w:szCs w:val="18"/>
              </w:rPr>
            </w:pPr>
            <w:r>
              <w:rPr>
                <w:rFonts w:ascii="Arial" w:hAnsi="Arial" w:cs="Arial"/>
                <w:sz w:val="18"/>
                <w:szCs w:val="18"/>
              </w:rPr>
              <w:t> </w:t>
            </w:r>
          </w:p>
        </w:tc>
        <w:tc>
          <w:tcPr>
            <w:tcW w:w="1030" w:type="dxa"/>
            <w:tcBorders>
              <w:top w:val="single" w:sz="4" w:space="0" w:color="auto"/>
              <w:left w:val="nil"/>
              <w:bottom w:val="single" w:sz="4" w:space="0" w:color="auto"/>
              <w:right w:val="nil"/>
            </w:tcBorders>
            <w:shd w:val="clear" w:color="FFFFFF" w:fill="FFFFFF"/>
            <w:noWrap/>
            <w:vAlign w:val="bottom"/>
            <w:hideMark/>
          </w:tcPr>
          <w:p w14:paraId="43C19368" w14:textId="77777777" w:rsidR="00A43992" w:rsidRDefault="00A43992" w:rsidP="007211E3">
            <w:pPr>
              <w:jc w:val="right"/>
              <w:rPr>
                <w:rFonts w:ascii="Arial" w:hAnsi="Arial" w:cs="Arial"/>
                <w:sz w:val="18"/>
                <w:szCs w:val="18"/>
              </w:rPr>
            </w:pPr>
            <w:r>
              <w:rPr>
                <w:rFonts w:ascii="Arial" w:hAnsi="Arial" w:cs="Arial"/>
                <w:sz w:val="18"/>
                <w:szCs w:val="18"/>
              </w:rPr>
              <w:t>-</w:t>
            </w:r>
          </w:p>
        </w:tc>
      </w:tr>
    </w:tbl>
    <w:p w14:paraId="781A108D" w14:textId="77777777" w:rsidR="00A43992" w:rsidRPr="005E5430" w:rsidRDefault="00A43992" w:rsidP="00A43992">
      <w:bookmarkStart w:id="91" w:name="RANGE!D6:H48"/>
      <w:bookmarkStart w:id="92" w:name="RANGE!D6:D68"/>
      <w:bookmarkStart w:id="93" w:name="RANGE!D6:H68"/>
      <w:bookmarkStart w:id="94" w:name="RANGE!D6:D69"/>
      <w:bookmarkStart w:id="95" w:name="RANGE!D6:H69"/>
      <w:bookmarkEnd w:id="91"/>
      <w:bookmarkEnd w:id="92"/>
      <w:bookmarkEnd w:id="93"/>
      <w:bookmarkEnd w:id="94"/>
      <w:bookmarkEnd w:id="95"/>
    </w:p>
    <w:p w14:paraId="1AF9D6C1" w14:textId="77777777" w:rsidR="00A43992" w:rsidRDefault="00A43992" w:rsidP="00A43992">
      <w:pPr>
        <w:pStyle w:val="ReferenceText"/>
      </w:pPr>
      <w:r w:rsidRPr="000118A3">
        <w:t>The above statement should be read in conjunction with the accompanying notes.</w:t>
      </w:r>
    </w:p>
    <w:p w14:paraId="7DB06262" w14:textId="77777777" w:rsidR="00A43992" w:rsidRDefault="00A43992" w:rsidP="00A43992">
      <w:pPr>
        <w:spacing w:line="240" w:lineRule="auto"/>
        <w:rPr>
          <w:rFonts w:ascii="Arial" w:hAnsi="Arial"/>
          <w:sz w:val="18"/>
          <w:lang w:eastAsia="en-AU"/>
        </w:rPr>
      </w:pPr>
      <w:r>
        <w:br w:type="page"/>
      </w:r>
    </w:p>
    <w:p w14:paraId="72BB333F" w14:textId="05585996" w:rsidR="00A43992" w:rsidRDefault="00A43992" w:rsidP="00A43992">
      <w:pPr>
        <w:pStyle w:val="PolicyheadingDept"/>
        <w:pBdr>
          <w:top w:val="none" w:sz="0" w:space="0" w:color="auto"/>
          <w:left w:val="none" w:sz="0" w:space="0" w:color="auto"/>
          <w:bottom w:val="none" w:sz="0" w:space="0" w:color="auto"/>
          <w:right w:val="none" w:sz="0" w:space="0" w:color="auto"/>
        </w:pBdr>
        <w:outlineLvl w:val="0"/>
      </w:pPr>
      <w:r w:rsidRPr="00D54E7F">
        <w:lastRenderedPageBreak/>
        <w:t>Budget Variances Commentary</w:t>
      </w:r>
    </w:p>
    <w:p w14:paraId="12A9FC96" w14:textId="0BFB401F" w:rsidR="00A43992" w:rsidRPr="00BA6414" w:rsidRDefault="00A43992" w:rsidP="00A43992">
      <w:pPr>
        <w:pStyle w:val="PolicyheadingDept"/>
        <w:pBdr>
          <w:top w:val="none" w:sz="0" w:space="0" w:color="auto"/>
          <w:left w:val="none" w:sz="0" w:space="0" w:color="auto"/>
          <w:bottom w:val="none" w:sz="0" w:space="0" w:color="auto"/>
          <w:right w:val="none" w:sz="0" w:space="0" w:color="auto"/>
        </w:pBdr>
        <w:outlineLvl w:val="0"/>
      </w:pPr>
      <w:r w:rsidRPr="00BA6414">
        <w:t>St</w:t>
      </w:r>
      <w:r>
        <w:t>atement of Comprehensive Income (‘</w:t>
      </w:r>
      <w:proofErr w:type="spellStart"/>
      <w:r>
        <w:t>SoCI</w:t>
      </w:r>
      <w:proofErr w:type="spellEnd"/>
      <w:r>
        <w:t>’)</w:t>
      </w:r>
    </w:p>
    <w:tbl>
      <w:tblPr>
        <w:tblW w:w="9356"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6662"/>
      </w:tblGrid>
      <w:tr w:rsidR="00A43992" w14:paraId="406F421B" w14:textId="77777777" w:rsidTr="007211E3">
        <w:trPr>
          <w:cantSplit/>
          <w:trHeight w:val="255"/>
          <w:tblHeader/>
        </w:trPr>
        <w:tc>
          <w:tcPr>
            <w:tcW w:w="2694" w:type="dxa"/>
            <w:tcBorders>
              <w:top w:val="single" w:sz="12" w:space="0" w:color="auto"/>
              <w:left w:val="single" w:sz="12" w:space="0" w:color="auto"/>
              <w:bottom w:val="single" w:sz="12" w:space="0" w:color="auto"/>
              <w:right w:val="single" w:sz="6" w:space="0" w:color="auto"/>
            </w:tcBorders>
            <w:shd w:val="clear" w:color="FFFFFF" w:fill="FFFFFF"/>
            <w:noWrap/>
            <w:vAlign w:val="center"/>
          </w:tcPr>
          <w:p w14:paraId="1E4BD458" w14:textId="77777777" w:rsidR="00A43992" w:rsidRPr="002E4757" w:rsidRDefault="00A43992" w:rsidP="007211E3">
            <w:pPr>
              <w:rPr>
                <w:rFonts w:ascii="Arial" w:hAnsi="Arial" w:cs="Arial"/>
                <w:b/>
                <w:sz w:val="18"/>
                <w:szCs w:val="18"/>
              </w:rPr>
            </w:pPr>
            <w:r>
              <w:rPr>
                <w:rFonts w:ascii="Arial" w:hAnsi="Arial" w:cs="Arial"/>
                <w:b/>
                <w:sz w:val="18"/>
                <w:szCs w:val="18"/>
              </w:rPr>
              <w:t>Affected line items</w:t>
            </w:r>
          </w:p>
        </w:tc>
        <w:tc>
          <w:tcPr>
            <w:tcW w:w="6662" w:type="dxa"/>
            <w:tcBorders>
              <w:top w:val="single" w:sz="12" w:space="0" w:color="auto"/>
              <w:left w:val="single" w:sz="6" w:space="0" w:color="auto"/>
              <w:bottom w:val="single" w:sz="12" w:space="0" w:color="auto"/>
              <w:right w:val="single" w:sz="12" w:space="0" w:color="auto"/>
            </w:tcBorders>
            <w:shd w:val="clear" w:color="FFFFFF" w:fill="FFFFFF"/>
            <w:vAlign w:val="center"/>
          </w:tcPr>
          <w:p w14:paraId="5E1E033E" w14:textId="77777777" w:rsidR="00A43992" w:rsidRPr="002E4757" w:rsidRDefault="00A43992" w:rsidP="007211E3">
            <w:pPr>
              <w:rPr>
                <w:rFonts w:ascii="Arial" w:hAnsi="Arial" w:cs="Arial"/>
                <w:b/>
                <w:sz w:val="18"/>
                <w:szCs w:val="18"/>
              </w:rPr>
            </w:pPr>
            <w:r>
              <w:rPr>
                <w:rFonts w:ascii="Arial" w:hAnsi="Arial" w:cs="Arial"/>
                <w:b/>
                <w:sz w:val="18"/>
                <w:szCs w:val="18"/>
              </w:rPr>
              <w:t>Explanations of major variances</w:t>
            </w:r>
          </w:p>
        </w:tc>
      </w:tr>
      <w:tr w:rsidR="00A43992" w14:paraId="55A15ABB" w14:textId="77777777" w:rsidTr="007211E3">
        <w:trPr>
          <w:cantSplit/>
          <w:trHeight w:val="255"/>
        </w:trPr>
        <w:tc>
          <w:tcPr>
            <w:tcW w:w="2694" w:type="dxa"/>
            <w:tcBorders>
              <w:top w:val="single" w:sz="6" w:space="0" w:color="auto"/>
              <w:left w:val="single" w:sz="12" w:space="0" w:color="auto"/>
              <w:bottom w:val="single" w:sz="6" w:space="0" w:color="auto"/>
            </w:tcBorders>
            <w:shd w:val="clear" w:color="FFFFFF" w:fill="FFFFFF"/>
            <w:noWrap/>
          </w:tcPr>
          <w:p w14:paraId="0747E4D2" w14:textId="77777777" w:rsidR="00A43992" w:rsidRPr="00DD6C40" w:rsidRDefault="00A43992" w:rsidP="007211E3">
            <w:pPr>
              <w:rPr>
                <w:rFonts w:ascii="Arial" w:hAnsi="Arial" w:cs="Arial"/>
                <w:bCs/>
                <w:sz w:val="18"/>
                <w:szCs w:val="18"/>
              </w:rPr>
            </w:pPr>
            <w:r>
              <w:rPr>
                <w:rFonts w:ascii="Arial" w:hAnsi="Arial" w:cs="Arial"/>
                <w:bCs/>
                <w:sz w:val="18"/>
                <w:szCs w:val="18"/>
              </w:rPr>
              <w:t>Expenses</w:t>
            </w:r>
          </w:p>
          <w:p w14:paraId="6C220C0D" w14:textId="77777777" w:rsidR="00A43992" w:rsidRDefault="00A43992" w:rsidP="007211E3">
            <w:pPr>
              <w:rPr>
                <w:rFonts w:ascii="Arial" w:hAnsi="Arial" w:cs="Arial"/>
                <w:bCs/>
                <w:i/>
                <w:sz w:val="18"/>
                <w:szCs w:val="18"/>
              </w:rPr>
            </w:pPr>
            <w:r w:rsidRPr="00DD6C40">
              <w:rPr>
                <w:rFonts w:ascii="Arial" w:hAnsi="Arial" w:cs="Arial"/>
                <w:bCs/>
                <w:i/>
                <w:sz w:val="18"/>
                <w:szCs w:val="18"/>
              </w:rPr>
              <w:t>Employee benefits, Suppliers, Local area coordination</w:t>
            </w:r>
          </w:p>
          <w:p w14:paraId="71353EAA" w14:textId="77777777" w:rsidR="00A43992" w:rsidRDefault="00A43992" w:rsidP="007211E3">
            <w:pPr>
              <w:rPr>
                <w:rFonts w:ascii="Arial" w:hAnsi="Arial" w:cs="Arial"/>
                <w:bCs/>
                <w:sz w:val="18"/>
                <w:szCs w:val="18"/>
              </w:rPr>
            </w:pPr>
          </w:p>
          <w:p w14:paraId="22B1E7FC" w14:textId="77777777" w:rsidR="00A43992" w:rsidRPr="003E5046" w:rsidRDefault="00A43992" w:rsidP="007211E3">
            <w:pPr>
              <w:rPr>
                <w:rFonts w:ascii="Arial" w:hAnsi="Arial" w:cs="Arial"/>
                <w:bCs/>
                <w:sz w:val="18"/>
                <w:szCs w:val="18"/>
              </w:rPr>
            </w:pPr>
            <w:r>
              <w:rPr>
                <w:rFonts w:ascii="Arial" w:hAnsi="Arial" w:cs="Arial"/>
                <w:bCs/>
                <w:sz w:val="18"/>
                <w:szCs w:val="18"/>
              </w:rPr>
              <w:t>Revenue from Government</w:t>
            </w:r>
          </w:p>
        </w:tc>
        <w:tc>
          <w:tcPr>
            <w:tcW w:w="6662" w:type="dxa"/>
            <w:tcBorders>
              <w:top w:val="single" w:sz="6" w:space="0" w:color="auto"/>
              <w:bottom w:val="single" w:sz="6" w:space="0" w:color="auto"/>
              <w:right w:val="single" w:sz="12" w:space="0" w:color="auto"/>
            </w:tcBorders>
            <w:shd w:val="clear" w:color="FFFFFF" w:fill="FFFFFF"/>
            <w:noWrap/>
          </w:tcPr>
          <w:p w14:paraId="1E1D7B80" w14:textId="77777777" w:rsidR="00A43992" w:rsidRDefault="00A43992" w:rsidP="007211E3">
            <w:pPr>
              <w:rPr>
                <w:rFonts w:ascii="Arial" w:hAnsi="Arial" w:cs="Arial"/>
                <w:sz w:val="18"/>
                <w:szCs w:val="18"/>
              </w:rPr>
            </w:pPr>
            <w:r>
              <w:rPr>
                <w:rFonts w:ascii="Arial" w:hAnsi="Arial" w:cs="Arial"/>
                <w:sz w:val="18"/>
                <w:szCs w:val="18"/>
              </w:rPr>
              <w:t>As part of the Mid-Year Economic and Fiscal Outlook (‘MYEFO’), the Agency adopted</w:t>
            </w:r>
            <w:r w:rsidRPr="00DD6C40">
              <w:rPr>
                <w:rFonts w:ascii="Arial" w:hAnsi="Arial" w:cs="Arial"/>
                <w:sz w:val="18"/>
                <w:szCs w:val="18"/>
              </w:rPr>
              <w:t xml:space="preserve"> a Service Delivery Operating Model (SDOM). SDOM effectively reduced the Agency's </w:t>
            </w:r>
            <w:r>
              <w:rPr>
                <w:rFonts w:ascii="Arial" w:hAnsi="Arial" w:cs="Arial"/>
                <w:sz w:val="18"/>
                <w:szCs w:val="18"/>
              </w:rPr>
              <w:t>required average staffing level (‘ASL’)</w:t>
            </w:r>
            <w:r w:rsidRPr="00DD6C40">
              <w:rPr>
                <w:rFonts w:ascii="Arial" w:hAnsi="Arial" w:cs="Arial"/>
                <w:sz w:val="18"/>
                <w:szCs w:val="18"/>
              </w:rPr>
              <w:t xml:space="preserve"> by </w:t>
            </w:r>
            <w:r>
              <w:rPr>
                <w:rFonts w:ascii="Arial" w:hAnsi="Arial" w:cs="Arial"/>
                <w:sz w:val="18"/>
                <w:szCs w:val="18"/>
              </w:rPr>
              <w:t xml:space="preserve">using non-government outsourced models to achieve the same outcomes. This was part of a broader strategy by the Government to control growth in public sector staffing levels. The original 2016 budget anticipated an ASL of 1,220 employees. </w:t>
            </w:r>
            <w:r w:rsidRPr="00804E16">
              <w:rPr>
                <w:rFonts w:ascii="Arial" w:hAnsi="Arial" w:cs="Arial"/>
                <w:sz w:val="18"/>
                <w:szCs w:val="18"/>
              </w:rPr>
              <w:t xml:space="preserve">Actual ASL for the year ended 30 June 2016 </w:t>
            </w:r>
            <w:r w:rsidRPr="00267088">
              <w:rPr>
                <w:rFonts w:ascii="Arial" w:hAnsi="Arial" w:cs="Arial"/>
                <w:sz w:val="18"/>
                <w:szCs w:val="18"/>
              </w:rPr>
              <w:t xml:space="preserve">was 1,063 </w:t>
            </w:r>
            <w:r>
              <w:rPr>
                <w:rFonts w:ascii="Arial" w:hAnsi="Arial" w:cs="Arial"/>
                <w:sz w:val="18"/>
                <w:szCs w:val="18"/>
              </w:rPr>
              <w:t>employees, reducing employee benefit expenses.</w:t>
            </w:r>
          </w:p>
          <w:p w14:paraId="6C17A5E1" w14:textId="77777777" w:rsidR="00A43992" w:rsidRDefault="00A43992" w:rsidP="007211E3">
            <w:pPr>
              <w:rPr>
                <w:rFonts w:ascii="Arial" w:hAnsi="Arial" w:cs="Arial"/>
                <w:sz w:val="18"/>
                <w:szCs w:val="18"/>
              </w:rPr>
            </w:pPr>
            <w:r>
              <w:rPr>
                <w:rFonts w:ascii="Arial" w:hAnsi="Arial" w:cs="Arial"/>
                <w:sz w:val="18"/>
                <w:szCs w:val="18"/>
              </w:rPr>
              <w:t>The Agency’s</w:t>
            </w:r>
            <w:r w:rsidRPr="00DD6C40">
              <w:rPr>
                <w:rFonts w:ascii="Arial" w:hAnsi="Arial" w:cs="Arial"/>
                <w:sz w:val="18"/>
                <w:szCs w:val="18"/>
              </w:rPr>
              <w:t xml:space="preserve"> reliance </w:t>
            </w:r>
            <w:r>
              <w:rPr>
                <w:rFonts w:ascii="Arial" w:hAnsi="Arial" w:cs="Arial"/>
                <w:sz w:val="18"/>
                <w:szCs w:val="18"/>
              </w:rPr>
              <w:t>on contractors, consultants, and local area coordination also consequently</w:t>
            </w:r>
            <w:r w:rsidRPr="00DD6C40">
              <w:rPr>
                <w:rFonts w:ascii="Arial" w:hAnsi="Arial" w:cs="Arial"/>
                <w:sz w:val="18"/>
                <w:szCs w:val="18"/>
              </w:rPr>
              <w:t xml:space="preserve"> increase</w:t>
            </w:r>
            <w:r>
              <w:rPr>
                <w:rFonts w:ascii="Arial" w:hAnsi="Arial" w:cs="Arial"/>
                <w:sz w:val="18"/>
                <w:szCs w:val="18"/>
              </w:rPr>
              <w:t>d,</w:t>
            </w:r>
            <w:r w:rsidRPr="00DD6C40">
              <w:rPr>
                <w:rFonts w:ascii="Arial" w:hAnsi="Arial" w:cs="Arial"/>
                <w:sz w:val="18"/>
                <w:szCs w:val="18"/>
              </w:rPr>
              <w:t xml:space="preserve"> </w:t>
            </w:r>
            <w:r>
              <w:rPr>
                <w:rFonts w:ascii="Arial" w:hAnsi="Arial" w:cs="Arial"/>
                <w:sz w:val="18"/>
                <w:szCs w:val="18"/>
              </w:rPr>
              <w:t xml:space="preserve">for which additional </w:t>
            </w:r>
            <w:r w:rsidRPr="00DD6C40">
              <w:rPr>
                <w:rFonts w:ascii="Arial" w:hAnsi="Arial" w:cs="Arial"/>
                <w:sz w:val="18"/>
                <w:szCs w:val="18"/>
              </w:rPr>
              <w:t xml:space="preserve">costs were not included in the original budget. </w:t>
            </w:r>
          </w:p>
          <w:p w14:paraId="62439469" w14:textId="77777777" w:rsidR="00A43992" w:rsidRDefault="00A43992" w:rsidP="007211E3">
            <w:pPr>
              <w:rPr>
                <w:rFonts w:ascii="Arial" w:hAnsi="Arial" w:cs="Arial"/>
                <w:sz w:val="18"/>
                <w:szCs w:val="18"/>
              </w:rPr>
            </w:pPr>
            <w:r w:rsidRPr="00DD6C40">
              <w:rPr>
                <w:rFonts w:ascii="Arial" w:hAnsi="Arial" w:cs="Arial"/>
                <w:sz w:val="18"/>
                <w:szCs w:val="18"/>
              </w:rPr>
              <w:t>In order to fund the adoption</w:t>
            </w:r>
            <w:r>
              <w:rPr>
                <w:rFonts w:ascii="Arial" w:hAnsi="Arial" w:cs="Arial"/>
                <w:sz w:val="18"/>
                <w:szCs w:val="18"/>
              </w:rPr>
              <w:t xml:space="preserve"> of SDOM</w:t>
            </w:r>
            <w:r w:rsidRPr="00DD6C40">
              <w:rPr>
                <w:rFonts w:ascii="Arial" w:hAnsi="Arial" w:cs="Arial"/>
                <w:sz w:val="18"/>
                <w:szCs w:val="18"/>
              </w:rPr>
              <w:t xml:space="preserve">, the Agency has received additional support from the </w:t>
            </w:r>
            <w:r>
              <w:rPr>
                <w:rFonts w:ascii="Arial" w:hAnsi="Arial" w:cs="Arial"/>
                <w:sz w:val="18"/>
                <w:szCs w:val="18"/>
              </w:rPr>
              <w:t>Australian G</w:t>
            </w:r>
            <w:r w:rsidRPr="00DD6C40">
              <w:rPr>
                <w:rFonts w:ascii="Arial" w:hAnsi="Arial" w:cs="Arial"/>
                <w:sz w:val="18"/>
                <w:szCs w:val="18"/>
              </w:rPr>
              <w:t>overnment</w:t>
            </w:r>
            <w:r>
              <w:rPr>
                <w:rFonts w:ascii="Arial" w:hAnsi="Arial" w:cs="Arial"/>
                <w:sz w:val="18"/>
                <w:szCs w:val="18"/>
              </w:rPr>
              <w:t xml:space="preserve"> through MYEFO</w:t>
            </w:r>
            <w:r w:rsidRPr="00DD6C40">
              <w:rPr>
                <w:rFonts w:ascii="Arial" w:hAnsi="Arial" w:cs="Arial"/>
                <w:sz w:val="18"/>
                <w:szCs w:val="18"/>
              </w:rPr>
              <w:t xml:space="preserve">. </w:t>
            </w:r>
          </w:p>
        </w:tc>
      </w:tr>
      <w:tr w:rsidR="00A43992" w14:paraId="3F9A6D36" w14:textId="77777777" w:rsidTr="007211E3">
        <w:trPr>
          <w:cantSplit/>
          <w:trHeight w:val="255"/>
        </w:trPr>
        <w:tc>
          <w:tcPr>
            <w:tcW w:w="2694" w:type="dxa"/>
            <w:tcBorders>
              <w:top w:val="single" w:sz="6" w:space="0" w:color="auto"/>
              <w:left w:val="single" w:sz="12" w:space="0" w:color="auto"/>
              <w:bottom w:val="single" w:sz="6" w:space="0" w:color="auto"/>
            </w:tcBorders>
            <w:shd w:val="clear" w:color="FFFFFF" w:fill="FFFFFF"/>
            <w:noWrap/>
          </w:tcPr>
          <w:p w14:paraId="2A22A8ED" w14:textId="77777777" w:rsidR="00A43992" w:rsidRPr="00DD6C40" w:rsidRDefault="00A43992" w:rsidP="007211E3">
            <w:pPr>
              <w:rPr>
                <w:rFonts w:ascii="Arial" w:hAnsi="Arial" w:cs="Arial"/>
                <w:bCs/>
                <w:sz w:val="18"/>
                <w:szCs w:val="18"/>
              </w:rPr>
            </w:pPr>
            <w:r>
              <w:rPr>
                <w:rFonts w:ascii="Arial" w:hAnsi="Arial" w:cs="Arial"/>
                <w:bCs/>
                <w:sz w:val="18"/>
                <w:szCs w:val="18"/>
              </w:rPr>
              <w:t>Expenses</w:t>
            </w:r>
          </w:p>
          <w:p w14:paraId="0EB762A5" w14:textId="77777777" w:rsidR="00A43992" w:rsidRDefault="00A43992" w:rsidP="007211E3">
            <w:pPr>
              <w:rPr>
                <w:rFonts w:ascii="Arial" w:hAnsi="Arial" w:cs="Arial"/>
                <w:bCs/>
                <w:i/>
                <w:sz w:val="18"/>
                <w:szCs w:val="18"/>
              </w:rPr>
            </w:pPr>
            <w:r w:rsidRPr="00DD6C40">
              <w:rPr>
                <w:rFonts w:ascii="Arial" w:hAnsi="Arial" w:cs="Arial"/>
                <w:bCs/>
                <w:i/>
                <w:sz w:val="18"/>
                <w:szCs w:val="18"/>
              </w:rPr>
              <w:t>Grant expenses</w:t>
            </w:r>
          </w:p>
          <w:p w14:paraId="2C4FFF8D" w14:textId="77777777" w:rsidR="00A43992" w:rsidRDefault="00A43992" w:rsidP="007211E3">
            <w:pPr>
              <w:rPr>
                <w:rFonts w:ascii="Arial" w:hAnsi="Arial" w:cs="Arial"/>
                <w:bCs/>
                <w:i/>
                <w:sz w:val="18"/>
                <w:szCs w:val="18"/>
              </w:rPr>
            </w:pPr>
          </w:p>
          <w:p w14:paraId="140B9320" w14:textId="77777777" w:rsidR="00A43992" w:rsidRDefault="00A43992" w:rsidP="007211E3">
            <w:pPr>
              <w:rPr>
                <w:rFonts w:ascii="Arial" w:hAnsi="Arial" w:cs="Arial"/>
                <w:bCs/>
                <w:sz w:val="18"/>
                <w:szCs w:val="18"/>
              </w:rPr>
            </w:pPr>
            <w:r>
              <w:rPr>
                <w:rFonts w:ascii="Arial" w:hAnsi="Arial" w:cs="Arial"/>
                <w:bCs/>
                <w:sz w:val="18"/>
                <w:szCs w:val="18"/>
              </w:rPr>
              <w:t>Own-source revenue</w:t>
            </w:r>
          </w:p>
          <w:p w14:paraId="1B17F05E" w14:textId="77777777" w:rsidR="00A43992" w:rsidRPr="008E7291" w:rsidRDefault="00A43992" w:rsidP="007211E3">
            <w:pPr>
              <w:rPr>
                <w:rFonts w:ascii="Arial" w:hAnsi="Arial" w:cs="Arial"/>
                <w:bCs/>
                <w:i/>
                <w:sz w:val="18"/>
                <w:szCs w:val="18"/>
              </w:rPr>
            </w:pPr>
            <w:r>
              <w:rPr>
                <w:rFonts w:ascii="Arial" w:hAnsi="Arial" w:cs="Arial"/>
                <w:bCs/>
                <w:i/>
                <w:sz w:val="18"/>
                <w:szCs w:val="18"/>
              </w:rPr>
              <w:t>Other revenue</w:t>
            </w:r>
          </w:p>
        </w:tc>
        <w:tc>
          <w:tcPr>
            <w:tcW w:w="6662" w:type="dxa"/>
            <w:tcBorders>
              <w:top w:val="single" w:sz="6" w:space="0" w:color="auto"/>
              <w:bottom w:val="single" w:sz="6" w:space="0" w:color="auto"/>
              <w:right w:val="single" w:sz="12" w:space="0" w:color="auto"/>
            </w:tcBorders>
            <w:shd w:val="clear" w:color="FFFFFF" w:fill="FFFFFF"/>
            <w:noWrap/>
          </w:tcPr>
          <w:p w14:paraId="006D1367" w14:textId="77777777" w:rsidR="00A43992" w:rsidRDefault="00A43992" w:rsidP="007211E3">
            <w:pPr>
              <w:rPr>
                <w:rFonts w:ascii="Arial" w:hAnsi="Arial" w:cs="Arial"/>
                <w:sz w:val="18"/>
                <w:szCs w:val="18"/>
              </w:rPr>
            </w:pPr>
            <w:r>
              <w:rPr>
                <w:rFonts w:ascii="Arial" w:hAnsi="Arial" w:cs="Arial"/>
                <w:sz w:val="18"/>
                <w:szCs w:val="18"/>
              </w:rPr>
              <w:t>Grant expenses anticipated in the original budget include $6.7 million, allocated for Community Inclusion and Capacity Development (‘CICD’).</w:t>
            </w:r>
          </w:p>
          <w:p w14:paraId="738E144E" w14:textId="77777777" w:rsidR="00A43992" w:rsidRDefault="00A43992" w:rsidP="007211E3">
            <w:pPr>
              <w:rPr>
                <w:rFonts w:ascii="Arial" w:hAnsi="Arial" w:cs="Arial"/>
                <w:sz w:val="18"/>
                <w:szCs w:val="18"/>
              </w:rPr>
            </w:pPr>
            <w:r>
              <w:rPr>
                <w:rFonts w:ascii="Arial" w:hAnsi="Arial" w:cs="Arial"/>
                <w:sz w:val="18"/>
                <w:szCs w:val="18"/>
              </w:rPr>
              <w:t>This was subsequently revised to $10.7 million as part of MYEFO.</w:t>
            </w:r>
          </w:p>
          <w:p w14:paraId="2CADF5E4" w14:textId="77777777" w:rsidR="00A43992" w:rsidRDefault="00A43992" w:rsidP="007211E3">
            <w:pPr>
              <w:rPr>
                <w:rFonts w:ascii="Arial" w:hAnsi="Arial" w:cs="Arial"/>
                <w:sz w:val="18"/>
                <w:szCs w:val="18"/>
              </w:rPr>
            </w:pPr>
            <w:r>
              <w:rPr>
                <w:rFonts w:ascii="Arial" w:hAnsi="Arial" w:cs="Arial"/>
                <w:sz w:val="18"/>
                <w:szCs w:val="18"/>
              </w:rPr>
              <w:t>For the year ended</w:t>
            </w:r>
            <w:r w:rsidRPr="00DD6C40">
              <w:rPr>
                <w:rFonts w:ascii="Arial" w:hAnsi="Arial" w:cs="Arial"/>
                <w:sz w:val="18"/>
                <w:szCs w:val="18"/>
              </w:rPr>
              <w:t xml:space="preserve"> 30 June</w:t>
            </w:r>
            <w:r>
              <w:rPr>
                <w:rFonts w:ascii="Arial" w:hAnsi="Arial" w:cs="Arial"/>
                <w:sz w:val="18"/>
                <w:szCs w:val="18"/>
              </w:rPr>
              <w:t xml:space="preserve"> 2016</w:t>
            </w:r>
            <w:r w:rsidRPr="00DD6C40">
              <w:rPr>
                <w:rFonts w:ascii="Arial" w:hAnsi="Arial" w:cs="Arial"/>
                <w:sz w:val="18"/>
                <w:szCs w:val="18"/>
              </w:rPr>
              <w:t>,</w:t>
            </w:r>
            <w:r>
              <w:rPr>
                <w:rFonts w:ascii="Arial" w:hAnsi="Arial" w:cs="Arial"/>
                <w:sz w:val="18"/>
                <w:szCs w:val="18"/>
              </w:rPr>
              <w:t xml:space="preserve"> CICD grants </w:t>
            </w:r>
            <w:proofErr w:type="spellStart"/>
            <w:r>
              <w:rPr>
                <w:rFonts w:ascii="Arial" w:hAnsi="Arial" w:cs="Arial"/>
                <w:sz w:val="18"/>
                <w:szCs w:val="18"/>
              </w:rPr>
              <w:t>totalled</w:t>
            </w:r>
            <w:proofErr w:type="spellEnd"/>
            <w:r w:rsidRPr="00DD6C40">
              <w:rPr>
                <w:rFonts w:ascii="Arial" w:hAnsi="Arial" w:cs="Arial"/>
                <w:sz w:val="18"/>
                <w:szCs w:val="18"/>
              </w:rPr>
              <w:t xml:space="preserve"> $7.0</w:t>
            </w:r>
            <w:r>
              <w:rPr>
                <w:rFonts w:ascii="Arial" w:hAnsi="Arial" w:cs="Arial"/>
                <w:sz w:val="18"/>
                <w:szCs w:val="18"/>
              </w:rPr>
              <w:t xml:space="preserve"> million.</w:t>
            </w:r>
          </w:p>
          <w:p w14:paraId="28BEED18" w14:textId="77777777" w:rsidR="00A43992" w:rsidRDefault="00A43992" w:rsidP="007211E3">
            <w:pPr>
              <w:rPr>
                <w:rFonts w:ascii="Arial" w:hAnsi="Arial" w:cs="Arial"/>
                <w:sz w:val="18"/>
                <w:szCs w:val="18"/>
              </w:rPr>
            </w:pPr>
            <w:r w:rsidRPr="00DD6C40">
              <w:rPr>
                <w:rFonts w:ascii="Arial" w:hAnsi="Arial" w:cs="Arial"/>
                <w:sz w:val="18"/>
                <w:szCs w:val="18"/>
              </w:rPr>
              <w:t xml:space="preserve">Grants expenses </w:t>
            </w:r>
            <w:r>
              <w:rPr>
                <w:rFonts w:ascii="Arial" w:hAnsi="Arial" w:cs="Arial"/>
                <w:sz w:val="18"/>
                <w:szCs w:val="18"/>
              </w:rPr>
              <w:t>also include</w:t>
            </w:r>
            <w:r w:rsidRPr="00DD6C40">
              <w:rPr>
                <w:rFonts w:ascii="Arial" w:hAnsi="Arial" w:cs="Arial"/>
                <w:sz w:val="18"/>
                <w:szCs w:val="18"/>
              </w:rPr>
              <w:t xml:space="preserve"> $2.0</w:t>
            </w:r>
            <w:r>
              <w:rPr>
                <w:rFonts w:ascii="Arial" w:hAnsi="Arial" w:cs="Arial"/>
                <w:sz w:val="18"/>
                <w:szCs w:val="18"/>
              </w:rPr>
              <w:t xml:space="preserve"> </w:t>
            </w:r>
            <w:proofErr w:type="spellStart"/>
            <w:r>
              <w:rPr>
                <w:rFonts w:ascii="Arial" w:hAnsi="Arial" w:cs="Arial"/>
                <w:sz w:val="18"/>
                <w:szCs w:val="18"/>
              </w:rPr>
              <w:t>million</w:t>
            </w:r>
            <w:proofErr w:type="spellEnd"/>
            <w:r w:rsidRPr="00DD6C40">
              <w:rPr>
                <w:rFonts w:ascii="Arial" w:hAnsi="Arial" w:cs="Arial"/>
                <w:sz w:val="18"/>
                <w:szCs w:val="18"/>
              </w:rPr>
              <w:t xml:space="preserve"> o</w:t>
            </w:r>
            <w:r>
              <w:rPr>
                <w:rFonts w:ascii="Arial" w:hAnsi="Arial" w:cs="Arial"/>
                <w:sz w:val="18"/>
                <w:szCs w:val="18"/>
              </w:rPr>
              <w:t>f Sector Development Fund costs</w:t>
            </w:r>
            <w:r w:rsidRPr="00DD6C40">
              <w:rPr>
                <w:rFonts w:ascii="Arial" w:hAnsi="Arial" w:cs="Arial"/>
                <w:sz w:val="18"/>
                <w:szCs w:val="18"/>
              </w:rPr>
              <w:t xml:space="preserve">. These costs </w:t>
            </w:r>
            <w:r>
              <w:rPr>
                <w:rFonts w:ascii="Arial" w:hAnsi="Arial" w:cs="Arial"/>
                <w:sz w:val="18"/>
                <w:szCs w:val="18"/>
              </w:rPr>
              <w:t xml:space="preserve">were reimbursed </w:t>
            </w:r>
            <w:r w:rsidRPr="00DD6C40">
              <w:rPr>
                <w:rFonts w:ascii="Arial" w:hAnsi="Arial" w:cs="Arial"/>
                <w:sz w:val="18"/>
                <w:szCs w:val="18"/>
              </w:rPr>
              <w:t xml:space="preserve">to the Agency as </w:t>
            </w:r>
            <w:r>
              <w:rPr>
                <w:rFonts w:ascii="Arial" w:hAnsi="Arial" w:cs="Arial"/>
                <w:sz w:val="18"/>
                <w:szCs w:val="18"/>
              </w:rPr>
              <w:t>O</w:t>
            </w:r>
            <w:r w:rsidRPr="00DD6C40">
              <w:rPr>
                <w:rFonts w:ascii="Arial" w:hAnsi="Arial" w:cs="Arial"/>
                <w:sz w:val="18"/>
                <w:szCs w:val="18"/>
              </w:rPr>
              <w:t>ther revenue.</w:t>
            </w:r>
          </w:p>
        </w:tc>
      </w:tr>
      <w:tr w:rsidR="00A43992" w14:paraId="60920F00" w14:textId="77777777" w:rsidTr="007211E3">
        <w:trPr>
          <w:cantSplit/>
          <w:trHeight w:val="255"/>
        </w:trPr>
        <w:tc>
          <w:tcPr>
            <w:tcW w:w="2694" w:type="dxa"/>
            <w:tcBorders>
              <w:top w:val="single" w:sz="6" w:space="0" w:color="auto"/>
              <w:left w:val="single" w:sz="12" w:space="0" w:color="auto"/>
              <w:bottom w:val="single" w:sz="6" w:space="0" w:color="auto"/>
            </w:tcBorders>
            <w:shd w:val="clear" w:color="FFFFFF" w:fill="FFFFFF"/>
            <w:noWrap/>
          </w:tcPr>
          <w:p w14:paraId="225C9300" w14:textId="77777777" w:rsidR="00A43992" w:rsidRDefault="00A43992" w:rsidP="007211E3">
            <w:pPr>
              <w:rPr>
                <w:rFonts w:ascii="Arial" w:hAnsi="Arial" w:cs="Arial"/>
                <w:bCs/>
                <w:sz w:val="18"/>
                <w:szCs w:val="18"/>
              </w:rPr>
            </w:pPr>
            <w:r>
              <w:rPr>
                <w:rFonts w:ascii="Arial" w:hAnsi="Arial" w:cs="Arial"/>
                <w:bCs/>
                <w:sz w:val="18"/>
                <w:szCs w:val="18"/>
              </w:rPr>
              <w:t>Expenses</w:t>
            </w:r>
          </w:p>
          <w:p w14:paraId="54802D6F" w14:textId="77777777" w:rsidR="00A43992" w:rsidRPr="005013FF" w:rsidRDefault="00A43992" w:rsidP="007211E3">
            <w:pPr>
              <w:rPr>
                <w:rFonts w:ascii="Arial" w:hAnsi="Arial" w:cs="Arial"/>
                <w:bCs/>
                <w:sz w:val="18"/>
                <w:szCs w:val="18"/>
              </w:rPr>
            </w:pPr>
            <w:r>
              <w:rPr>
                <w:rFonts w:ascii="Arial" w:hAnsi="Arial" w:cs="Arial"/>
                <w:bCs/>
                <w:i/>
                <w:sz w:val="18"/>
                <w:szCs w:val="18"/>
              </w:rPr>
              <w:t>Participant plan expenses</w:t>
            </w:r>
          </w:p>
        </w:tc>
        <w:tc>
          <w:tcPr>
            <w:tcW w:w="6662" w:type="dxa"/>
            <w:tcBorders>
              <w:top w:val="single" w:sz="6" w:space="0" w:color="auto"/>
              <w:bottom w:val="single" w:sz="6" w:space="0" w:color="auto"/>
              <w:right w:val="single" w:sz="12" w:space="0" w:color="auto"/>
            </w:tcBorders>
            <w:shd w:val="clear" w:color="FFFFFF" w:fill="FFFFFF"/>
            <w:noWrap/>
          </w:tcPr>
          <w:p w14:paraId="545BCB46" w14:textId="77777777" w:rsidR="00A43992" w:rsidRPr="00DD6C40" w:rsidRDefault="00A43992" w:rsidP="007211E3">
            <w:pPr>
              <w:rPr>
                <w:rFonts w:ascii="Arial" w:hAnsi="Arial" w:cs="Arial"/>
                <w:sz w:val="18"/>
                <w:szCs w:val="18"/>
              </w:rPr>
            </w:pPr>
            <w:r>
              <w:rPr>
                <w:rFonts w:ascii="Arial" w:hAnsi="Arial" w:cs="Arial"/>
                <w:sz w:val="18"/>
                <w:szCs w:val="18"/>
              </w:rPr>
              <w:t xml:space="preserve">Participant plan expenses are less than projected in the original budget, primarily due to </w:t>
            </w:r>
            <w:proofErr w:type="spellStart"/>
            <w:r>
              <w:rPr>
                <w:rFonts w:ascii="Arial" w:hAnsi="Arial" w:cs="Arial"/>
                <w:sz w:val="18"/>
                <w:szCs w:val="18"/>
              </w:rPr>
              <w:t>underutilisation</w:t>
            </w:r>
            <w:proofErr w:type="spellEnd"/>
            <w:r>
              <w:rPr>
                <w:rFonts w:ascii="Arial" w:hAnsi="Arial" w:cs="Arial"/>
                <w:sz w:val="18"/>
                <w:szCs w:val="18"/>
              </w:rPr>
              <w:t xml:space="preserve"> of committed supports. Participant plan expenses in the 2016 </w:t>
            </w:r>
            <w:proofErr w:type="spellStart"/>
            <w:r>
              <w:rPr>
                <w:rFonts w:ascii="Arial" w:hAnsi="Arial" w:cs="Arial"/>
                <w:sz w:val="18"/>
                <w:szCs w:val="18"/>
              </w:rPr>
              <w:t>SoCI</w:t>
            </w:r>
            <w:proofErr w:type="spellEnd"/>
            <w:r>
              <w:rPr>
                <w:rFonts w:ascii="Arial" w:hAnsi="Arial" w:cs="Arial"/>
                <w:sz w:val="18"/>
                <w:szCs w:val="18"/>
              </w:rPr>
              <w:t xml:space="preserve"> reflect the Agency’s actual and expected claim experience.</w:t>
            </w:r>
          </w:p>
        </w:tc>
      </w:tr>
      <w:tr w:rsidR="00A43992" w14:paraId="1EBCA53D" w14:textId="77777777" w:rsidTr="007211E3">
        <w:trPr>
          <w:cantSplit/>
          <w:trHeight w:val="255"/>
        </w:trPr>
        <w:tc>
          <w:tcPr>
            <w:tcW w:w="2694" w:type="dxa"/>
            <w:tcBorders>
              <w:top w:val="single" w:sz="6" w:space="0" w:color="auto"/>
              <w:left w:val="single" w:sz="12" w:space="0" w:color="auto"/>
              <w:bottom w:val="single" w:sz="6" w:space="0" w:color="auto"/>
            </w:tcBorders>
            <w:shd w:val="clear" w:color="FFFFFF" w:fill="FFFFFF"/>
            <w:noWrap/>
          </w:tcPr>
          <w:p w14:paraId="5E565348" w14:textId="77777777" w:rsidR="00A43992" w:rsidRDefault="00A43992" w:rsidP="007211E3">
            <w:pPr>
              <w:rPr>
                <w:rFonts w:ascii="Arial" w:hAnsi="Arial" w:cs="Arial"/>
                <w:bCs/>
                <w:sz w:val="18"/>
                <w:szCs w:val="18"/>
              </w:rPr>
            </w:pPr>
            <w:r>
              <w:rPr>
                <w:rFonts w:ascii="Arial" w:hAnsi="Arial" w:cs="Arial"/>
                <w:bCs/>
                <w:sz w:val="18"/>
                <w:szCs w:val="18"/>
              </w:rPr>
              <w:t>Expenses</w:t>
            </w:r>
          </w:p>
          <w:p w14:paraId="30C5DAA8" w14:textId="77777777" w:rsidR="00A43992" w:rsidRPr="00DD6C40" w:rsidRDefault="00A43992" w:rsidP="007211E3">
            <w:pPr>
              <w:rPr>
                <w:rFonts w:ascii="Arial" w:hAnsi="Arial" w:cs="Arial"/>
                <w:bCs/>
                <w:i/>
                <w:sz w:val="18"/>
                <w:szCs w:val="18"/>
              </w:rPr>
            </w:pPr>
            <w:r w:rsidRPr="00DD6C40">
              <w:rPr>
                <w:rFonts w:ascii="Arial" w:hAnsi="Arial" w:cs="Arial"/>
                <w:bCs/>
                <w:i/>
                <w:sz w:val="18"/>
                <w:szCs w:val="18"/>
              </w:rPr>
              <w:t>Depreciation</w:t>
            </w:r>
            <w:r>
              <w:rPr>
                <w:rFonts w:ascii="Arial" w:hAnsi="Arial" w:cs="Arial"/>
                <w:bCs/>
                <w:i/>
                <w:sz w:val="18"/>
                <w:szCs w:val="18"/>
              </w:rPr>
              <w:t xml:space="preserve"> and </w:t>
            </w:r>
            <w:proofErr w:type="spellStart"/>
            <w:r>
              <w:rPr>
                <w:rFonts w:ascii="Arial" w:hAnsi="Arial" w:cs="Arial"/>
                <w:bCs/>
                <w:i/>
                <w:sz w:val="18"/>
                <w:szCs w:val="18"/>
              </w:rPr>
              <w:t>amortisation</w:t>
            </w:r>
            <w:proofErr w:type="spellEnd"/>
          </w:p>
        </w:tc>
        <w:tc>
          <w:tcPr>
            <w:tcW w:w="6662" w:type="dxa"/>
            <w:tcBorders>
              <w:top w:val="single" w:sz="6" w:space="0" w:color="auto"/>
              <w:bottom w:val="single" w:sz="6" w:space="0" w:color="auto"/>
              <w:right w:val="single" w:sz="12" w:space="0" w:color="auto"/>
            </w:tcBorders>
            <w:shd w:val="clear" w:color="FFFFFF" w:fill="FFFFFF"/>
            <w:noWrap/>
          </w:tcPr>
          <w:p w14:paraId="31622F48" w14:textId="77777777" w:rsidR="00A43992" w:rsidRPr="00DD6C40" w:rsidRDefault="00A43992" w:rsidP="007211E3">
            <w:pPr>
              <w:rPr>
                <w:rFonts w:ascii="Arial" w:hAnsi="Arial" w:cs="Arial"/>
                <w:sz w:val="18"/>
                <w:szCs w:val="18"/>
              </w:rPr>
            </w:pPr>
            <w:r>
              <w:rPr>
                <w:rFonts w:ascii="Arial" w:hAnsi="Arial" w:cs="Arial"/>
                <w:sz w:val="18"/>
                <w:szCs w:val="18"/>
              </w:rPr>
              <w:t>T</w:t>
            </w:r>
            <w:r w:rsidRPr="004A0D02">
              <w:rPr>
                <w:rFonts w:ascii="Arial" w:hAnsi="Arial" w:cs="Arial"/>
                <w:sz w:val="18"/>
                <w:szCs w:val="18"/>
              </w:rPr>
              <w:t>he Agency has adopted whole-of-government policies in regard to co-locating service delivery sites within existing Commonwealth property infrastructure</w:t>
            </w:r>
            <w:r>
              <w:rPr>
                <w:rFonts w:ascii="Arial" w:hAnsi="Arial" w:cs="Arial"/>
                <w:sz w:val="18"/>
                <w:szCs w:val="18"/>
              </w:rPr>
              <w:t xml:space="preserve">, where feasible. As a consequence, investment in Property, Plant and Equipment and related depreciation and </w:t>
            </w:r>
            <w:proofErr w:type="spellStart"/>
            <w:r>
              <w:rPr>
                <w:rFonts w:ascii="Arial" w:hAnsi="Arial" w:cs="Arial"/>
                <w:sz w:val="18"/>
                <w:szCs w:val="18"/>
              </w:rPr>
              <w:t>amortisation</w:t>
            </w:r>
            <w:proofErr w:type="spellEnd"/>
            <w:r>
              <w:rPr>
                <w:rFonts w:ascii="Arial" w:hAnsi="Arial" w:cs="Arial"/>
                <w:sz w:val="18"/>
                <w:szCs w:val="18"/>
              </w:rPr>
              <w:t xml:space="preserve"> expenses are less than projected in the original budget.</w:t>
            </w:r>
          </w:p>
        </w:tc>
      </w:tr>
      <w:tr w:rsidR="00A43992" w14:paraId="4A7EEB6E" w14:textId="77777777" w:rsidTr="007211E3">
        <w:trPr>
          <w:cantSplit/>
          <w:trHeight w:val="255"/>
        </w:trPr>
        <w:tc>
          <w:tcPr>
            <w:tcW w:w="2694" w:type="dxa"/>
            <w:tcBorders>
              <w:top w:val="single" w:sz="6" w:space="0" w:color="auto"/>
              <w:left w:val="single" w:sz="12" w:space="0" w:color="auto"/>
              <w:bottom w:val="single" w:sz="6" w:space="0" w:color="auto"/>
            </w:tcBorders>
            <w:shd w:val="clear" w:color="FFFFFF" w:fill="FFFFFF"/>
            <w:noWrap/>
          </w:tcPr>
          <w:p w14:paraId="461BE4F5" w14:textId="77777777" w:rsidR="00A43992" w:rsidRDefault="00A43992" w:rsidP="007211E3">
            <w:pPr>
              <w:rPr>
                <w:rFonts w:ascii="Arial" w:hAnsi="Arial" w:cs="Arial"/>
                <w:bCs/>
                <w:sz w:val="18"/>
                <w:szCs w:val="18"/>
              </w:rPr>
            </w:pPr>
            <w:r>
              <w:rPr>
                <w:rFonts w:ascii="Arial" w:hAnsi="Arial" w:cs="Arial"/>
                <w:bCs/>
                <w:sz w:val="18"/>
                <w:szCs w:val="18"/>
              </w:rPr>
              <w:t>Expenses</w:t>
            </w:r>
          </w:p>
          <w:p w14:paraId="372B7601" w14:textId="77777777" w:rsidR="00A43992" w:rsidRPr="005013FF" w:rsidRDefault="00A43992" w:rsidP="007211E3">
            <w:pPr>
              <w:rPr>
                <w:rFonts w:ascii="Arial" w:hAnsi="Arial" w:cs="Arial"/>
                <w:bCs/>
                <w:sz w:val="18"/>
                <w:szCs w:val="18"/>
              </w:rPr>
            </w:pPr>
            <w:r>
              <w:rPr>
                <w:rFonts w:ascii="Arial" w:hAnsi="Arial" w:cs="Arial"/>
                <w:bCs/>
                <w:i/>
                <w:sz w:val="18"/>
                <w:szCs w:val="18"/>
              </w:rPr>
              <w:t>Write-down and impairment of assets</w:t>
            </w:r>
          </w:p>
        </w:tc>
        <w:tc>
          <w:tcPr>
            <w:tcW w:w="6662" w:type="dxa"/>
            <w:tcBorders>
              <w:top w:val="single" w:sz="6" w:space="0" w:color="auto"/>
              <w:bottom w:val="single" w:sz="6" w:space="0" w:color="auto"/>
              <w:right w:val="single" w:sz="12" w:space="0" w:color="auto"/>
            </w:tcBorders>
            <w:shd w:val="clear" w:color="FFFFFF" w:fill="FFFFFF"/>
            <w:noWrap/>
          </w:tcPr>
          <w:p w14:paraId="195AC687" w14:textId="77777777" w:rsidR="00A43992" w:rsidRPr="00DD6C40" w:rsidRDefault="00A43992" w:rsidP="007211E3">
            <w:pPr>
              <w:rPr>
                <w:rFonts w:ascii="Arial" w:hAnsi="Arial" w:cs="Arial"/>
                <w:sz w:val="18"/>
                <w:szCs w:val="18"/>
              </w:rPr>
            </w:pPr>
            <w:r>
              <w:rPr>
                <w:rFonts w:ascii="Arial" w:hAnsi="Arial" w:cs="Arial"/>
                <w:sz w:val="18"/>
                <w:szCs w:val="18"/>
              </w:rPr>
              <w:t>Write-down and impairment of assets for the year ended 30 June 2016 primarily relates to amounts invoiced and accrued relating to states and territories for Scheme related funding that is considered not recoverable in accordance with accounting standards and were not anticipated in the original budget. The assessment was made in light of the ongoing</w:t>
            </w:r>
            <w:r w:rsidRPr="00DD6C40">
              <w:rPr>
                <w:rFonts w:ascii="Arial" w:hAnsi="Arial" w:cs="Arial"/>
                <w:sz w:val="18"/>
                <w:szCs w:val="18"/>
              </w:rPr>
              <w:t xml:space="preserve"> negotiations between the Department of Social Services</w:t>
            </w:r>
            <w:r>
              <w:rPr>
                <w:rFonts w:ascii="Arial" w:hAnsi="Arial" w:cs="Arial"/>
                <w:sz w:val="18"/>
                <w:szCs w:val="18"/>
              </w:rPr>
              <w:t xml:space="preserve"> (‘DSS’)</w:t>
            </w:r>
            <w:r w:rsidRPr="00DD6C40">
              <w:rPr>
                <w:rFonts w:ascii="Arial" w:hAnsi="Arial" w:cs="Arial"/>
                <w:sz w:val="18"/>
                <w:szCs w:val="18"/>
              </w:rPr>
              <w:t xml:space="preserve"> and the states and territories</w:t>
            </w:r>
            <w:r>
              <w:rPr>
                <w:rFonts w:ascii="Arial" w:hAnsi="Arial" w:cs="Arial"/>
                <w:sz w:val="18"/>
                <w:szCs w:val="18"/>
              </w:rPr>
              <w:t>.</w:t>
            </w:r>
          </w:p>
        </w:tc>
      </w:tr>
      <w:tr w:rsidR="00A43992" w14:paraId="6EC75BB6" w14:textId="77777777" w:rsidTr="007211E3">
        <w:trPr>
          <w:cantSplit/>
          <w:trHeight w:val="255"/>
        </w:trPr>
        <w:tc>
          <w:tcPr>
            <w:tcW w:w="2694" w:type="dxa"/>
            <w:tcBorders>
              <w:top w:val="single" w:sz="6" w:space="0" w:color="auto"/>
              <w:left w:val="single" w:sz="12" w:space="0" w:color="auto"/>
              <w:bottom w:val="single" w:sz="6" w:space="0" w:color="auto"/>
            </w:tcBorders>
            <w:shd w:val="clear" w:color="FFFFFF" w:fill="FFFFFF"/>
            <w:noWrap/>
          </w:tcPr>
          <w:p w14:paraId="021AB242" w14:textId="77777777" w:rsidR="00A43992" w:rsidRDefault="00A43992" w:rsidP="007211E3">
            <w:pPr>
              <w:rPr>
                <w:rFonts w:ascii="Arial" w:hAnsi="Arial" w:cs="Arial"/>
                <w:bCs/>
                <w:sz w:val="18"/>
                <w:szCs w:val="18"/>
              </w:rPr>
            </w:pPr>
            <w:r>
              <w:rPr>
                <w:rFonts w:ascii="Arial" w:hAnsi="Arial" w:cs="Arial"/>
                <w:bCs/>
                <w:sz w:val="18"/>
                <w:szCs w:val="18"/>
              </w:rPr>
              <w:t>Own-source revenue</w:t>
            </w:r>
          </w:p>
          <w:p w14:paraId="5535328A" w14:textId="77777777" w:rsidR="00A43992" w:rsidRPr="00DD6C40" w:rsidRDefault="00A43992" w:rsidP="007211E3">
            <w:pPr>
              <w:rPr>
                <w:rFonts w:ascii="Arial" w:hAnsi="Arial" w:cs="Arial"/>
                <w:bCs/>
                <w:i/>
                <w:sz w:val="18"/>
                <w:szCs w:val="18"/>
              </w:rPr>
            </w:pPr>
            <w:r>
              <w:rPr>
                <w:rFonts w:ascii="Arial" w:hAnsi="Arial" w:cs="Arial"/>
                <w:bCs/>
                <w:i/>
                <w:sz w:val="18"/>
                <w:szCs w:val="18"/>
              </w:rPr>
              <w:t>Revenue from rendering of services, Other revenue</w:t>
            </w:r>
          </w:p>
        </w:tc>
        <w:tc>
          <w:tcPr>
            <w:tcW w:w="6662" w:type="dxa"/>
            <w:tcBorders>
              <w:top w:val="single" w:sz="6" w:space="0" w:color="auto"/>
              <w:bottom w:val="single" w:sz="6" w:space="0" w:color="auto"/>
              <w:right w:val="single" w:sz="12" w:space="0" w:color="auto"/>
            </w:tcBorders>
            <w:shd w:val="clear" w:color="FFFFFF" w:fill="FFFFFF"/>
            <w:noWrap/>
          </w:tcPr>
          <w:p w14:paraId="74E0CA8C" w14:textId="77777777" w:rsidR="00A43992" w:rsidRPr="00DD6C40" w:rsidRDefault="00A43992" w:rsidP="007211E3">
            <w:pPr>
              <w:rPr>
                <w:rFonts w:ascii="Arial" w:hAnsi="Arial" w:cs="Arial"/>
                <w:sz w:val="18"/>
                <w:szCs w:val="18"/>
              </w:rPr>
            </w:pPr>
            <w:r>
              <w:rPr>
                <w:rFonts w:ascii="Arial" w:hAnsi="Arial" w:cs="Arial"/>
                <w:sz w:val="18"/>
                <w:szCs w:val="18"/>
              </w:rPr>
              <w:t xml:space="preserve">The original budget for revenue from rendering of services reflects a $13.5 million contribution from the </w:t>
            </w:r>
            <w:r w:rsidRPr="00F34B74">
              <w:rPr>
                <w:rFonts w:ascii="Arial" w:hAnsi="Arial" w:cs="Arial"/>
                <w:sz w:val="18"/>
                <w:szCs w:val="18"/>
              </w:rPr>
              <w:t xml:space="preserve">Victorian Government to fund the set-up costs of the </w:t>
            </w:r>
            <w:r>
              <w:rPr>
                <w:rFonts w:ascii="Arial" w:hAnsi="Arial" w:cs="Arial"/>
                <w:sz w:val="18"/>
                <w:szCs w:val="18"/>
              </w:rPr>
              <w:t xml:space="preserve">Agency’s National Office. In the 2016 </w:t>
            </w:r>
            <w:proofErr w:type="spellStart"/>
            <w:r>
              <w:rPr>
                <w:rFonts w:ascii="Arial" w:hAnsi="Arial" w:cs="Arial"/>
                <w:sz w:val="18"/>
                <w:szCs w:val="18"/>
              </w:rPr>
              <w:t>SoCI</w:t>
            </w:r>
            <w:proofErr w:type="spellEnd"/>
            <w:r>
              <w:rPr>
                <w:rFonts w:ascii="Arial" w:hAnsi="Arial" w:cs="Arial"/>
                <w:sz w:val="18"/>
                <w:szCs w:val="18"/>
              </w:rPr>
              <w:t>, this is disclosed as ‘Other revenue’.</w:t>
            </w:r>
          </w:p>
        </w:tc>
      </w:tr>
      <w:tr w:rsidR="00A43992" w14:paraId="6BCF2E28" w14:textId="77777777" w:rsidTr="007211E3">
        <w:trPr>
          <w:cantSplit/>
          <w:trHeight w:val="255"/>
        </w:trPr>
        <w:tc>
          <w:tcPr>
            <w:tcW w:w="2694" w:type="dxa"/>
            <w:tcBorders>
              <w:top w:val="single" w:sz="6" w:space="0" w:color="auto"/>
              <w:left w:val="single" w:sz="12" w:space="0" w:color="auto"/>
              <w:bottom w:val="single" w:sz="6" w:space="0" w:color="auto"/>
            </w:tcBorders>
            <w:shd w:val="clear" w:color="FFFFFF" w:fill="FFFFFF"/>
            <w:noWrap/>
          </w:tcPr>
          <w:p w14:paraId="711642E2" w14:textId="77777777" w:rsidR="00A43992" w:rsidRDefault="00A43992" w:rsidP="007211E3">
            <w:pPr>
              <w:rPr>
                <w:rFonts w:ascii="Arial" w:hAnsi="Arial" w:cs="Arial"/>
                <w:bCs/>
                <w:sz w:val="18"/>
                <w:szCs w:val="18"/>
              </w:rPr>
            </w:pPr>
            <w:r>
              <w:rPr>
                <w:rFonts w:ascii="Arial" w:hAnsi="Arial" w:cs="Arial"/>
                <w:bCs/>
                <w:sz w:val="18"/>
                <w:szCs w:val="18"/>
              </w:rPr>
              <w:lastRenderedPageBreak/>
              <w:t>Own-source revenue</w:t>
            </w:r>
          </w:p>
          <w:p w14:paraId="7E10DC59" w14:textId="77777777" w:rsidR="00A43992" w:rsidRDefault="00A43992" w:rsidP="007211E3">
            <w:pPr>
              <w:rPr>
                <w:rFonts w:ascii="Arial" w:hAnsi="Arial" w:cs="Arial"/>
                <w:bCs/>
                <w:sz w:val="18"/>
                <w:szCs w:val="18"/>
              </w:rPr>
            </w:pPr>
            <w:r>
              <w:rPr>
                <w:rFonts w:ascii="Arial" w:hAnsi="Arial" w:cs="Arial"/>
                <w:bCs/>
                <w:i/>
                <w:sz w:val="18"/>
                <w:szCs w:val="18"/>
              </w:rPr>
              <w:t>Interest revenue</w:t>
            </w:r>
          </w:p>
        </w:tc>
        <w:tc>
          <w:tcPr>
            <w:tcW w:w="6662" w:type="dxa"/>
            <w:tcBorders>
              <w:top w:val="single" w:sz="6" w:space="0" w:color="auto"/>
              <w:bottom w:val="single" w:sz="6" w:space="0" w:color="auto"/>
              <w:right w:val="single" w:sz="12" w:space="0" w:color="auto"/>
            </w:tcBorders>
            <w:shd w:val="clear" w:color="FFFFFF" w:fill="FFFFFF"/>
            <w:noWrap/>
          </w:tcPr>
          <w:p w14:paraId="67E23319" w14:textId="77777777" w:rsidR="00A43992" w:rsidRPr="00DD6C40" w:rsidRDefault="00A43992" w:rsidP="007211E3">
            <w:pPr>
              <w:rPr>
                <w:rFonts w:ascii="Arial" w:hAnsi="Arial" w:cs="Arial"/>
                <w:sz w:val="18"/>
                <w:szCs w:val="18"/>
              </w:rPr>
            </w:pPr>
            <w:r>
              <w:rPr>
                <w:rFonts w:ascii="Arial" w:hAnsi="Arial" w:cs="Arial"/>
                <w:sz w:val="18"/>
                <w:szCs w:val="18"/>
              </w:rPr>
              <w:t>Interest revenue is derived from the Agency investing cash in short-term deposits. The original budget does not assume that cash on hand will be in excess to immediate requirements.</w:t>
            </w:r>
          </w:p>
        </w:tc>
      </w:tr>
      <w:tr w:rsidR="00A43992" w14:paraId="79252A7A" w14:textId="77777777" w:rsidTr="007211E3">
        <w:trPr>
          <w:cantSplit/>
          <w:trHeight w:val="255"/>
        </w:trPr>
        <w:tc>
          <w:tcPr>
            <w:tcW w:w="2694" w:type="dxa"/>
            <w:tcBorders>
              <w:top w:val="single" w:sz="6" w:space="0" w:color="auto"/>
              <w:left w:val="single" w:sz="12" w:space="0" w:color="auto"/>
              <w:bottom w:val="single" w:sz="12" w:space="0" w:color="auto"/>
            </w:tcBorders>
            <w:shd w:val="clear" w:color="FFFFFF" w:fill="FFFFFF"/>
            <w:noWrap/>
          </w:tcPr>
          <w:p w14:paraId="062A99D7" w14:textId="77777777" w:rsidR="00A43992" w:rsidRDefault="00A43992" w:rsidP="007211E3">
            <w:pPr>
              <w:rPr>
                <w:rFonts w:ascii="Arial" w:hAnsi="Arial" w:cs="Arial"/>
                <w:bCs/>
                <w:sz w:val="18"/>
                <w:szCs w:val="18"/>
              </w:rPr>
            </w:pPr>
            <w:r>
              <w:rPr>
                <w:rFonts w:ascii="Arial" w:hAnsi="Arial" w:cs="Arial"/>
                <w:bCs/>
                <w:sz w:val="18"/>
                <w:szCs w:val="18"/>
              </w:rPr>
              <w:t>Gains</w:t>
            </w:r>
          </w:p>
          <w:p w14:paraId="2B5C7066" w14:textId="77777777" w:rsidR="00A43992" w:rsidRPr="005013FF" w:rsidRDefault="00A43992" w:rsidP="007211E3">
            <w:pPr>
              <w:rPr>
                <w:rFonts w:ascii="Arial" w:hAnsi="Arial" w:cs="Arial"/>
                <w:bCs/>
                <w:sz w:val="18"/>
                <w:szCs w:val="18"/>
              </w:rPr>
            </w:pPr>
            <w:r>
              <w:rPr>
                <w:rFonts w:ascii="Arial" w:hAnsi="Arial" w:cs="Arial"/>
                <w:bCs/>
                <w:i/>
                <w:sz w:val="18"/>
                <w:szCs w:val="18"/>
              </w:rPr>
              <w:t>Other gains</w:t>
            </w:r>
          </w:p>
        </w:tc>
        <w:tc>
          <w:tcPr>
            <w:tcW w:w="6662" w:type="dxa"/>
            <w:tcBorders>
              <w:top w:val="single" w:sz="6" w:space="0" w:color="auto"/>
              <w:bottom w:val="single" w:sz="12" w:space="0" w:color="auto"/>
              <w:right w:val="single" w:sz="12" w:space="0" w:color="auto"/>
            </w:tcBorders>
            <w:shd w:val="clear" w:color="FFFFFF" w:fill="FFFFFF"/>
            <w:noWrap/>
          </w:tcPr>
          <w:p w14:paraId="1450C1BD" w14:textId="77777777" w:rsidR="00A43992" w:rsidRPr="00DD6C40" w:rsidRDefault="00A43992" w:rsidP="007211E3">
            <w:pPr>
              <w:rPr>
                <w:rFonts w:ascii="Arial" w:hAnsi="Arial" w:cs="Arial"/>
                <w:sz w:val="18"/>
                <w:szCs w:val="18"/>
              </w:rPr>
            </w:pPr>
            <w:r>
              <w:rPr>
                <w:rFonts w:ascii="Arial" w:hAnsi="Arial" w:cs="Arial"/>
                <w:sz w:val="18"/>
                <w:szCs w:val="18"/>
              </w:rPr>
              <w:t>Other gains primarily reflect contributions made to the Scheme in-kind from Commonwealth, state and territory governments. Other gains are less than original budget a</w:t>
            </w:r>
            <w:r w:rsidRPr="00DD6C40">
              <w:rPr>
                <w:rFonts w:ascii="Arial" w:hAnsi="Arial" w:cs="Arial"/>
                <w:sz w:val="18"/>
                <w:szCs w:val="18"/>
              </w:rPr>
              <w:t xml:space="preserve">s a result of renegotiations of cash and in-kind contributions </w:t>
            </w:r>
            <w:r>
              <w:rPr>
                <w:rFonts w:ascii="Arial" w:hAnsi="Arial" w:cs="Arial"/>
                <w:sz w:val="18"/>
                <w:szCs w:val="18"/>
              </w:rPr>
              <w:t>resulting in</w:t>
            </w:r>
            <w:r w:rsidRPr="00DD6C40">
              <w:rPr>
                <w:rFonts w:ascii="Arial" w:hAnsi="Arial" w:cs="Arial"/>
                <w:sz w:val="18"/>
                <w:szCs w:val="18"/>
              </w:rPr>
              <w:t xml:space="preserve"> actual in-kind contributions being lower than</w:t>
            </w:r>
            <w:r>
              <w:rPr>
                <w:rFonts w:ascii="Arial" w:hAnsi="Arial" w:cs="Arial"/>
                <w:sz w:val="18"/>
                <w:szCs w:val="18"/>
              </w:rPr>
              <w:t xml:space="preserve"> target</w:t>
            </w:r>
            <w:r w:rsidRPr="00DD6C40">
              <w:rPr>
                <w:rFonts w:ascii="Arial" w:hAnsi="Arial" w:cs="Arial"/>
                <w:sz w:val="18"/>
                <w:szCs w:val="18"/>
              </w:rPr>
              <w:t xml:space="preserve"> amou</w:t>
            </w:r>
            <w:r>
              <w:rPr>
                <w:rFonts w:ascii="Arial" w:hAnsi="Arial" w:cs="Arial"/>
                <w:sz w:val="18"/>
                <w:szCs w:val="18"/>
              </w:rPr>
              <w:t>nts agreed in the bilateral agreements</w:t>
            </w:r>
            <w:r w:rsidRPr="00DD6C40">
              <w:rPr>
                <w:rFonts w:ascii="Arial" w:hAnsi="Arial" w:cs="Arial"/>
                <w:sz w:val="18"/>
                <w:szCs w:val="18"/>
              </w:rPr>
              <w:t>.</w:t>
            </w:r>
          </w:p>
        </w:tc>
      </w:tr>
    </w:tbl>
    <w:p w14:paraId="21DB7AB7" w14:textId="77777777" w:rsidR="00A43992" w:rsidRDefault="00A43992" w:rsidP="00A43992">
      <w:pPr>
        <w:pStyle w:val="ReferenceText"/>
      </w:pPr>
    </w:p>
    <w:p w14:paraId="7BFF83A3" w14:textId="77777777" w:rsidR="00A43992" w:rsidRDefault="00A43992" w:rsidP="00A43992">
      <w:pPr>
        <w:pStyle w:val="ReferenceText"/>
      </w:pPr>
    </w:p>
    <w:p w14:paraId="1469F728" w14:textId="77777777" w:rsidR="00A43992" w:rsidRDefault="00A43992" w:rsidP="00A43992">
      <w:pPr>
        <w:pStyle w:val="ReferenceText"/>
      </w:pPr>
    </w:p>
    <w:p w14:paraId="403B8595" w14:textId="77777777" w:rsidR="00A43992" w:rsidRPr="000118A3" w:rsidRDefault="00A43992" w:rsidP="00A43992">
      <w:pPr>
        <w:pStyle w:val="ReferenceText"/>
        <w:sectPr w:rsidR="00A43992" w:rsidRPr="000118A3" w:rsidSect="007211E3">
          <w:headerReference w:type="even" r:id="rId18"/>
          <w:headerReference w:type="default" r:id="rId19"/>
          <w:headerReference w:type="first" r:id="rId20"/>
          <w:pgSz w:w="11906" w:h="16838" w:code="9"/>
          <w:pgMar w:top="1134" w:right="1700" w:bottom="1134" w:left="1134" w:header="958" w:footer="737" w:gutter="0"/>
          <w:cols w:space="708"/>
          <w:docGrid w:linePitch="360"/>
        </w:sectPr>
      </w:pPr>
    </w:p>
    <w:tbl>
      <w:tblPr>
        <w:tblW w:w="9087" w:type="dxa"/>
        <w:tblInd w:w="80" w:type="dxa"/>
        <w:tblLayout w:type="fixed"/>
        <w:tblLook w:val="04A0" w:firstRow="1" w:lastRow="0" w:firstColumn="1" w:lastColumn="0" w:noHBand="0" w:noVBand="1"/>
      </w:tblPr>
      <w:tblGrid>
        <w:gridCol w:w="4280"/>
        <w:gridCol w:w="1083"/>
        <w:gridCol w:w="1088"/>
        <w:gridCol w:w="236"/>
        <w:gridCol w:w="1095"/>
        <w:gridCol w:w="236"/>
        <w:gridCol w:w="1069"/>
      </w:tblGrid>
      <w:tr w:rsidR="00A43992" w14:paraId="521C705E" w14:textId="77777777" w:rsidTr="007211E3">
        <w:trPr>
          <w:trHeight w:val="480"/>
        </w:trPr>
        <w:tc>
          <w:tcPr>
            <w:tcW w:w="4280" w:type="dxa"/>
            <w:tcBorders>
              <w:top w:val="single" w:sz="4" w:space="0" w:color="6B2976"/>
              <w:left w:val="nil"/>
              <w:bottom w:val="nil"/>
              <w:right w:val="nil"/>
            </w:tcBorders>
            <w:shd w:val="clear" w:color="FFFFFF" w:fill="FFFFFF"/>
            <w:noWrap/>
            <w:vAlign w:val="bottom"/>
            <w:hideMark/>
          </w:tcPr>
          <w:p w14:paraId="46808CFB" w14:textId="77777777" w:rsidR="00A43992" w:rsidRDefault="00A43992" w:rsidP="007211E3">
            <w:pPr>
              <w:rPr>
                <w:rFonts w:ascii="Arial" w:hAnsi="Arial" w:cs="Arial"/>
                <w:sz w:val="18"/>
                <w:szCs w:val="18"/>
              </w:rPr>
            </w:pPr>
            <w:bookmarkStart w:id="96" w:name="RANGE!D8:J48"/>
            <w:bookmarkStart w:id="97" w:name="Note_DBSTABLE1" w:colFirst="0" w:colLast="0"/>
            <w:r>
              <w:rPr>
                <w:rFonts w:ascii="Arial" w:hAnsi="Arial" w:cs="Arial"/>
                <w:sz w:val="18"/>
                <w:szCs w:val="18"/>
              </w:rPr>
              <w:lastRenderedPageBreak/>
              <w:t> </w:t>
            </w:r>
            <w:bookmarkEnd w:id="96"/>
          </w:p>
        </w:tc>
        <w:tc>
          <w:tcPr>
            <w:tcW w:w="1083" w:type="dxa"/>
            <w:tcBorders>
              <w:top w:val="single" w:sz="4" w:space="0" w:color="6B2976"/>
              <w:left w:val="nil"/>
              <w:bottom w:val="nil"/>
              <w:right w:val="nil"/>
            </w:tcBorders>
            <w:shd w:val="clear" w:color="FFFFFF" w:fill="FFFFFF"/>
            <w:noWrap/>
            <w:vAlign w:val="bottom"/>
            <w:hideMark/>
          </w:tcPr>
          <w:p w14:paraId="4CAD4995" w14:textId="77777777" w:rsidR="00A43992" w:rsidRDefault="00A43992" w:rsidP="007211E3">
            <w:pPr>
              <w:rPr>
                <w:rFonts w:ascii="Arial" w:hAnsi="Arial" w:cs="Arial"/>
                <w:sz w:val="18"/>
                <w:szCs w:val="18"/>
              </w:rPr>
            </w:pPr>
            <w:r>
              <w:rPr>
                <w:rFonts w:ascii="Arial" w:hAnsi="Arial" w:cs="Arial"/>
                <w:sz w:val="18"/>
                <w:szCs w:val="18"/>
              </w:rPr>
              <w:t> </w:t>
            </w:r>
          </w:p>
        </w:tc>
        <w:tc>
          <w:tcPr>
            <w:tcW w:w="1088" w:type="dxa"/>
            <w:tcBorders>
              <w:top w:val="single" w:sz="4" w:space="0" w:color="6B2976"/>
              <w:left w:val="nil"/>
              <w:bottom w:val="nil"/>
              <w:right w:val="nil"/>
            </w:tcBorders>
            <w:shd w:val="clear" w:color="FFFFFF" w:fill="FFFFFF"/>
            <w:noWrap/>
            <w:vAlign w:val="bottom"/>
            <w:hideMark/>
          </w:tcPr>
          <w:p w14:paraId="2EECAF26" w14:textId="77777777" w:rsidR="00A43992" w:rsidRDefault="00A43992" w:rsidP="007211E3">
            <w:pPr>
              <w:jc w:val="right"/>
              <w:rPr>
                <w:rFonts w:ascii="Arial" w:hAnsi="Arial" w:cs="Arial"/>
                <w:b/>
                <w:bCs/>
                <w:sz w:val="18"/>
                <w:szCs w:val="18"/>
              </w:rPr>
            </w:pPr>
            <w:r>
              <w:rPr>
                <w:rFonts w:ascii="Arial" w:hAnsi="Arial" w:cs="Arial"/>
                <w:b/>
                <w:bCs/>
                <w:sz w:val="18"/>
                <w:szCs w:val="18"/>
              </w:rPr>
              <w:t> </w:t>
            </w:r>
          </w:p>
        </w:tc>
        <w:tc>
          <w:tcPr>
            <w:tcW w:w="236" w:type="dxa"/>
            <w:tcBorders>
              <w:top w:val="single" w:sz="4" w:space="0" w:color="6B2976"/>
              <w:left w:val="nil"/>
              <w:bottom w:val="nil"/>
              <w:right w:val="nil"/>
            </w:tcBorders>
            <w:shd w:val="clear" w:color="FFFFFF" w:fill="FFFFFF"/>
            <w:noWrap/>
            <w:vAlign w:val="bottom"/>
            <w:hideMark/>
          </w:tcPr>
          <w:p w14:paraId="49080C5C" w14:textId="77777777" w:rsidR="00A43992" w:rsidRDefault="00A43992" w:rsidP="007211E3">
            <w:pPr>
              <w:rPr>
                <w:rFonts w:ascii="Arial" w:hAnsi="Arial" w:cs="Arial"/>
                <w:sz w:val="18"/>
                <w:szCs w:val="18"/>
              </w:rPr>
            </w:pPr>
            <w:r>
              <w:rPr>
                <w:rFonts w:ascii="Arial" w:hAnsi="Arial" w:cs="Arial"/>
                <w:sz w:val="18"/>
                <w:szCs w:val="18"/>
              </w:rPr>
              <w:t> </w:t>
            </w:r>
          </w:p>
        </w:tc>
        <w:tc>
          <w:tcPr>
            <w:tcW w:w="1095" w:type="dxa"/>
            <w:tcBorders>
              <w:top w:val="single" w:sz="4" w:space="0" w:color="6B2976"/>
              <w:left w:val="nil"/>
              <w:bottom w:val="nil"/>
              <w:right w:val="nil"/>
            </w:tcBorders>
            <w:shd w:val="clear" w:color="FFFFFF" w:fill="FFFFFF"/>
            <w:noWrap/>
            <w:vAlign w:val="bottom"/>
            <w:hideMark/>
          </w:tcPr>
          <w:p w14:paraId="54CF112B" w14:textId="77777777" w:rsidR="00A43992" w:rsidRDefault="00A43992" w:rsidP="007211E3">
            <w:pPr>
              <w:jc w:val="right"/>
              <w:rPr>
                <w:rFonts w:ascii="Arial" w:hAnsi="Arial" w:cs="Arial"/>
                <w:sz w:val="18"/>
                <w:szCs w:val="18"/>
              </w:rPr>
            </w:pPr>
            <w:r>
              <w:rPr>
                <w:rFonts w:ascii="Arial" w:hAnsi="Arial" w:cs="Arial"/>
                <w:sz w:val="18"/>
                <w:szCs w:val="18"/>
              </w:rPr>
              <w:t> </w:t>
            </w:r>
          </w:p>
        </w:tc>
        <w:tc>
          <w:tcPr>
            <w:tcW w:w="236" w:type="dxa"/>
            <w:tcBorders>
              <w:top w:val="single" w:sz="4" w:space="0" w:color="6B2976"/>
              <w:left w:val="nil"/>
              <w:bottom w:val="nil"/>
              <w:right w:val="nil"/>
            </w:tcBorders>
            <w:shd w:val="clear" w:color="FFFFFF" w:fill="FFFFFF"/>
            <w:noWrap/>
            <w:vAlign w:val="bottom"/>
            <w:hideMark/>
          </w:tcPr>
          <w:p w14:paraId="26D2801B" w14:textId="77777777" w:rsidR="00A43992" w:rsidRDefault="00A43992" w:rsidP="007211E3">
            <w:pPr>
              <w:rPr>
                <w:rFonts w:ascii="Arial" w:hAnsi="Arial" w:cs="Arial"/>
                <w:sz w:val="18"/>
                <w:szCs w:val="18"/>
              </w:rPr>
            </w:pPr>
            <w:r>
              <w:rPr>
                <w:rFonts w:ascii="Arial" w:hAnsi="Arial" w:cs="Arial"/>
                <w:sz w:val="18"/>
                <w:szCs w:val="18"/>
              </w:rPr>
              <w:t> </w:t>
            </w:r>
          </w:p>
        </w:tc>
        <w:tc>
          <w:tcPr>
            <w:tcW w:w="1069" w:type="dxa"/>
            <w:tcBorders>
              <w:top w:val="single" w:sz="4" w:space="0" w:color="6B2976"/>
              <w:left w:val="nil"/>
              <w:bottom w:val="nil"/>
              <w:right w:val="nil"/>
            </w:tcBorders>
            <w:shd w:val="clear" w:color="FFFFFF" w:fill="FFFFFF"/>
            <w:vAlign w:val="bottom"/>
            <w:hideMark/>
          </w:tcPr>
          <w:p w14:paraId="74894B58" w14:textId="77777777" w:rsidR="00A43992" w:rsidRPr="00933E9F" w:rsidRDefault="00A43992" w:rsidP="007211E3">
            <w:pPr>
              <w:jc w:val="right"/>
              <w:rPr>
                <w:rFonts w:ascii="Arial" w:hAnsi="Arial" w:cs="Arial"/>
                <w:color w:val="6B2976"/>
                <w:sz w:val="18"/>
                <w:szCs w:val="18"/>
              </w:rPr>
            </w:pPr>
            <w:r w:rsidRPr="00933E9F">
              <w:rPr>
                <w:rFonts w:ascii="Arial" w:hAnsi="Arial" w:cs="Arial"/>
                <w:color w:val="6B2976"/>
                <w:sz w:val="18"/>
                <w:szCs w:val="18"/>
              </w:rPr>
              <w:t>Original</w:t>
            </w:r>
            <w:r w:rsidRPr="00933E9F">
              <w:rPr>
                <w:rFonts w:ascii="Arial" w:hAnsi="Arial" w:cs="Arial"/>
                <w:color w:val="6B2976"/>
                <w:sz w:val="18"/>
                <w:szCs w:val="18"/>
              </w:rPr>
              <w:br/>
              <w:t>Budget</w:t>
            </w:r>
          </w:p>
        </w:tc>
      </w:tr>
      <w:bookmarkEnd w:id="97"/>
      <w:tr w:rsidR="00A43992" w14:paraId="64D1005B" w14:textId="77777777" w:rsidTr="007211E3">
        <w:trPr>
          <w:trHeight w:val="255"/>
        </w:trPr>
        <w:tc>
          <w:tcPr>
            <w:tcW w:w="4280" w:type="dxa"/>
            <w:tcBorders>
              <w:top w:val="nil"/>
              <w:left w:val="nil"/>
              <w:bottom w:val="nil"/>
              <w:right w:val="nil"/>
            </w:tcBorders>
            <w:shd w:val="clear" w:color="FFFFFF" w:fill="FFFFFF"/>
            <w:noWrap/>
            <w:vAlign w:val="bottom"/>
            <w:hideMark/>
          </w:tcPr>
          <w:p w14:paraId="280FBAAA" w14:textId="77777777" w:rsidR="00A43992" w:rsidRDefault="00A43992" w:rsidP="007211E3">
            <w:pPr>
              <w:rPr>
                <w:rFonts w:ascii="Arial" w:hAnsi="Arial" w:cs="Arial"/>
                <w:sz w:val="18"/>
                <w:szCs w:val="18"/>
              </w:rPr>
            </w:pPr>
            <w:r>
              <w:rPr>
                <w:rFonts w:ascii="Arial" w:hAnsi="Arial" w:cs="Arial"/>
                <w:sz w:val="18"/>
                <w:szCs w:val="18"/>
              </w:rPr>
              <w:t> </w:t>
            </w:r>
          </w:p>
        </w:tc>
        <w:tc>
          <w:tcPr>
            <w:tcW w:w="1083" w:type="dxa"/>
            <w:tcBorders>
              <w:top w:val="nil"/>
              <w:left w:val="nil"/>
              <w:bottom w:val="nil"/>
              <w:right w:val="nil"/>
            </w:tcBorders>
            <w:shd w:val="clear" w:color="FFFFFF" w:fill="FFFFFF"/>
            <w:noWrap/>
            <w:vAlign w:val="bottom"/>
            <w:hideMark/>
          </w:tcPr>
          <w:p w14:paraId="7E78D08A" w14:textId="77777777" w:rsidR="00A43992" w:rsidRDefault="00A43992" w:rsidP="007211E3">
            <w:pPr>
              <w:rPr>
                <w:rFonts w:ascii="Arial" w:hAnsi="Arial" w:cs="Arial"/>
                <w:sz w:val="18"/>
                <w:szCs w:val="18"/>
              </w:rPr>
            </w:pPr>
            <w:r>
              <w:rPr>
                <w:rFonts w:ascii="Arial" w:hAnsi="Arial" w:cs="Arial"/>
                <w:sz w:val="18"/>
                <w:szCs w:val="18"/>
              </w:rPr>
              <w:t> </w:t>
            </w:r>
          </w:p>
        </w:tc>
        <w:tc>
          <w:tcPr>
            <w:tcW w:w="1088" w:type="dxa"/>
            <w:tcBorders>
              <w:top w:val="nil"/>
              <w:left w:val="nil"/>
              <w:bottom w:val="nil"/>
              <w:right w:val="nil"/>
            </w:tcBorders>
            <w:shd w:val="clear" w:color="FFFFFF" w:fill="FFFFFF"/>
            <w:noWrap/>
            <w:vAlign w:val="bottom"/>
            <w:hideMark/>
          </w:tcPr>
          <w:p w14:paraId="7BE53497" w14:textId="77777777" w:rsidR="00A43992" w:rsidRDefault="00A43992" w:rsidP="007211E3">
            <w:pPr>
              <w:jc w:val="right"/>
              <w:rPr>
                <w:rFonts w:ascii="Arial" w:hAnsi="Arial" w:cs="Arial"/>
                <w:b/>
                <w:bCs/>
                <w:sz w:val="18"/>
                <w:szCs w:val="18"/>
              </w:rPr>
            </w:pPr>
            <w:r>
              <w:rPr>
                <w:rFonts w:ascii="Arial" w:hAnsi="Arial" w:cs="Arial"/>
                <w:b/>
                <w:bCs/>
                <w:sz w:val="18"/>
                <w:szCs w:val="18"/>
              </w:rPr>
              <w:t>2016</w:t>
            </w:r>
          </w:p>
        </w:tc>
        <w:tc>
          <w:tcPr>
            <w:tcW w:w="236" w:type="dxa"/>
            <w:tcBorders>
              <w:top w:val="nil"/>
              <w:left w:val="nil"/>
              <w:bottom w:val="nil"/>
              <w:right w:val="nil"/>
            </w:tcBorders>
            <w:shd w:val="clear" w:color="FFFFFF" w:fill="FFFFFF"/>
            <w:noWrap/>
            <w:vAlign w:val="bottom"/>
            <w:hideMark/>
          </w:tcPr>
          <w:p w14:paraId="231F8BCE" w14:textId="77777777" w:rsidR="00A43992" w:rsidRDefault="00A43992" w:rsidP="007211E3">
            <w:pPr>
              <w:rPr>
                <w:rFonts w:ascii="Arial" w:hAnsi="Arial" w:cs="Arial"/>
                <w:sz w:val="18"/>
                <w:szCs w:val="18"/>
              </w:rPr>
            </w:pPr>
            <w:r>
              <w:rPr>
                <w:rFonts w:ascii="Arial" w:hAnsi="Arial" w:cs="Arial"/>
                <w:sz w:val="18"/>
                <w:szCs w:val="18"/>
              </w:rPr>
              <w:t> </w:t>
            </w:r>
          </w:p>
        </w:tc>
        <w:tc>
          <w:tcPr>
            <w:tcW w:w="1095" w:type="dxa"/>
            <w:tcBorders>
              <w:top w:val="nil"/>
              <w:left w:val="nil"/>
              <w:bottom w:val="nil"/>
              <w:right w:val="nil"/>
            </w:tcBorders>
            <w:shd w:val="clear" w:color="FFFFFF" w:fill="FFFFFF"/>
            <w:noWrap/>
            <w:vAlign w:val="bottom"/>
            <w:hideMark/>
          </w:tcPr>
          <w:p w14:paraId="0C43168F" w14:textId="77777777" w:rsidR="00A43992" w:rsidRDefault="00A43992" w:rsidP="007211E3">
            <w:pPr>
              <w:jc w:val="right"/>
              <w:rPr>
                <w:rFonts w:ascii="Arial" w:hAnsi="Arial" w:cs="Arial"/>
                <w:sz w:val="18"/>
                <w:szCs w:val="18"/>
              </w:rPr>
            </w:pPr>
            <w:r>
              <w:rPr>
                <w:rFonts w:ascii="Arial" w:hAnsi="Arial" w:cs="Arial"/>
                <w:sz w:val="18"/>
                <w:szCs w:val="18"/>
              </w:rPr>
              <w:t>2015</w:t>
            </w:r>
          </w:p>
        </w:tc>
        <w:tc>
          <w:tcPr>
            <w:tcW w:w="236" w:type="dxa"/>
            <w:tcBorders>
              <w:top w:val="nil"/>
              <w:left w:val="nil"/>
              <w:bottom w:val="nil"/>
              <w:right w:val="nil"/>
            </w:tcBorders>
            <w:shd w:val="clear" w:color="FFFFFF" w:fill="FFFFFF"/>
            <w:noWrap/>
            <w:vAlign w:val="bottom"/>
            <w:hideMark/>
          </w:tcPr>
          <w:p w14:paraId="04C532AF" w14:textId="77777777" w:rsidR="00A43992" w:rsidRDefault="00A43992" w:rsidP="007211E3">
            <w:pPr>
              <w:rPr>
                <w:rFonts w:ascii="Arial" w:hAnsi="Arial" w:cs="Arial"/>
                <w:sz w:val="18"/>
                <w:szCs w:val="18"/>
              </w:rPr>
            </w:pPr>
            <w:r>
              <w:rPr>
                <w:rFonts w:ascii="Arial" w:hAnsi="Arial" w:cs="Arial"/>
                <w:sz w:val="18"/>
                <w:szCs w:val="18"/>
              </w:rPr>
              <w:t> </w:t>
            </w:r>
          </w:p>
        </w:tc>
        <w:tc>
          <w:tcPr>
            <w:tcW w:w="1069" w:type="dxa"/>
            <w:tcBorders>
              <w:top w:val="nil"/>
              <w:left w:val="nil"/>
              <w:bottom w:val="nil"/>
              <w:right w:val="nil"/>
            </w:tcBorders>
            <w:shd w:val="clear" w:color="FFFFFF" w:fill="FFFFFF"/>
            <w:vAlign w:val="bottom"/>
            <w:hideMark/>
          </w:tcPr>
          <w:p w14:paraId="1C362909" w14:textId="77777777" w:rsidR="00A43992" w:rsidRPr="00933E9F" w:rsidRDefault="00A43992" w:rsidP="007211E3">
            <w:pPr>
              <w:jc w:val="right"/>
              <w:rPr>
                <w:rFonts w:ascii="Arial" w:hAnsi="Arial" w:cs="Arial"/>
                <w:color w:val="6B2976"/>
                <w:sz w:val="18"/>
                <w:szCs w:val="18"/>
              </w:rPr>
            </w:pPr>
            <w:r w:rsidRPr="00933E9F">
              <w:rPr>
                <w:rFonts w:ascii="Arial" w:hAnsi="Arial" w:cs="Arial"/>
                <w:color w:val="6B2976"/>
                <w:sz w:val="18"/>
                <w:szCs w:val="18"/>
              </w:rPr>
              <w:t>2016</w:t>
            </w:r>
          </w:p>
        </w:tc>
      </w:tr>
      <w:tr w:rsidR="00A43992" w14:paraId="5C96001F" w14:textId="77777777" w:rsidTr="007211E3">
        <w:trPr>
          <w:trHeight w:val="270"/>
        </w:trPr>
        <w:tc>
          <w:tcPr>
            <w:tcW w:w="4280" w:type="dxa"/>
            <w:tcBorders>
              <w:top w:val="nil"/>
              <w:left w:val="nil"/>
              <w:bottom w:val="single" w:sz="4" w:space="0" w:color="6B2976"/>
              <w:right w:val="nil"/>
            </w:tcBorders>
            <w:shd w:val="clear" w:color="FFFFFF" w:fill="FFFFFF"/>
            <w:noWrap/>
            <w:vAlign w:val="bottom"/>
            <w:hideMark/>
          </w:tcPr>
          <w:p w14:paraId="410784D7" w14:textId="77777777" w:rsidR="00A43992" w:rsidRDefault="00A43992" w:rsidP="007211E3">
            <w:pPr>
              <w:rPr>
                <w:rFonts w:ascii="Arial" w:hAnsi="Arial" w:cs="Arial"/>
                <w:sz w:val="18"/>
                <w:szCs w:val="18"/>
              </w:rPr>
            </w:pPr>
            <w:r>
              <w:rPr>
                <w:rFonts w:ascii="Arial" w:hAnsi="Arial" w:cs="Arial"/>
                <w:sz w:val="18"/>
                <w:szCs w:val="18"/>
              </w:rPr>
              <w:t> </w:t>
            </w:r>
          </w:p>
        </w:tc>
        <w:tc>
          <w:tcPr>
            <w:tcW w:w="1083" w:type="dxa"/>
            <w:tcBorders>
              <w:top w:val="nil"/>
              <w:left w:val="nil"/>
              <w:bottom w:val="single" w:sz="4" w:space="0" w:color="6B2976"/>
              <w:right w:val="nil"/>
            </w:tcBorders>
            <w:shd w:val="clear" w:color="FFFFFF" w:fill="FFFFFF"/>
            <w:noWrap/>
            <w:vAlign w:val="bottom"/>
            <w:hideMark/>
          </w:tcPr>
          <w:p w14:paraId="58800784" w14:textId="77777777" w:rsidR="00A43992" w:rsidRDefault="00A43992" w:rsidP="007211E3">
            <w:pPr>
              <w:jc w:val="center"/>
              <w:rPr>
                <w:rFonts w:ascii="Arial" w:hAnsi="Arial" w:cs="Arial"/>
                <w:b/>
                <w:bCs/>
                <w:sz w:val="18"/>
                <w:szCs w:val="18"/>
              </w:rPr>
            </w:pPr>
            <w:r>
              <w:rPr>
                <w:rFonts w:ascii="Arial" w:hAnsi="Arial" w:cs="Arial"/>
                <w:b/>
                <w:bCs/>
                <w:sz w:val="18"/>
                <w:szCs w:val="18"/>
              </w:rPr>
              <w:t>Notes</w:t>
            </w:r>
          </w:p>
        </w:tc>
        <w:tc>
          <w:tcPr>
            <w:tcW w:w="1088" w:type="dxa"/>
            <w:tcBorders>
              <w:top w:val="nil"/>
              <w:left w:val="nil"/>
              <w:bottom w:val="single" w:sz="4" w:space="0" w:color="6B2976"/>
              <w:right w:val="nil"/>
            </w:tcBorders>
            <w:shd w:val="clear" w:color="FFFFFF" w:fill="FFFFFF"/>
            <w:noWrap/>
            <w:vAlign w:val="bottom"/>
            <w:hideMark/>
          </w:tcPr>
          <w:p w14:paraId="42AD43DF" w14:textId="77777777" w:rsidR="00A43992" w:rsidRDefault="00A43992" w:rsidP="007211E3">
            <w:pPr>
              <w:jc w:val="right"/>
              <w:rPr>
                <w:rFonts w:ascii="Arial" w:hAnsi="Arial" w:cs="Arial"/>
                <w:b/>
                <w:bCs/>
                <w:sz w:val="18"/>
                <w:szCs w:val="18"/>
              </w:rPr>
            </w:pPr>
            <w:r>
              <w:rPr>
                <w:rFonts w:ascii="Arial" w:hAnsi="Arial" w:cs="Arial"/>
                <w:b/>
                <w:bCs/>
                <w:sz w:val="18"/>
                <w:szCs w:val="18"/>
              </w:rPr>
              <w:t>$'000</w:t>
            </w:r>
          </w:p>
        </w:tc>
        <w:tc>
          <w:tcPr>
            <w:tcW w:w="236" w:type="dxa"/>
            <w:tcBorders>
              <w:top w:val="nil"/>
              <w:left w:val="nil"/>
              <w:bottom w:val="single" w:sz="4" w:space="0" w:color="6B2976"/>
              <w:right w:val="nil"/>
            </w:tcBorders>
            <w:shd w:val="clear" w:color="FFFFFF" w:fill="FFFFFF"/>
            <w:noWrap/>
            <w:vAlign w:val="bottom"/>
            <w:hideMark/>
          </w:tcPr>
          <w:p w14:paraId="0C119197" w14:textId="77777777" w:rsidR="00A43992" w:rsidRDefault="00A43992" w:rsidP="007211E3">
            <w:pPr>
              <w:rPr>
                <w:rFonts w:ascii="Arial" w:hAnsi="Arial" w:cs="Arial"/>
                <w:sz w:val="18"/>
                <w:szCs w:val="18"/>
              </w:rPr>
            </w:pPr>
            <w:r>
              <w:rPr>
                <w:rFonts w:ascii="Arial" w:hAnsi="Arial" w:cs="Arial"/>
                <w:sz w:val="18"/>
                <w:szCs w:val="18"/>
              </w:rPr>
              <w:t> </w:t>
            </w:r>
          </w:p>
        </w:tc>
        <w:tc>
          <w:tcPr>
            <w:tcW w:w="1095" w:type="dxa"/>
            <w:tcBorders>
              <w:top w:val="nil"/>
              <w:left w:val="nil"/>
              <w:bottom w:val="single" w:sz="4" w:space="0" w:color="6B2976"/>
              <w:right w:val="nil"/>
            </w:tcBorders>
            <w:shd w:val="clear" w:color="FFFFFF" w:fill="FFFFFF"/>
            <w:noWrap/>
            <w:vAlign w:val="bottom"/>
            <w:hideMark/>
          </w:tcPr>
          <w:p w14:paraId="190AFD96" w14:textId="77777777" w:rsidR="00A43992" w:rsidRDefault="00A43992" w:rsidP="007211E3">
            <w:pPr>
              <w:jc w:val="right"/>
              <w:rPr>
                <w:rFonts w:ascii="Arial" w:hAnsi="Arial" w:cs="Arial"/>
                <w:sz w:val="18"/>
                <w:szCs w:val="18"/>
              </w:rPr>
            </w:pPr>
            <w:r>
              <w:rPr>
                <w:rFonts w:ascii="Arial" w:hAnsi="Arial" w:cs="Arial"/>
                <w:sz w:val="18"/>
                <w:szCs w:val="18"/>
              </w:rPr>
              <w:t>$'000</w:t>
            </w:r>
          </w:p>
        </w:tc>
        <w:tc>
          <w:tcPr>
            <w:tcW w:w="236" w:type="dxa"/>
            <w:tcBorders>
              <w:top w:val="nil"/>
              <w:left w:val="nil"/>
              <w:bottom w:val="single" w:sz="4" w:space="0" w:color="6B2976"/>
              <w:right w:val="nil"/>
            </w:tcBorders>
            <w:shd w:val="clear" w:color="FFFFFF" w:fill="FFFFFF"/>
            <w:noWrap/>
            <w:vAlign w:val="bottom"/>
            <w:hideMark/>
          </w:tcPr>
          <w:p w14:paraId="55AF3204" w14:textId="77777777" w:rsidR="00A43992" w:rsidRDefault="00A43992" w:rsidP="007211E3">
            <w:pPr>
              <w:rPr>
                <w:rFonts w:ascii="Arial" w:hAnsi="Arial" w:cs="Arial"/>
                <w:sz w:val="18"/>
                <w:szCs w:val="18"/>
              </w:rPr>
            </w:pPr>
            <w:r>
              <w:rPr>
                <w:rFonts w:ascii="Arial" w:hAnsi="Arial" w:cs="Arial"/>
                <w:sz w:val="18"/>
                <w:szCs w:val="18"/>
              </w:rPr>
              <w:t> </w:t>
            </w:r>
          </w:p>
        </w:tc>
        <w:tc>
          <w:tcPr>
            <w:tcW w:w="1069" w:type="dxa"/>
            <w:tcBorders>
              <w:top w:val="nil"/>
              <w:left w:val="nil"/>
              <w:bottom w:val="single" w:sz="4" w:space="0" w:color="6B2976"/>
              <w:right w:val="nil"/>
            </w:tcBorders>
            <w:shd w:val="clear" w:color="FFFFFF" w:fill="FFFFFF"/>
            <w:noWrap/>
            <w:vAlign w:val="bottom"/>
            <w:hideMark/>
          </w:tcPr>
          <w:p w14:paraId="3D1EAB14" w14:textId="77777777" w:rsidR="00A43992" w:rsidRPr="00933E9F" w:rsidRDefault="00A43992" w:rsidP="007211E3">
            <w:pPr>
              <w:jc w:val="right"/>
              <w:rPr>
                <w:rFonts w:ascii="Arial" w:hAnsi="Arial" w:cs="Arial"/>
                <w:color w:val="6B2976"/>
                <w:sz w:val="18"/>
                <w:szCs w:val="18"/>
              </w:rPr>
            </w:pPr>
            <w:r w:rsidRPr="00933E9F">
              <w:rPr>
                <w:rFonts w:ascii="Arial" w:hAnsi="Arial" w:cs="Arial"/>
                <w:color w:val="6B2976"/>
                <w:sz w:val="18"/>
                <w:szCs w:val="18"/>
              </w:rPr>
              <w:t>$'000</w:t>
            </w:r>
          </w:p>
        </w:tc>
      </w:tr>
      <w:tr w:rsidR="00A43992" w14:paraId="5BE1A1EE" w14:textId="77777777" w:rsidTr="007211E3">
        <w:trPr>
          <w:trHeight w:val="255"/>
        </w:trPr>
        <w:tc>
          <w:tcPr>
            <w:tcW w:w="4280" w:type="dxa"/>
            <w:tcBorders>
              <w:top w:val="single" w:sz="4" w:space="0" w:color="6B2976"/>
              <w:left w:val="nil"/>
              <w:bottom w:val="nil"/>
              <w:right w:val="nil"/>
            </w:tcBorders>
            <w:shd w:val="clear" w:color="FFFFFF" w:fill="FFFFFF"/>
            <w:vAlign w:val="bottom"/>
            <w:hideMark/>
          </w:tcPr>
          <w:p w14:paraId="018F87A6" w14:textId="77777777" w:rsidR="00A43992" w:rsidRDefault="00A43992" w:rsidP="007211E3">
            <w:pPr>
              <w:rPr>
                <w:rFonts w:ascii="Arial" w:hAnsi="Arial" w:cs="Arial"/>
                <w:b/>
                <w:bCs/>
                <w:sz w:val="18"/>
                <w:szCs w:val="18"/>
              </w:rPr>
            </w:pPr>
            <w:r>
              <w:rPr>
                <w:rFonts w:ascii="Arial" w:hAnsi="Arial" w:cs="Arial"/>
                <w:b/>
                <w:bCs/>
                <w:sz w:val="18"/>
                <w:szCs w:val="18"/>
              </w:rPr>
              <w:t>ASSETS</w:t>
            </w:r>
          </w:p>
        </w:tc>
        <w:tc>
          <w:tcPr>
            <w:tcW w:w="1083" w:type="dxa"/>
            <w:tcBorders>
              <w:top w:val="single" w:sz="4" w:space="0" w:color="6B2976"/>
              <w:left w:val="nil"/>
              <w:bottom w:val="nil"/>
              <w:right w:val="nil"/>
            </w:tcBorders>
            <w:shd w:val="clear" w:color="FFFFFF" w:fill="FFFFFF"/>
            <w:noWrap/>
            <w:vAlign w:val="bottom"/>
            <w:hideMark/>
          </w:tcPr>
          <w:p w14:paraId="7A538B5F" w14:textId="77777777" w:rsidR="00A43992" w:rsidRDefault="00A43992" w:rsidP="007211E3">
            <w:pPr>
              <w:jc w:val="center"/>
              <w:rPr>
                <w:rFonts w:ascii="Arial" w:hAnsi="Arial" w:cs="Arial"/>
                <w:sz w:val="18"/>
                <w:szCs w:val="18"/>
              </w:rPr>
            </w:pPr>
            <w:r>
              <w:rPr>
                <w:rFonts w:ascii="Arial" w:hAnsi="Arial" w:cs="Arial"/>
                <w:sz w:val="18"/>
                <w:szCs w:val="18"/>
              </w:rPr>
              <w:t> </w:t>
            </w:r>
          </w:p>
        </w:tc>
        <w:tc>
          <w:tcPr>
            <w:tcW w:w="1088" w:type="dxa"/>
            <w:tcBorders>
              <w:top w:val="single" w:sz="4" w:space="0" w:color="6B2976"/>
              <w:left w:val="nil"/>
              <w:bottom w:val="nil"/>
              <w:right w:val="nil"/>
            </w:tcBorders>
            <w:shd w:val="clear" w:color="FFFFFF" w:fill="FFFFFF"/>
            <w:noWrap/>
            <w:vAlign w:val="bottom"/>
            <w:hideMark/>
          </w:tcPr>
          <w:p w14:paraId="7216B1D2" w14:textId="77777777" w:rsidR="00A43992" w:rsidRDefault="00A43992" w:rsidP="007211E3">
            <w:pPr>
              <w:rPr>
                <w:rFonts w:ascii="Arial" w:hAnsi="Arial" w:cs="Arial"/>
                <w:sz w:val="18"/>
                <w:szCs w:val="18"/>
              </w:rPr>
            </w:pPr>
            <w:r>
              <w:rPr>
                <w:rFonts w:ascii="Arial" w:hAnsi="Arial" w:cs="Arial"/>
                <w:sz w:val="18"/>
                <w:szCs w:val="18"/>
              </w:rPr>
              <w:t> </w:t>
            </w:r>
          </w:p>
        </w:tc>
        <w:tc>
          <w:tcPr>
            <w:tcW w:w="236" w:type="dxa"/>
            <w:tcBorders>
              <w:top w:val="single" w:sz="4" w:space="0" w:color="6B2976"/>
              <w:left w:val="nil"/>
              <w:bottom w:val="nil"/>
              <w:right w:val="nil"/>
            </w:tcBorders>
            <w:shd w:val="clear" w:color="FFFFFF" w:fill="FFFFFF"/>
            <w:noWrap/>
            <w:vAlign w:val="bottom"/>
            <w:hideMark/>
          </w:tcPr>
          <w:p w14:paraId="6BB0C9D6" w14:textId="77777777" w:rsidR="00A43992" w:rsidRDefault="00A43992" w:rsidP="007211E3">
            <w:pPr>
              <w:rPr>
                <w:rFonts w:ascii="Arial" w:hAnsi="Arial" w:cs="Arial"/>
                <w:sz w:val="18"/>
                <w:szCs w:val="18"/>
              </w:rPr>
            </w:pPr>
            <w:r>
              <w:rPr>
                <w:rFonts w:ascii="Arial" w:hAnsi="Arial" w:cs="Arial"/>
                <w:sz w:val="18"/>
                <w:szCs w:val="18"/>
              </w:rPr>
              <w:t> </w:t>
            </w:r>
          </w:p>
        </w:tc>
        <w:tc>
          <w:tcPr>
            <w:tcW w:w="1095" w:type="dxa"/>
            <w:tcBorders>
              <w:top w:val="single" w:sz="4" w:space="0" w:color="6B2976"/>
              <w:left w:val="nil"/>
              <w:bottom w:val="nil"/>
              <w:right w:val="nil"/>
            </w:tcBorders>
            <w:shd w:val="clear" w:color="FFFFFF" w:fill="FFFFFF"/>
            <w:noWrap/>
            <w:vAlign w:val="bottom"/>
            <w:hideMark/>
          </w:tcPr>
          <w:p w14:paraId="783BFD04" w14:textId="77777777" w:rsidR="00A43992" w:rsidRDefault="00A43992" w:rsidP="007211E3">
            <w:pPr>
              <w:rPr>
                <w:rFonts w:ascii="Arial" w:hAnsi="Arial" w:cs="Arial"/>
                <w:sz w:val="18"/>
                <w:szCs w:val="18"/>
              </w:rPr>
            </w:pPr>
            <w:r>
              <w:rPr>
                <w:rFonts w:ascii="Arial" w:hAnsi="Arial" w:cs="Arial"/>
                <w:sz w:val="18"/>
                <w:szCs w:val="18"/>
              </w:rPr>
              <w:t> </w:t>
            </w:r>
          </w:p>
        </w:tc>
        <w:tc>
          <w:tcPr>
            <w:tcW w:w="236" w:type="dxa"/>
            <w:tcBorders>
              <w:top w:val="single" w:sz="4" w:space="0" w:color="6B2976"/>
              <w:left w:val="nil"/>
              <w:bottom w:val="nil"/>
              <w:right w:val="nil"/>
            </w:tcBorders>
            <w:shd w:val="clear" w:color="FFFFFF" w:fill="FFFFFF"/>
            <w:noWrap/>
            <w:vAlign w:val="bottom"/>
            <w:hideMark/>
          </w:tcPr>
          <w:p w14:paraId="30668069" w14:textId="77777777" w:rsidR="00A43992" w:rsidRDefault="00A43992" w:rsidP="007211E3">
            <w:pPr>
              <w:rPr>
                <w:rFonts w:ascii="Arial" w:hAnsi="Arial" w:cs="Arial"/>
                <w:sz w:val="18"/>
                <w:szCs w:val="18"/>
              </w:rPr>
            </w:pPr>
            <w:r>
              <w:rPr>
                <w:rFonts w:ascii="Arial" w:hAnsi="Arial" w:cs="Arial"/>
                <w:sz w:val="18"/>
                <w:szCs w:val="18"/>
              </w:rPr>
              <w:t> </w:t>
            </w:r>
          </w:p>
        </w:tc>
        <w:tc>
          <w:tcPr>
            <w:tcW w:w="1069" w:type="dxa"/>
            <w:tcBorders>
              <w:top w:val="single" w:sz="4" w:space="0" w:color="6B2976"/>
              <w:left w:val="nil"/>
              <w:bottom w:val="nil"/>
              <w:right w:val="nil"/>
            </w:tcBorders>
            <w:shd w:val="clear" w:color="FFFFFF" w:fill="FFFFFF"/>
            <w:noWrap/>
            <w:vAlign w:val="bottom"/>
            <w:hideMark/>
          </w:tcPr>
          <w:p w14:paraId="6758FCA8" w14:textId="77777777" w:rsidR="00A43992" w:rsidRDefault="00A43992" w:rsidP="007211E3">
            <w:pPr>
              <w:rPr>
                <w:rFonts w:ascii="Arial" w:hAnsi="Arial" w:cs="Arial"/>
                <w:sz w:val="18"/>
                <w:szCs w:val="18"/>
              </w:rPr>
            </w:pPr>
            <w:r>
              <w:rPr>
                <w:rFonts w:ascii="Arial" w:hAnsi="Arial" w:cs="Arial"/>
                <w:sz w:val="18"/>
                <w:szCs w:val="18"/>
              </w:rPr>
              <w:t> </w:t>
            </w:r>
          </w:p>
        </w:tc>
      </w:tr>
      <w:tr w:rsidR="00A43992" w14:paraId="53B0DE40" w14:textId="77777777" w:rsidTr="007211E3">
        <w:trPr>
          <w:trHeight w:val="255"/>
        </w:trPr>
        <w:tc>
          <w:tcPr>
            <w:tcW w:w="4280" w:type="dxa"/>
            <w:tcBorders>
              <w:top w:val="nil"/>
              <w:left w:val="nil"/>
              <w:bottom w:val="nil"/>
              <w:right w:val="nil"/>
            </w:tcBorders>
            <w:shd w:val="clear" w:color="FFFFFF" w:fill="FFFFFF"/>
            <w:vAlign w:val="bottom"/>
            <w:hideMark/>
          </w:tcPr>
          <w:p w14:paraId="7A0E0CB0" w14:textId="77777777" w:rsidR="00A43992" w:rsidRDefault="00A43992" w:rsidP="007211E3">
            <w:pPr>
              <w:rPr>
                <w:rFonts w:ascii="Arial" w:hAnsi="Arial" w:cs="Arial"/>
                <w:b/>
                <w:bCs/>
                <w:sz w:val="18"/>
                <w:szCs w:val="18"/>
              </w:rPr>
            </w:pPr>
            <w:r>
              <w:rPr>
                <w:rFonts w:ascii="Arial" w:hAnsi="Arial" w:cs="Arial"/>
                <w:b/>
                <w:bCs/>
                <w:sz w:val="18"/>
                <w:szCs w:val="18"/>
              </w:rPr>
              <w:t>Financial assets</w:t>
            </w:r>
          </w:p>
        </w:tc>
        <w:tc>
          <w:tcPr>
            <w:tcW w:w="1083" w:type="dxa"/>
            <w:tcBorders>
              <w:top w:val="nil"/>
              <w:left w:val="nil"/>
              <w:bottom w:val="nil"/>
              <w:right w:val="nil"/>
            </w:tcBorders>
            <w:shd w:val="clear" w:color="FFFFFF" w:fill="FFFFFF"/>
            <w:noWrap/>
            <w:vAlign w:val="bottom"/>
            <w:hideMark/>
          </w:tcPr>
          <w:p w14:paraId="0809A4FE" w14:textId="77777777" w:rsidR="00A43992" w:rsidRDefault="00A43992" w:rsidP="007211E3">
            <w:pPr>
              <w:jc w:val="center"/>
              <w:rPr>
                <w:rFonts w:ascii="Arial" w:hAnsi="Arial" w:cs="Arial"/>
                <w:sz w:val="18"/>
                <w:szCs w:val="18"/>
              </w:rPr>
            </w:pPr>
            <w:r>
              <w:rPr>
                <w:rFonts w:ascii="Arial" w:hAnsi="Arial" w:cs="Arial"/>
                <w:sz w:val="18"/>
                <w:szCs w:val="18"/>
              </w:rPr>
              <w:t> </w:t>
            </w:r>
          </w:p>
        </w:tc>
        <w:tc>
          <w:tcPr>
            <w:tcW w:w="1088" w:type="dxa"/>
            <w:tcBorders>
              <w:top w:val="nil"/>
              <w:left w:val="nil"/>
              <w:bottom w:val="nil"/>
              <w:right w:val="nil"/>
            </w:tcBorders>
            <w:shd w:val="clear" w:color="FFFFFF" w:fill="FFFFFF"/>
            <w:noWrap/>
            <w:vAlign w:val="bottom"/>
            <w:hideMark/>
          </w:tcPr>
          <w:p w14:paraId="750B4ADC" w14:textId="77777777" w:rsidR="00A43992" w:rsidRDefault="00A43992" w:rsidP="007211E3">
            <w:pPr>
              <w:rPr>
                <w:rFonts w:ascii="Arial" w:hAnsi="Arial" w:cs="Arial"/>
                <w:sz w:val="18"/>
                <w:szCs w:val="18"/>
              </w:rPr>
            </w:pPr>
            <w:r>
              <w:rPr>
                <w:rFonts w:ascii="Arial" w:hAnsi="Arial" w:cs="Arial"/>
                <w:sz w:val="18"/>
                <w:szCs w:val="18"/>
              </w:rPr>
              <w:t> </w:t>
            </w:r>
          </w:p>
        </w:tc>
        <w:tc>
          <w:tcPr>
            <w:tcW w:w="236" w:type="dxa"/>
            <w:tcBorders>
              <w:top w:val="nil"/>
              <w:left w:val="nil"/>
              <w:bottom w:val="nil"/>
              <w:right w:val="nil"/>
            </w:tcBorders>
            <w:shd w:val="clear" w:color="FFFFFF" w:fill="FFFFFF"/>
            <w:noWrap/>
            <w:vAlign w:val="bottom"/>
            <w:hideMark/>
          </w:tcPr>
          <w:p w14:paraId="4D43C8AA" w14:textId="77777777" w:rsidR="00A43992" w:rsidRDefault="00A43992" w:rsidP="007211E3">
            <w:pPr>
              <w:rPr>
                <w:rFonts w:ascii="Arial" w:hAnsi="Arial" w:cs="Arial"/>
                <w:sz w:val="18"/>
                <w:szCs w:val="18"/>
              </w:rPr>
            </w:pPr>
            <w:r>
              <w:rPr>
                <w:rFonts w:ascii="Arial" w:hAnsi="Arial" w:cs="Arial"/>
                <w:sz w:val="18"/>
                <w:szCs w:val="18"/>
              </w:rPr>
              <w:t> </w:t>
            </w:r>
          </w:p>
        </w:tc>
        <w:tc>
          <w:tcPr>
            <w:tcW w:w="1095" w:type="dxa"/>
            <w:tcBorders>
              <w:top w:val="nil"/>
              <w:left w:val="nil"/>
              <w:bottom w:val="nil"/>
              <w:right w:val="nil"/>
            </w:tcBorders>
            <w:shd w:val="clear" w:color="FFFFFF" w:fill="FFFFFF"/>
            <w:noWrap/>
            <w:vAlign w:val="bottom"/>
            <w:hideMark/>
          </w:tcPr>
          <w:p w14:paraId="3C760D95" w14:textId="77777777" w:rsidR="00A43992" w:rsidRDefault="00A43992" w:rsidP="007211E3">
            <w:pPr>
              <w:rPr>
                <w:rFonts w:ascii="Arial" w:hAnsi="Arial" w:cs="Arial"/>
                <w:sz w:val="18"/>
                <w:szCs w:val="18"/>
              </w:rPr>
            </w:pPr>
            <w:r>
              <w:rPr>
                <w:rFonts w:ascii="Arial" w:hAnsi="Arial" w:cs="Arial"/>
                <w:sz w:val="18"/>
                <w:szCs w:val="18"/>
              </w:rPr>
              <w:t> </w:t>
            </w:r>
          </w:p>
        </w:tc>
        <w:tc>
          <w:tcPr>
            <w:tcW w:w="236" w:type="dxa"/>
            <w:tcBorders>
              <w:top w:val="nil"/>
              <w:left w:val="nil"/>
              <w:bottom w:val="nil"/>
              <w:right w:val="nil"/>
            </w:tcBorders>
            <w:shd w:val="clear" w:color="FFFFFF" w:fill="FFFFFF"/>
            <w:noWrap/>
            <w:vAlign w:val="bottom"/>
            <w:hideMark/>
          </w:tcPr>
          <w:p w14:paraId="17F3CF38" w14:textId="77777777" w:rsidR="00A43992" w:rsidRDefault="00A43992" w:rsidP="007211E3">
            <w:pPr>
              <w:rPr>
                <w:rFonts w:ascii="Arial" w:hAnsi="Arial" w:cs="Arial"/>
                <w:sz w:val="18"/>
                <w:szCs w:val="18"/>
              </w:rPr>
            </w:pPr>
            <w:r>
              <w:rPr>
                <w:rFonts w:ascii="Arial" w:hAnsi="Arial" w:cs="Arial"/>
                <w:sz w:val="18"/>
                <w:szCs w:val="18"/>
              </w:rPr>
              <w:t> </w:t>
            </w:r>
          </w:p>
        </w:tc>
        <w:tc>
          <w:tcPr>
            <w:tcW w:w="1069" w:type="dxa"/>
            <w:tcBorders>
              <w:top w:val="nil"/>
              <w:left w:val="nil"/>
              <w:bottom w:val="nil"/>
              <w:right w:val="nil"/>
            </w:tcBorders>
            <w:shd w:val="clear" w:color="FFFFFF" w:fill="FFFFFF"/>
            <w:noWrap/>
            <w:vAlign w:val="bottom"/>
            <w:hideMark/>
          </w:tcPr>
          <w:p w14:paraId="7F6152C2" w14:textId="77777777" w:rsidR="00A43992" w:rsidRDefault="00A43992" w:rsidP="007211E3">
            <w:pPr>
              <w:rPr>
                <w:rFonts w:ascii="Arial" w:hAnsi="Arial" w:cs="Arial"/>
                <w:sz w:val="18"/>
                <w:szCs w:val="18"/>
              </w:rPr>
            </w:pPr>
            <w:r>
              <w:rPr>
                <w:rFonts w:ascii="Arial" w:hAnsi="Arial" w:cs="Arial"/>
                <w:sz w:val="18"/>
                <w:szCs w:val="18"/>
              </w:rPr>
              <w:t> </w:t>
            </w:r>
          </w:p>
        </w:tc>
      </w:tr>
      <w:tr w:rsidR="00A43992" w14:paraId="149537B0" w14:textId="77777777" w:rsidTr="007211E3">
        <w:trPr>
          <w:trHeight w:val="255"/>
        </w:trPr>
        <w:tc>
          <w:tcPr>
            <w:tcW w:w="4280" w:type="dxa"/>
            <w:tcBorders>
              <w:top w:val="nil"/>
              <w:left w:val="nil"/>
              <w:bottom w:val="nil"/>
              <w:right w:val="nil"/>
            </w:tcBorders>
            <w:shd w:val="clear" w:color="FFFFFF" w:fill="FFFFFF"/>
            <w:vAlign w:val="bottom"/>
            <w:hideMark/>
          </w:tcPr>
          <w:p w14:paraId="434B2E2B" w14:textId="77777777" w:rsidR="00A43992" w:rsidRDefault="00A43992" w:rsidP="007211E3">
            <w:pPr>
              <w:ind w:firstLineChars="100" w:firstLine="180"/>
              <w:rPr>
                <w:rFonts w:ascii="Arial" w:hAnsi="Arial" w:cs="Arial"/>
                <w:sz w:val="18"/>
                <w:szCs w:val="18"/>
              </w:rPr>
            </w:pPr>
            <w:r>
              <w:rPr>
                <w:rFonts w:ascii="Arial" w:hAnsi="Arial" w:cs="Arial"/>
                <w:sz w:val="18"/>
                <w:szCs w:val="18"/>
              </w:rPr>
              <w:t>Cash and cash equivalents</w:t>
            </w:r>
          </w:p>
        </w:tc>
        <w:tc>
          <w:tcPr>
            <w:tcW w:w="1083" w:type="dxa"/>
            <w:tcBorders>
              <w:top w:val="nil"/>
              <w:left w:val="nil"/>
              <w:bottom w:val="nil"/>
              <w:right w:val="nil"/>
            </w:tcBorders>
            <w:shd w:val="clear" w:color="FFFFFF" w:fill="FFFFFF"/>
            <w:noWrap/>
            <w:vAlign w:val="bottom"/>
            <w:hideMark/>
          </w:tcPr>
          <w:p w14:paraId="3636F732" w14:textId="77777777" w:rsidR="00A43992" w:rsidRDefault="00A43992" w:rsidP="007211E3">
            <w:pPr>
              <w:jc w:val="center"/>
              <w:rPr>
                <w:rFonts w:ascii="Arial" w:hAnsi="Arial" w:cs="Arial"/>
                <w:sz w:val="18"/>
                <w:szCs w:val="18"/>
              </w:rPr>
            </w:pPr>
            <w:r>
              <w:rPr>
                <w:rFonts w:ascii="Arial" w:hAnsi="Arial" w:cs="Arial"/>
                <w:sz w:val="18"/>
                <w:szCs w:val="18"/>
              </w:rPr>
              <w:t>2.1A</w:t>
            </w:r>
          </w:p>
        </w:tc>
        <w:tc>
          <w:tcPr>
            <w:tcW w:w="1088" w:type="dxa"/>
            <w:tcBorders>
              <w:top w:val="nil"/>
              <w:left w:val="nil"/>
              <w:bottom w:val="nil"/>
              <w:right w:val="nil"/>
            </w:tcBorders>
            <w:shd w:val="clear" w:color="FFFFFF" w:fill="FFFFFF"/>
            <w:noWrap/>
            <w:vAlign w:val="bottom"/>
            <w:hideMark/>
          </w:tcPr>
          <w:p w14:paraId="75B60F41" w14:textId="77777777" w:rsidR="00A43992" w:rsidRDefault="00A43992" w:rsidP="007211E3">
            <w:pPr>
              <w:jc w:val="right"/>
              <w:rPr>
                <w:rFonts w:ascii="Arial" w:hAnsi="Arial" w:cs="Arial"/>
                <w:b/>
                <w:bCs/>
                <w:sz w:val="18"/>
                <w:szCs w:val="18"/>
              </w:rPr>
            </w:pPr>
            <w:r>
              <w:rPr>
                <w:rFonts w:ascii="Arial" w:hAnsi="Arial" w:cs="Arial"/>
                <w:b/>
                <w:bCs/>
                <w:sz w:val="18"/>
                <w:szCs w:val="18"/>
              </w:rPr>
              <w:t>306,430</w:t>
            </w:r>
          </w:p>
        </w:tc>
        <w:tc>
          <w:tcPr>
            <w:tcW w:w="236" w:type="dxa"/>
            <w:tcBorders>
              <w:top w:val="nil"/>
              <w:left w:val="nil"/>
              <w:bottom w:val="nil"/>
              <w:right w:val="nil"/>
            </w:tcBorders>
            <w:shd w:val="clear" w:color="FFFFFF" w:fill="FFFFFF"/>
            <w:noWrap/>
            <w:vAlign w:val="bottom"/>
            <w:hideMark/>
          </w:tcPr>
          <w:p w14:paraId="64742580" w14:textId="77777777" w:rsidR="00A43992" w:rsidRDefault="00A43992" w:rsidP="007211E3">
            <w:pPr>
              <w:rPr>
                <w:rFonts w:ascii="Arial" w:hAnsi="Arial" w:cs="Arial"/>
                <w:sz w:val="18"/>
                <w:szCs w:val="18"/>
              </w:rPr>
            </w:pPr>
            <w:r>
              <w:rPr>
                <w:rFonts w:ascii="Arial" w:hAnsi="Arial" w:cs="Arial"/>
                <w:sz w:val="18"/>
                <w:szCs w:val="18"/>
              </w:rPr>
              <w:t> </w:t>
            </w:r>
          </w:p>
        </w:tc>
        <w:tc>
          <w:tcPr>
            <w:tcW w:w="1095" w:type="dxa"/>
            <w:tcBorders>
              <w:top w:val="nil"/>
              <w:left w:val="nil"/>
              <w:bottom w:val="nil"/>
              <w:right w:val="nil"/>
            </w:tcBorders>
            <w:shd w:val="clear" w:color="FFFFFF" w:fill="FFFFFF"/>
            <w:noWrap/>
            <w:vAlign w:val="bottom"/>
            <w:hideMark/>
          </w:tcPr>
          <w:p w14:paraId="56CF8720" w14:textId="77777777" w:rsidR="00A43992" w:rsidRDefault="00A43992" w:rsidP="007211E3">
            <w:pPr>
              <w:jc w:val="right"/>
              <w:rPr>
                <w:rFonts w:ascii="Arial" w:hAnsi="Arial" w:cs="Arial"/>
                <w:sz w:val="18"/>
                <w:szCs w:val="18"/>
              </w:rPr>
            </w:pPr>
            <w:r>
              <w:rPr>
                <w:rFonts w:ascii="Arial" w:hAnsi="Arial" w:cs="Arial"/>
                <w:sz w:val="18"/>
                <w:szCs w:val="18"/>
              </w:rPr>
              <w:t>136,482</w:t>
            </w:r>
          </w:p>
        </w:tc>
        <w:tc>
          <w:tcPr>
            <w:tcW w:w="236" w:type="dxa"/>
            <w:tcBorders>
              <w:top w:val="nil"/>
              <w:left w:val="nil"/>
              <w:bottom w:val="nil"/>
              <w:right w:val="nil"/>
            </w:tcBorders>
            <w:shd w:val="clear" w:color="FFFFFF" w:fill="FFFFFF"/>
            <w:noWrap/>
            <w:vAlign w:val="bottom"/>
            <w:hideMark/>
          </w:tcPr>
          <w:p w14:paraId="727FB87B" w14:textId="77777777" w:rsidR="00A43992" w:rsidRDefault="00A43992" w:rsidP="007211E3">
            <w:pPr>
              <w:rPr>
                <w:rFonts w:ascii="Arial" w:hAnsi="Arial" w:cs="Arial"/>
                <w:sz w:val="18"/>
                <w:szCs w:val="18"/>
              </w:rPr>
            </w:pPr>
            <w:r>
              <w:rPr>
                <w:rFonts w:ascii="Arial" w:hAnsi="Arial" w:cs="Arial"/>
                <w:sz w:val="18"/>
                <w:szCs w:val="18"/>
              </w:rPr>
              <w:t> </w:t>
            </w:r>
          </w:p>
        </w:tc>
        <w:tc>
          <w:tcPr>
            <w:tcW w:w="1069" w:type="dxa"/>
            <w:tcBorders>
              <w:top w:val="nil"/>
              <w:left w:val="nil"/>
              <w:bottom w:val="nil"/>
              <w:right w:val="nil"/>
            </w:tcBorders>
            <w:shd w:val="clear" w:color="FFFFFF" w:fill="FFFFFF"/>
            <w:noWrap/>
            <w:vAlign w:val="bottom"/>
            <w:hideMark/>
          </w:tcPr>
          <w:p w14:paraId="28D52911" w14:textId="77777777" w:rsidR="00A43992" w:rsidRDefault="00A43992" w:rsidP="007211E3">
            <w:pPr>
              <w:jc w:val="right"/>
              <w:rPr>
                <w:rFonts w:ascii="Arial" w:hAnsi="Arial" w:cs="Arial"/>
                <w:sz w:val="18"/>
                <w:szCs w:val="18"/>
              </w:rPr>
            </w:pPr>
            <w:r>
              <w:rPr>
                <w:rFonts w:ascii="Arial" w:hAnsi="Arial" w:cs="Arial"/>
                <w:sz w:val="18"/>
                <w:szCs w:val="18"/>
              </w:rPr>
              <w:t xml:space="preserve">162,139 </w:t>
            </w:r>
          </w:p>
        </w:tc>
      </w:tr>
      <w:tr w:rsidR="00A43992" w14:paraId="59FEBA19" w14:textId="77777777" w:rsidTr="007211E3">
        <w:trPr>
          <w:trHeight w:val="255"/>
        </w:trPr>
        <w:tc>
          <w:tcPr>
            <w:tcW w:w="4280" w:type="dxa"/>
            <w:tcBorders>
              <w:top w:val="nil"/>
              <w:left w:val="nil"/>
              <w:bottom w:val="nil"/>
              <w:right w:val="nil"/>
            </w:tcBorders>
            <w:shd w:val="clear" w:color="FFFFFF" w:fill="FFFFFF"/>
            <w:vAlign w:val="bottom"/>
            <w:hideMark/>
          </w:tcPr>
          <w:p w14:paraId="3B860B7E" w14:textId="77777777" w:rsidR="00A43992" w:rsidRDefault="00A43992" w:rsidP="007211E3">
            <w:pPr>
              <w:ind w:firstLineChars="100" w:firstLine="180"/>
              <w:rPr>
                <w:rFonts w:ascii="Arial" w:hAnsi="Arial" w:cs="Arial"/>
                <w:sz w:val="18"/>
                <w:szCs w:val="18"/>
              </w:rPr>
            </w:pPr>
            <w:r>
              <w:rPr>
                <w:rFonts w:ascii="Arial" w:hAnsi="Arial" w:cs="Arial"/>
                <w:sz w:val="18"/>
                <w:szCs w:val="18"/>
              </w:rPr>
              <w:t>Trade and other receivables</w:t>
            </w:r>
          </w:p>
        </w:tc>
        <w:tc>
          <w:tcPr>
            <w:tcW w:w="1083" w:type="dxa"/>
            <w:tcBorders>
              <w:top w:val="nil"/>
              <w:left w:val="nil"/>
              <w:bottom w:val="nil"/>
              <w:right w:val="nil"/>
            </w:tcBorders>
            <w:shd w:val="clear" w:color="FFFFFF" w:fill="FFFFFF"/>
            <w:noWrap/>
            <w:vAlign w:val="bottom"/>
            <w:hideMark/>
          </w:tcPr>
          <w:p w14:paraId="2073AF3A" w14:textId="77777777" w:rsidR="00A43992" w:rsidRDefault="00A43992" w:rsidP="007211E3">
            <w:pPr>
              <w:jc w:val="center"/>
              <w:rPr>
                <w:rFonts w:ascii="Arial" w:hAnsi="Arial" w:cs="Arial"/>
                <w:sz w:val="18"/>
                <w:szCs w:val="18"/>
              </w:rPr>
            </w:pPr>
            <w:r>
              <w:rPr>
                <w:rFonts w:ascii="Arial" w:hAnsi="Arial" w:cs="Arial"/>
                <w:sz w:val="18"/>
                <w:szCs w:val="18"/>
              </w:rPr>
              <w:t>2.1B</w:t>
            </w:r>
          </w:p>
        </w:tc>
        <w:tc>
          <w:tcPr>
            <w:tcW w:w="1088" w:type="dxa"/>
            <w:tcBorders>
              <w:top w:val="nil"/>
              <w:left w:val="nil"/>
              <w:bottom w:val="nil"/>
              <w:right w:val="nil"/>
            </w:tcBorders>
            <w:shd w:val="clear" w:color="FFFFFF" w:fill="FFFFFF"/>
            <w:noWrap/>
            <w:vAlign w:val="bottom"/>
            <w:hideMark/>
          </w:tcPr>
          <w:p w14:paraId="1115FE5E" w14:textId="77777777" w:rsidR="00A43992" w:rsidRDefault="00A43992" w:rsidP="007211E3">
            <w:pPr>
              <w:jc w:val="right"/>
              <w:rPr>
                <w:rFonts w:ascii="Arial" w:hAnsi="Arial" w:cs="Arial"/>
                <w:b/>
                <w:bCs/>
                <w:sz w:val="18"/>
                <w:szCs w:val="18"/>
              </w:rPr>
            </w:pPr>
            <w:r>
              <w:rPr>
                <w:rFonts w:ascii="Arial" w:hAnsi="Arial" w:cs="Arial"/>
                <w:b/>
                <w:bCs/>
                <w:sz w:val="18"/>
                <w:szCs w:val="18"/>
              </w:rPr>
              <w:t>20,884</w:t>
            </w:r>
          </w:p>
        </w:tc>
        <w:tc>
          <w:tcPr>
            <w:tcW w:w="236" w:type="dxa"/>
            <w:tcBorders>
              <w:top w:val="nil"/>
              <w:left w:val="nil"/>
              <w:bottom w:val="nil"/>
              <w:right w:val="nil"/>
            </w:tcBorders>
            <w:shd w:val="clear" w:color="FFFFFF" w:fill="FFFFFF"/>
            <w:noWrap/>
            <w:vAlign w:val="bottom"/>
            <w:hideMark/>
          </w:tcPr>
          <w:p w14:paraId="13CC1BC4" w14:textId="77777777" w:rsidR="00A43992" w:rsidRDefault="00A43992" w:rsidP="007211E3">
            <w:pPr>
              <w:rPr>
                <w:rFonts w:ascii="Arial" w:hAnsi="Arial" w:cs="Arial"/>
                <w:sz w:val="18"/>
                <w:szCs w:val="18"/>
              </w:rPr>
            </w:pPr>
            <w:r>
              <w:rPr>
                <w:rFonts w:ascii="Arial" w:hAnsi="Arial" w:cs="Arial"/>
                <w:sz w:val="18"/>
                <w:szCs w:val="18"/>
              </w:rPr>
              <w:t> </w:t>
            </w:r>
          </w:p>
        </w:tc>
        <w:tc>
          <w:tcPr>
            <w:tcW w:w="1095" w:type="dxa"/>
            <w:tcBorders>
              <w:top w:val="nil"/>
              <w:left w:val="nil"/>
              <w:bottom w:val="nil"/>
              <w:right w:val="nil"/>
            </w:tcBorders>
            <w:shd w:val="clear" w:color="FFFFFF" w:fill="FFFFFF"/>
            <w:noWrap/>
            <w:vAlign w:val="bottom"/>
            <w:hideMark/>
          </w:tcPr>
          <w:p w14:paraId="1851E9D9" w14:textId="77777777" w:rsidR="00A43992" w:rsidRDefault="00A43992" w:rsidP="007211E3">
            <w:pPr>
              <w:jc w:val="right"/>
              <w:rPr>
                <w:rFonts w:ascii="Arial" w:hAnsi="Arial" w:cs="Arial"/>
                <w:sz w:val="18"/>
                <w:szCs w:val="18"/>
              </w:rPr>
            </w:pPr>
            <w:r>
              <w:rPr>
                <w:rFonts w:ascii="Arial" w:hAnsi="Arial" w:cs="Arial"/>
                <w:sz w:val="18"/>
                <w:szCs w:val="18"/>
              </w:rPr>
              <w:t>83,933</w:t>
            </w:r>
          </w:p>
        </w:tc>
        <w:tc>
          <w:tcPr>
            <w:tcW w:w="236" w:type="dxa"/>
            <w:tcBorders>
              <w:top w:val="nil"/>
              <w:left w:val="nil"/>
              <w:bottom w:val="nil"/>
              <w:right w:val="nil"/>
            </w:tcBorders>
            <w:shd w:val="clear" w:color="FFFFFF" w:fill="FFFFFF"/>
            <w:noWrap/>
            <w:vAlign w:val="bottom"/>
            <w:hideMark/>
          </w:tcPr>
          <w:p w14:paraId="1984F3CA" w14:textId="77777777" w:rsidR="00A43992" w:rsidRDefault="00A43992" w:rsidP="007211E3">
            <w:pPr>
              <w:rPr>
                <w:rFonts w:ascii="Arial" w:hAnsi="Arial" w:cs="Arial"/>
                <w:sz w:val="18"/>
                <w:szCs w:val="18"/>
              </w:rPr>
            </w:pPr>
            <w:r>
              <w:rPr>
                <w:rFonts w:ascii="Arial" w:hAnsi="Arial" w:cs="Arial"/>
                <w:sz w:val="18"/>
                <w:szCs w:val="18"/>
              </w:rPr>
              <w:t> </w:t>
            </w:r>
          </w:p>
        </w:tc>
        <w:tc>
          <w:tcPr>
            <w:tcW w:w="1069" w:type="dxa"/>
            <w:tcBorders>
              <w:top w:val="nil"/>
              <w:left w:val="nil"/>
              <w:bottom w:val="nil"/>
              <w:right w:val="nil"/>
            </w:tcBorders>
            <w:shd w:val="clear" w:color="FFFFFF" w:fill="FFFFFF"/>
            <w:noWrap/>
            <w:vAlign w:val="bottom"/>
            <w:hideMark/>
          </w:tcPr>
          <w:p w14:paraId="1C894A93" w14:textId="77777777" w:rsidR="00A43992" w:rsidRDefault="00A43992" w:rsidP="007211E3">
            <w:pPr>
              <w:jc w:val="right"/>
              <w:rPr>
                <w:rFonts w:ascii="Arial" w:hAnsi="Arial" w:cs="Arial"/>
                <w:sz w:val="18"/>
                <w:szCs w:val="18"/>
              </w:rPr>
            </w:pPr>
            <w:r>
              <w:rPr>
                <w:rFonts w:ascii="Arial" w:hAnsi="Arial" w:cs="Arial"/>
                <w:sz w:val="18"/>
                <w:szCs w:val="18"/>
              </w:rPr>
              <w:t xml:space="preserve">2,478 </w:t>
            </w:r>
          </w:p>
        </w:tc>
      </w:tr>
      <w:tr w:rsidR="00A43992" w14:paraId="42485B15" w14:textId="77777777" w:rsidTr="007211E3">
        <w:trPr>
          <w:trHeight w:val="255"/>
        </w:trPr>
        <w:tc>
          <w:tcPr>
            <w:tcW w:w="4280" w:type="dxa"/>
            <w:tcBorders>
              <w:top w:val="nil"/>
              <w:left w:val="nil"/>
              <w:bottom w:val="nil"/>
              <w:right w:val="nil"/>
            </w:tcBorders>
            <w:shd w:val="clear" w:color="FFFFFF" w:fill="FFFFFF"/>
            <w:vAlign w:val="bottom"/>
            <w:hideMark/>
          </w:tcPr>
          <w:p w14:paraId="1C3642FA" w14:textId="77777777" w:rsidR="00A43992" w:rsidRDefault="00A43992" w:rsidP="007211E3">
            <w:pPr>
              <w:ind w:firstLineChars="100" w:firstLine="180"/>
              <w:rPr>
                <w:rFonts w:ascii="Arial" w:hAnsi="Arial" w:cs="Arial"/>
                <w:sz w:val="18"/>
                <w:szCs w:val="18"/>
              </w:rPr>
            </w:pPr>
            <w:r>
              <w:rPr>
                <w:rFonts w:ascii="Arial" w:hAnsi="Arial" w:cs="Arial"/>
                <w:sz w:val="18"/>
                <w:szCs w:val="18"/>
              </w:rPr>
              <w:t>Other financial assets</w:t>
            </w:r>
          </w:p>
        </w:tc>
        <w:tc>
          <w:tcPr>
            <w:tcW w:w="1083" w:type="dxa"/>
            <w:tcBorders>
              <w:top w:val="nil"/>
              <w:left w:val="nil"/>
              <w:bottom w:val="nil"/>
              <w:right w:val="nil"/>
            </w:tcBorders>
            <w:shd w:val="clear" w:color="FFFFFF" w:fill="FFFFFF"/>
            <w:noWrap/>
            <w:vAlign w:val="bottom"/>
            <w:hideMark/>
          </w:tcPr>
          <w:p w14:paraId="68B427E4" w14:textId="77777777" w:rsidR="00A43992" w:rsidRDefault="00A43992" w:rsidP="007211E3">
            <w:pPr>
              <w:jc w:val="center"/>
              <w:rPr>
                <w:rFonts w:ascii="Arial" w:hAnsi="Arial" w:cs="Arial"/>
                <w:sz w:val="18"/>
                <w:szCs w:val="18"/>
              </w:rPr>
            </w:pPr>
            <w:r>
              <w:rPr>
                <w:rFonts w:ascii="Arial" w:hAnsi="Arial" w:cs="Arial"/>
                <w:sz w:val="18"/>
                <w:szCs w:val="18"/>
              </w:rPr>
              <w:t>2.1C</w:t>
            </w:r>
          </w:p>
        </w:tc>
        <w:tc>
          <w:tcPr>
            <w:tcW w:w="1088" w:type="dxa"/>
            <w:tcBorders>
              <w:top w:val="nil"/>
              <w:left w:val="nil"/>
              <w:bottom w:val="nil"/>
              <w:right w:val="nil"/>
            </w:tcBorders>
            <w:shd w:val="clear" w:color="FFFFFF" w:fill="FFFFFF"/>
            <w:noWrap/>
            <w:vAlign w:val="bottom"/>
            <w:hideMark/>
          </w:tcPr>
          <w:p w14:paraId="626B4312" w14:textId="77777777" w:rsidR="00A43992" w:rsidRDefault="00A43992" w:rsidP="007211E3">
            <w:pPr>
              <w:jc w:val="right"/>
              <w:rPr>
                <w:rFonts w:ascii="Arial" w:hAnsi="Arial" w:cs="Arial"/>
                <w:b/>
                <w:bCs/>
                <w:sz w:val="18"/>
                <w:szCs w:val="18"/>
              </w:rPr>
            </w:pPr>
            <w:r>
              <w:rPr>
                <w:rFonts w:ascii="Arial" w:hAnsi="Arial" w:cs="Arial"/>
                <w:b/>
                <w:bCs/>
                <w:sz w:val="18"/>
                <w:szCs w:val="18"/>
              </w:rPr>
              <w:t>33,194</w:t>
            </w:r>
          </w:p>
        </w:tc>
        <w:tc>
          <w:tcPr>
            <w:tcW w:w="236" w:type="dxa"/>
            <w:tcBorders>
              <w:top w:val="nil"/>
              <w:left w:val="nil"/>
              <w:bottom w:val="nil"/>
              <w:right w:val="nil"/>
            </w:tcBorders>
            <w:shd w:val="clear" w:color="FFFFFF" w:fill="FFFFFF"/>
            <w:noWrap/>
            <w:vAlign w:val="bottom"/>
            <w:hideMark/>
          </w:tcPr>
          <w:p w14:paraId="47F9034C" w14:textId="77777777" w:rsidR="00A43992" w:rsidRDefault="00A43992" w:rsidP="007211E3">
            <w:pPr>
              <w:rPr>
                <w:rFonts w:ascii="Arial" w:hAnsi="Arial" w:cs="Arial"/>
                <w:sz w:val="18"/>
                <w:szCs w:val="18"/>
              </w:rPr>
            </w:pPr>
            <w:r>
              <w:rPr>
                <w:rFonts w:ascii="Arial" w:hAnsi="Arial" w:cs="Arial"/>
                <w:sz w:val="18"/>
                <w:szCs w:val="18"/>
              </w:rPr>
              <w:t> </w:t>
            </w:r>
          </w:p>
        </w:tc>
        <w:tc>
          <w:tcPr>
            <w:tcW w:w="1095" w:type="dxa"/>
            <w:tcBorders>
              <w:top w:val="nil"/>
              <w:left w:val="nil"/>
              <w:bottom w:val="nil"/>
              <w:right w:val="nil"/>
            </w:tcBorders>
            <w:shd w:val="clear" w:color="FFFFFF" w:fill="FFFFFF"/>
            <w:noWrap/>
            <w:vAlign w:val="bottom"/>
            <w:hideMark/>
          </w:tcPr>
          <w:p w14:paraId="37005AD1" w14:textId="77777777" w:rsidR="00A43992" w:rsidRDefault="00A43992" w:rsidP="007211E3">
            <w:pPr>
              <w:jc w:val="right"/>
              <w:rPr>
                <w:rFonts w:ascii="Arial" w:hAnsi="Arial" w:cs="Arial"/>
                <w:sz w:val="18"/>
                <w:szCs w:val="18"/>
              </w:rPr>
            </w:pPr>
            <w:r>
              <w:rPr>
                <w:rFonts w:ascii="Arial" w:hAnsi="Arial" w:cs="Arial"/>
                <w:sz w:val="18"/>
                <w:szCs w:val="18"/>
              </w:rPr>
              <w:t>-</w:t>
            </w:r>
          </w:p>
        </w:tc>
        <w:tc>
          <w:tcPr>
            <w:tcW w:w="236" w:type="dxa"/>
            <w:tcBorders>
              <w:top w:val="nil"/>
              <w:left w:val="nil"/>
              <w:bottom w:val="nil"/>
              <w:right w:val="nil"/>
            </w:tcBorders>
            <w:shd w:val="clear" w:color="FFFFFF" w:fill="FFFFFF"/>
            <w:noWrap/>
            <w:vAlign w:val="bottom"/>
            <w:hideMark/>
          </w:tcPr>
          <w:p w14:paraId="23A8E675" w14:textId="77777777" w:rsidR="00A43992" w:rsidRDefault="00A43992" w:rsidP="007211E3">
            <w:pPr>
              <w:rPr>
                <w:rFonts w:ascii="Arial" w:hAnsi="Arial" w:cs="Arial"/>
                <w:sz w:val="18"/>
                <w:szCs w:val="18"/>
              </w:rPr>
            </w:pPr>
            <w:r>
              <w:rPr>
                <w:rFonts w:ascii="Arial" w:hAnsi="Arial" w:cs="Arial"/>
                <w:sz w:val="18"/>
                <w:szCs w:val="18"/>
              </w:rPr>
              <w:t> </w:t>
            </w:r>
          </w:p>
        </w:tc>
        <w:tc>
          <w:tcPr>
            <w:tcW w:w="1069" w:type="dxa"/>
            <w:tcBorders>
              <w:top w:val="nil"/>
              <w:left w:val="nil"/>
              <w:bottom w:val="nil"/>
              <w:right w:val="nil"/>
            </w:tcBorders>
            <w:shd w:val="clear" w:color="FFFFFF" w:fill="FFFFFF"/>
            <w:noWrap/>
            <w:vAlign w:val="bottom"/>
            <w:hideMark/>
          </w:tcPr>
          <w:p w14:paraId="219DEAE0" w14:textId="77777777" w:rsidR="00A43992" w:rsidRDefault="00A43992" w:rsidP="007211E3">
            <w:pPr>
              <w:jc w:val="right"/>
              <w:rPr>
                <w:rFonts w:ascii="Arial" w:hAnsi="Arial" w:cs="Arial"/>
                <w:sz w:val="18"/>
                <w:szCs w:val="18"/>
              </w:rPr>
            </w:pPr>
            <w:r>
              <w:rPr>
                <w:rFonts w:ascii="Arial" w:hAnsi="Arial" w:cs="Arial"/>
                <w:sz w:val="18"/>
                <w:szCs w:val="18"/>
              </w:rPr>
              <w:t xml:space="preserve"> -</w:t>
            </w:r>
          </w:p>
        </w:tc>
      </w:tr>
      <w:tr w:rsidR="00A43992" w14:paraId="1B71E3D9" w14:textId="77777777" w:rsidTr="007211E3">
        <w:trPr>
          <w:trHeight w:val="255"/>
        </w:trPr>
        <w:tc>
          <w:tcPr>
            <w:tcW w:w="4280" w:type="dxa"/>
            <w:tcBorders>
              <w:top w:val="nil"/>
              <w:left w:val="nil"/>
              <w:bottom w:val="nil"/>
              <w:right w:val="nil"/>
            </w:tcBorders>
            <w:shd w:val="clear" w:color="FFFFFF" w:fill="FFFFFF"/>
            <w:vAlign w:val="bottom"/>
            <w:hideMark/>
          </w:tcPr>
          <w:p w14:paraId="6CDB07F2" w14:textId="77777777" w:rsidR="00A43992" w:rsidRDefault="00A43992" w:rsidP="007211E3">
            <w:pPr>
              <w:rPr>
                <w:rFonts w:ascii="Arial" w:hAnsi="Arial" w:cs="Arial"/>
                <w:b/>
                <w:bCs/>
                <w:sz w:val="18"/>
                <w:szCs w:val="18"/>
              </w:rPr>
            </w:pPr>
            <w:r>
              <w:rPr>
                <w:rFonts w:ascii="Arial" w:hAnsi="Arial" w:cs="Arial"/>
                <w:b/>
                <w:bCs/>
                <w:sz w:val="18"/>
                <w:szCs w:val="18"/>
              </w:rPr>
              <w:t>Total financial assets</w:t>
            </w:r>
          </w:p>
        </w:tc>
        <w:tc>
          <w:tcPr>
            <w:tcW w:w="1083" w:type="dxa"/>
            <w:tcBorders>
              <w:top w:val="nil"/>
              <w:left w:val="nil"/>
              <w:bottom w:val="nil"/>
              <w:right w:val="nil"/>
            </w:tcBorders>
            <w:shd w:val="clear" w:color="FFFFFF" w:fill="FFFFFF"/>
            <w:noWrap/>
            <w:vAlign w:val="bottom"/>
            <w:hideMark/>
          </w:tcPr>
          <w:p w14:paraId="29CCCE85" w14:textId="77777777" w:rsidR="00A43992" w:rsidRDefault="00A43992" w:rsidP="007211E3">
            <w:pPr>
              <w:jc w:val="center"/>
              <w:rPr>
                <w:rFonts w:ascii="Arial" w:hAnsi="Arial" w:cs="Arial"/>
                <w:sz w:val="18"/>
                <w:szCs w:val="18"/>
              </w:rPr>
            </w:pPr>
            <w:r>
              <w:rPr>
                <w:rFonts w:ascii="Arial" w:hAnsi="Arial" w:cs="Arial"/>
                <w:sz w:val="18"/>
                <w:szCs w:val="18"/>
              </w:rPr>
              <w:t> </w:t>
            </w:r>
          </w:p>
        </w:tc>
        <w:tc>
          <w:tcPr>
            <w:tcW w:w="1088" w:type="dxa"/>
            <w:tcBorders>
              <w:top w:val="single" w:sz="4" w:space="0" w:color="auto"/>
              <w:left w:val="nil"/>
              <w:bottom w:val="single" w:sz="4" w:space="0" w:color="auto"/>
              <w:right w:val="nil"/>
            </w:tcBorders>
            <w:shd w:val="clear" w:color="FFFFFF" w:fill="FFFFFF"/>
            <w:noWrap/>
            <w:vAlign w:val="bottom"/>
            <w:hideMark/>
          </w:tcPr>
          <w:p w14:paraId="311B84AE" w14:textId="77777777" w:rsidR="00A43992" w:rsidRDefault="00A43992" w:rsidP="007211E3">
            <w:pPr>
              <w:jc w:val="right"/>
              <w:rPr>
                <w:rFonts w:ascii="Arial" w:hAnsi="Arial" w:cs="Arial"/>
                <w:b/>
                <w:bCs/>
                <w:sz w:val="18"/>
                <w:szCs w:val="18"/>
              </w:rPr>
            </w:pPr>
            <w:r>
              <w:rPr>
                <w:rFonts w:ascii="Arial" w:hAnsi="Arial" w:cs="Arial"/>
                <w:b/>
                <w:bCs/>
                <w:sz w:val="18"/>
                <w:szCs w:val="18"/>
              </w:rPr>
              <w:t>360,508</w:t>
            </w:r>
          </w:p>
        </w:tc>
        <w:tc>
          <w:tcPr>
            <w:tcW w:w="236" w:type="dxa"/>
            <w:tcBorders>
              <w:top w:val="nil"/>
              <w:left w:val="nil"/>
              <w:bottom w:val="nil"/>
              <w:right w:val="nil"/>
            </w:tcBorders>
            <w:shd w:val="clear" w:color="FFFFFF" w:fill="FFFFFF"/>
            <w:noWrap/>
            <w:vAlign w:val="bottom"/>
            <w:hideMark/>
          </w:tcPr>
          <w:p w14:paraId="07BDE22D" w14:textId="77777777" w:rsidR="00A43992" w:rsidRDefault="00A43992" w:rsidP="007211E3">
            <w:pPr>
              <w:rPr>
                <w:rFonts w:ascii="Arial" w:hAnsi="Arial" w:cs="Arial"/>
                <w:sz w:val="18"/>
                <w:szCs w:val="18"/>
              </w:rPr>
            </w:pPr>
            <w:r>
              <w:rPr>
                <w:rFonts w:ascii="Arial" w:hAnsi="Arial" w:cs="Arial"/>
                <w:sz w:val="18"/>
                <w:szCs w:val="18"/>
              </w:rPr>
              <w:t> </w:t>
            </w:r>
          </w:p>
        </w:tc>
        <w:tc>
          <w:tcPr>
            <w:tcW w:w="1095" w:type="dxa"/>
            <w:tcBorders>
              <w:top w:val="single" w:sz="4" w:space="0" w:color="auto"/>
              <w:left w:val="nil"/>
              <w:bottom w:val="single" w:sz="4" w:space="0" w:color="auto"/>
              <w:right w:val="nil"/>
            </w:tcBorders>
            <w:shd w:val="clear" w:color="FFFFFF" w:fill="FFFFFF"/>
            <w:noWrap/>
            <w:vAlign w:val="bottom"/>
            <w:hideMark/>
          </w:tcPr>
          <w:p w14:paraId="1A9A9F75" w14:textId="77777777" w:rsidR="00A43992" w:rsidRDefault="00A43992" w:rsidP="007211E3">
            <w:pPr>
              <w:jc w:val="right"/>
              <w:rPr>
                <w:rFonts w:ascii="Arial" w:hAnsi="Arial" w:cs="Arial"/>
                <w:sz w:val="18"/>
                <w:szCs w:val="18"/>
              </w:rPr>
            </w:pPr>
            <w:r>
              <w:rPr>
                <w:rFonts w:ascii="Arial" w:hAnsi="Arial" w:cs="Arial"/>
                <w:sz w:val="18"/>
                <w:szCs w:val="18"/>
              </w:rPr>
              <w:t>220,415</w:t>
            </w:r>
          </w:p>
        </w:tc>
        <w:tc>
          <w:tcPr>
            <w:tcW w:w="236" w:type="dxa"/>
            <w:tcBorders>
              <w:top w:val="nil"/>
              <w:left w:val="nil"/>
              <w:bottom w:val="nil"/>
              <w:right w:val="nil"/>
            </w:tcBorders>
            <w:shd w:val="clear" w:color="FFFFFF" w:fill="FFFFFF"/>
            <w:noWrap/>
            <w:vAlign w:val="bottom"/>
            <w:hideMark/>
          </w:tcPr>
          <w:p w14:paraId="38E40D71" w14:textId="77777777" w:rsidR="00A43992" w:rsidRDefault="00A43992" w:rsidP="007211E3">
            <w:pPr>
              <w:rPr>
                <w:rFonts w:ascii="Arial" w:hAnsi="Arial" w:cs="Arial"/>
                <w:sz w:val="18"/>
                <w:szCs w:val="18"/>
              </w:rPr>
            </w:pPr>
            <w:r>
              <w:rPr>
                <w:rFonts w:ascii="Arial" w:hAnsi="Arial" w:cs="Arial"/>
                <w:sz w:val="18"/>
                <w:szCs w:val="18"/>
              </w:rPr>
              <w:t> </w:t>
            </w:r>
          </w:p>
        </w:tc>
        <w:tc>
          <w:tcPr>
            <w:tcW w:w="1069" w:type="dxa"/>
            <w:tcBorders>
              <w:top w:val="single" w:sz="4" w:space="0" w:color="auto"/>
              <w:left w:val="nil"/>
              <w:bottom w:val="single" w:sz="4" w:space="0" w:color="auto"/>
              <w:right w:val="nil"/>
            </w:tcBorders>
            <w:shd w:val="clear" w:color="FFFFFF" w:fill="FFFFFF"/>
            <w:noWrap/>
            <w:vAlign w:val="bottom"/>
            <w:hideMark/>
          </w:tcPr>
          <w:p w14:paraId="1FE47BE6" w14:textId="77777777" w:rsidR="00A43992" w:rsidRDefault="00A43992" w:rsidP="007211E3">
            <w:pPr>
              <w:jc w:val="right"/>
              <w:rPr>
                <w:rFonts w:ascii="Arial" w:hAnsi="Arial" w:cs="Arial"/>
                <w:sz w:val="18"/>
                <w:szCs w:val="18"/>
              </w:rPr>
            </w:pPr>
            <w:r>
              <w:rPr>
                <w:rFonts w:ascii="Arial" w:hAnsi="Arial" w:cs="Arial"/>
                <w:sz w:val="18"/>
                <w:szCs w:val="18"/>
              </w:rPr>
              <w:t>164,617</w:t>
            </w:r>
          </w:p>
        </w:tc>
      </w:tr>
      <w:tr w:rsidR="00A43992" w14:paraId="7CED3B0B" w14:textId="77777777" w:rsidTr="007211E3">
        <w:trPr>
          <w:trHeight w:val="255"/>
        </w:trPr>
        <w:tc>
          <w:tcPr>
            <w:tcW w:w="4280" w:type="dxa"/>
            <w:tcBorders>
              <w:top w:val="nil"/>
              <w:left w:val="nil"/>
              <w:bottom w:val="nil"/>
              <w:right w:val="nil"/>
            </w:tcBorders>
            <w:shd w:val="clear" w:color="FFFFFF" w:fill="FFFFFF"/>
            <w:noWrap/>
            <w:vAlign w:val="bottom"/>
            <w:hideMark/>
          </w:tcPr>
          <w:p w14:paraId="7B3EC5A2" w14:textId="77777777" w:rsidR="00A43992" w:rsidRDefault="00A43992" w:rsidP="007211E3">
            <w:pPr>
              <w:rPr>
                <w:rFonts w:ascii="Arial" w:hAnsi="Arial" w:cs="Arial"/>
                <w:sz w:val="18"/>
                <w:szCs w:val="18"/>
              </w:rPr>
            </w:pPr>
            <w:r>
              <w:rPr>
                <w:rFonts w:ascii="Arial" w:hAnsi="Arial" w:cs="Arial"/>
                <w:sz w:val="18"/>
                <w:szCs w:val="18"/>
              </w:rPr>
              <w:t> </w:t>
            </w:r>
          </w:p>
        </w:tc>
        <w:tc>
          <w:tcPr>
            <w:tcW w:w="1083" w:type="dxa"/>
            <w:tcBorders>
              <w:top w:val="nil"/>
              <w:left w:val="nil"/>
              <w:bottom w:val="nil"/>
              <w:right w:val="nil"/>
            </w:tcBorders>
            <w:shd w:val="clear" w:color="FFFFFF" w:fill="FFFFFF"/>
            <w:noWrap/>
            <w:vAlign w:val="bottom"/>
            <w:hideMark/>
          </w:tcPr>
          <w:p w14:paraId="3230D4D5" w14:textId="77777777" w:rsidR="00A43992" w:rsidRDefault="00A43992" w:rsidP="007211E3">
            <w:pPr>
              <w:jc w:val="center"/>
              <w:rPr>
                <w:rFonts w:ascii="Arial" w:hAnsi="Arial" w:cs="Arial"/>
                <w:sz w:val="18"/>
                <w:szCs w:val="18"/>
              </w:rPr>
            </w:pPr>
            <w:r>
              <w:rPr>
                <w:rFonts w:ascii="Arial" w:hAnsi="Arial" w:cs="Arial"/>
                <w:sz w:val="18"/>
                <w:szCs w:val="18"/>
              </w:rPr>
              <w:t> </w:t>
            </w:r>
          </w:p>
        </w:tc>
        <w:tc>
          <w:tcPr>
            <w:tcW w:w="1088" w:type="dxa"/>
            <w:tcBorders>
              <w:top w:val="nil"/>
              <w:left w:val="nil"/>
              <w:bottom w:val="nil"/>
              <w:right w:val="nil"/>
            </w:tcBorders>
            <w:shd w:val="clear" w:color="FFFFFF" w:fill="FFFFFF"/>
            <w:noWrap/>
            <w:vAlign w:val="bottom"/>
            <w:hideMark/>
          </w:tcPr>
          <w:p w14:paraId="1661C852" w14:textId="77777777" w:rsidR="00A43992" w:rsidRDefault="00A43992" w:rsidP="007211E3">
            <w:pPr>
              <w:rPr>
                <w:rFonts w:ascii="Arial" w:hAnsi="Arial" w:cs="Arial"/>
                <w:sz w:val="18"/>
                <w:szCs w:val="18"/>
              </w:rPr>
            </w:pPr>
            <w:r>
              <w:rPr>
                <w:rFonts w:ascii="Arial" w:hAnsi="Arial" w:cs="Arial"/>
                <w:sz w:val="18"/>
                <w:szCs w:val="18"/>
              </w:rPr>
              <w:t> </w:t>
            </w:r>
          </w:p>
        </w:tc>
        <w:tc>
          <w:tcPr>
            <w:tcW w:w="236" w:type="dxa"/>
            <w:tcBorders>
              <w:top w:val="nil"/>
              <w:left w:val="nil"/>
              <w:bottom w:val="nil"/>
              <w:right w:val="nil"/>
            </w:tcBorders>
            <w:shd w:val="clear" w:color="FFFFFF" w:fill="FFFFFF"/>
            <w:noWrap/>
            <w:vAlign w:val="bottom"/>
            <w:hideMark/>
          </w:tcPr>
          <w:p w14:paraId="404EBC91" w14:textId="77777777" w:rsidR="00A43992" w:rsidRDefault="00A43992" w:rsidP="007211E3">
            <w:pPr>
              <w:rPr>
                <w:rFonts w:ascii="Arial" w:hAnsi="Arial" w:cs="Arial"/>
                <w:sz w:val="18"/>
                <w:szCs w:val="18"/>
              </w:rPr>
            </w:pPr>
            <w:r>
              <w:rPr>
                <w:rFonts w:ascii="Arial" w:hAnsi="Arial" w:cs="Arial"/>
                <w:sz w:val="18"/>
                <w:szCs w:val="18"/>
              </w:rPr>
              <w:t> </w:t>
            </w:r>
          </w:p>
        </w:tc>
        <w:tc>
          <w:tcPr>
            <w:tcW w:w="1095" w:type="dxa"/>
            <w:tcBorders>
              <w:top w:val="nil"/>
              <w:left w:val="nil"/>
              <w:bottom w:val="nil"/>
              <w:right w:val="nil"/>
            </w:tcBorders>
            <w:shd w:val="clear" w:color="FFFFFF" w:fill="FFFFFF"/>
            <w:noWrap/>
            <w:vAlign w:val="bottom"/>
            <w:hideMark/>
          </w:tcPr>
          <w:p w14:paraId="27A4EB28" w14:textId="77777777" w:rsidR="00A43992" w:rsidRDefault="00A43992" w:rsidP="007211E3">
            <w:pPr>
              <w:rPr>
                <w:rFonts w:ascii="Arial" w:hAnsi="Arial" w:cs="Arial"/>
                <w:sz w:val="18"/>
                <w:szCs w:val="18"/>
              </w:rPr>
            </w:pPr>
            <w:r>
              <w:rPr>
                <w:rFonts w:ascii="Arial" w:hAnsi="Arial" w:cs="Arial"/>
                <w:sz w:val="18"/>
                <w:szCs w:val="18"/>
              </w:rPr>
              <w:t> </w:t>
            </w:r>
          </w:p>
        </w:tc>
        <w:tc>
          <w:tcPr>
            <w:tcW w:w="236" w:type="dxa"/>
            <w:tcBorders>
              <w:top w:val="nil"/>
              <w:left w:val="nil"/>
              <w:bottom w:val="nil"/>
              <w:right w:val="nil"/>
            </w:tcBorders>
            <w:shd w:val="clear" w:color="FFFFFF" w:fill="FFFFFF"/>
            <w:noWrap/>
            <w:vAlign w:val="bottom"/>
            <w:hideMark/>
          </w:tcPr>
          <w:p w14:paraId="7CDE2742" w14:textId="77777777" w:rsidR="00A43992" w:rsidRDefault="00A43992" w:rsidP="007211E3">
            <w:pPr>
              <w:rPr>
                <w:rFonts w:ascii="Arial" w:hAnsi="Arial" w:cs="Arial"/>
                <w:sz w:val="18"/>
                <w:szCs w:val="18"/>
              </w:rPr>
            </w:pPr>
            <w:r>
              <w:rPr>
                <w:rFonts w:ascii="Arial" w:hAnsi="Arial" w:cs="Arial"/>
                <w:sz w:val="18"/>
                <w:szCs w:val="18"/>
              </w:rPr>
              <w:t> </w:t>
            </w:r>
          </w:p>
        </w:tc>
        <w:tc>
          <w:tcPr>
            <w:tcW w:w="1069" w:type="dxa"/>
            <w:tcBorders>
              <w:top w:val="nil"/>
              <w:left w:val="nil"/>
              <w:bottom w:val="nil"/>
              <w:right w:val="nil"/>
            </w:tcBorders>
            <w:shd w:val="clear" w:color="FFFFFF" w:fill="FFFFFF"/>
            <w:noWrap/>
            <w:vAlign w:val="bottom"/>
            <w:hideMark/>
          </w:tcPr>
          <w:p w14:paraId="719504FC" w14:textId="77777777" w:rsidR="00A43992" w:rsidRDefault="00A43992" w:rsidP="007211E3">
            <w:pPr>
              <w:rPr>
                <w:rFonts w:ascii="Arial" w:hAnsi="Arial" w:cs="Arial"/>
                <w:sz w:val="18"/>
                <w:szCs w:val="18"/>
              </w:rPr>
            </w:pPr>
            <w:r>
              <w:rPr>
                <w:rFonts w:ascii="Arial" w:hAnsi="Arial" w:cs="Arial"/>
                <w:sz w:val="18"/>
                <w:szCs w:val="18"/>
              </w:rPr>
              <w:t> </w:t>
            </w:r>
          </w:p>
        </w:tc>
      </w:tr>
      <w:tr w:rsidR="00A43992" w14:paraId="3E20C05B" w14:textId="77777777" w:rsidTr="007211E3">
        <w:trPr>
          <w:trHeight w:val="255"/>
        </w:trPr>
        <w:tc>
          <w:tcPr>
            <w:tcW w:w="4280" w:type="dxa"/>
            <w:tcBorders>
              <w:top w:val="nil"/>
              <w:left w:val="nil"/>
              <w:bottom w:val="nil"/>
              <w:right w:val="nil"/>
            </w:tcBorders>
            <w:shd w:val="clear" w:color="FFFFFF" w:fill="FFFFFF"/>
            <w:vAlign w:val="bottom"/>
            <w:hideMark/>
          </w:tcPr>
          <w:p w14:paraId="33FF0CCF" w14:textId="77777777" w:rsidR="00A43992" w:rsidRDefault="00A43992" w:rsidP="007211E3">
            <w:pPr>
              <w:rPr>
                <w:rFonts w:ascii="Arial" w:hAnsi="Arial" w:cs="Arial"/>
                <w:b/>
                <w:bCs/>
                <w:sz w:val="18"/>
                <w:szCs w:val="18"/>
              </w:rPr>
            </w:pPr>
            <w:r>
              <w:rPr>
                <w:rFonts w:ascii="Arial" w:hAnsi="Arial" w:cs="Arial"/>
                <w:b/>
                <w:bCs/>
                <w:sz w:val="18"/>
                <w:szCs w:val="18"/>
              </w:rPr>
              <w:t>Non-financial assets</w:t>
            </w:r>
          </w:p>
        </w:tc>
        <w:tc>
          <w:tcPr>
            <w:tcW w:w="1083" w:type="dxa"/>
            <w:tcBorders>
              <w:top w:val="nil"/>
              <w:left w:val="nil"/>
              <w:bottom w:val="nil"/>
              <w:right w:val="nil"/>
            </w:tcBorders>
            <w:shd w:val="clear" w:color="FFFFFF" w:fill="FFFFFF"/>
            <w:noWrap/>
            <w:vAlign w:val="bottom"/>
            <w:hideMark/>
          </w:tcPr>
          <w:p w14:paraId="5A9B25C2" w14:textId="77777777" w:rsidR="00A43992" w:rsidRDefault="00A43992" w:rsidP="007211E3">
            <w:pPr>
              <w:jc w:val="center"/>
              <w:rPr>
                <w:rFonts w:ascii="Arial" w:hAnsi="Arial" w:cs="Arial"/>
                <w:sz w:val="18"/>
                <w:szCs w:val="18"/>
              </w:rPr>
            </w:pPr>
            <w:r>
              <w:rPr>
                <w:rFonts w:ascii="Arial" w:hAnsi="Arial" w:cs="Arial"/>
                <w:sz w:val="18"/>
                <w:szCs w:val="18"/>
              </w:rPr>
              <w:t> </w:t>
            </w:r>
          </w:p>
        </w:tc>
        <w:tc>
          <w:tcPr>
            <w:tcW w:w="1088" w:type="dxa"/>
            <w:tcBorders>
              <w:top w:val="nil"/>
              <w:left w:val="nil"/>
              <w:bottom w:val="nil"/>
              <w:right w:val="nil"/>
            </w:tcBorders>
            <w:shd w:val="clear" w:color="FFFFFF" w:fill="FFFFFF"/>
            <w:noWrap/>
            <w:vAlign w:val="bottom"/>
            <w:hideMark/>
          </w:tcPr>
          <w:p w14:paraId="0D046509" w14:textId="77777777" w:rsidR="00A43992" w:rsidRDefault="00A43992" w:rsidP="007211E3">
            <w:pPr>
              <w:rPr>
                <w:rFonts w:ascii="Arial" w:hAnsi="Arial" w:cs="Arial"/>
                <w:sz w:val="18"/>
                <w:szCs w:val="18"/>
              </w:rPr>
            </w:pPr>
            <w:r>
              <w:rPr>
                <w:rFonts w:ascii="Arial" w:hAnsi="Arial" w:cs="Arial"/>
                <w:sz w:val="18"/>
                <w:szCs w:val="18"/>
              </w:rPr>
              <w:t> </w:t>
            </w:r>
          </w:p>
        </w:tc>
        <w:tc>
          <w:tcPr>
            <w:tcW w:w="236" w:type="dxa"/>
            <w:tcBorders>
              <w:top w:val="nil"/>
              <w:left w:val="nil"/>
              <w:bottom w:val="nil"/>
              <w:right w:val="nil"/>
            </w:tcBorders>
            <w:shd w:val="clear" w:color="FFFFFF" w:fill="FFFFFF"/>
            <w:noWrap/>
            <w:vAlign w:val="bottom"/>
            <w:hideMark/>
          </w:tcPr>
          <w:p w14:paraId="7CA4D0C6" w14:textId="77777777" w:rsidR="00A43992" w:rsidRDefault="00A43992" w:rsidP="007211E3">
            <w:pPr>
              <w:rPr>
                <w:rFonts w:ascii="Arial" w:hAnsi="Arial" w:cs="Arial"/>
                <w:sz w:val="18"/>
                <w:szCs w:val="18"/>
              </w:rPr>
            </w:pPr>
            <w:r>
              <w:rPr>
                <w:rFonts w:ascii="Arial" w:hAnsi="Arial" w:cs="Arial"/>
                <w:sz w:val="18"/>
                <w:szCs w:val="18"/>
              </w:rPr>
              <w:t> </w:t>
            </w:r>
          </w:p>
        </w:tc>
        <w:tc>
          <w:tcPr>
            <w:tcW w:w="1095" w:type="dxa"/>
            <w:tcBorders>
              <w:top w:val="nil"/>
              <w:left w:val="nil"/>
              <w:bottom w:val="nil"/>
              <w:right w:val="nil"/>
            </w:tcBorders>
            <w:shd w:val="clear" w:color="FFFFFF" w:fill="FFFFFF"/>
            <w:noWrap/>
            <w:vAlign w:val="bottom"/>
            <w:hideMark/>
          </w:tcPr>
          <w:p w14:paraId="59EA3935" w14:textId="77777777" w:rsidR="00A43992" w:rsidRDefault="00A43992" w:rsidP="007211E3">
            <w:pPr>
              <w:rPr>
                <w:rFonts w:ascii="Arial" w:hAnsi="Arial" w:cs="Arial"/>
                <w:sz w:val="18"/>
                <w:szCs w:val="18"/>
              </w:rPr>
            </w:pPr>
            <w:r>
              <w:rPr>
                <w:rFonts w:ascii="Arial" w:hAnsi="Arial" w:cs="Arial"/>
                <w:sz w:val="18"/>
                <w:szCs w:val="18"/>
              </w:rPr>
              <w:t> </w:t>
            </w:r>
          </w:p>
        </w:tc>
        <w:tc>
          <w:tcPr>
            <w:tcW w:w="236" w:type="dxa"/>
            <w:tcBorders>
              <w:top w:val="nil"/>
              <w:left w:val="nil"/>
              <w:bottom w:val="nil"/>
              <w:right w:val="nil"/>
            </w:tcBorders>
            <w:shd w:val="clear" w:color="FFFFFF" w:fill="FFFFFF"/>
            <w:noWrap/>
            <w:vAlign w:val="bottom"/>
            <w:hideMark/>
          </w:tcPr>
          <w:p w14:paraId="09A19B12" w14:textId="77777777" w:rsidR="00A43992" w:rsidRDefault="00A43992" w:rsidP="007211E3">
            <w:pPr>
              <w:rPr>
                <w:rFonts w:ascii="Arial" w:hAnsi="Arial" w:cs="Arial"/>
                <w:sz w:val="18"/>
                <w:szCs w:val="18"/>
              </w:rPr>
            </w:pPr>
            <w:r>
              <w:rPr>
                <w:rFonts w:ascii="Arial" w:hAnsi="Arial" w:cs="Arial"/>
                <w:sz w:val="18"/>
                <w:szCs w:val="18"/>
              </w:rPr>
              <w:t> </w:t>
            </w:r>
          </w:p>
        </w:tc>
        <w:tc>
          <w:tcPr>
            <w:tcW w:w="1069" w:type="dxa"/>
            <w:tcBorders>
              <w:top w:val="nil"/>
              <w:left w:val="nil"/>
              <w:bottom w:val="nil"/>
              <w:right w:val="nil"/>
            </w:tcBorders>
            <w:shd w:val="clear" w:color="FFFFFF" w:fill="FFFFFF"/>
            <w:noWrap/>
            <w:vAlign w:val="bottom"/>
            <w:hideMark/>
          </w:tcPr>
          <w:p w14:paraId="17C6BBD6" w14:textId="77777777" w:rsidR="00A43992" w:rsidRDefault="00A43992" w:rsidP="007211E3">
            <w:pPr>
              <w:rPr>
                <w:rFonts w:ascii="Arial" w:hAnsi="Arial" w:cs="Arial"/>
                <w:sz w:val="18"/>
                <w:szCs w:val="18"/>
              </w:rPr>
            </w:pPr>
            <w:r>
              <w:rPr>
                <w:rFonts w:ascii="Arial" w:hAnsi="Arial" w:cs="Arial"/>
                <w:sz w:val="18"/>
                <w:szCs w:val="18"/>
              </w:rPr>
              <w:t> </w:t>
            </w:r>
          </w:p>
        </w:tc>
      </w:tr>
      <w:tr w:rsidR="00A43992" w14:paraId="72EFA6D6" w14:textId="77777777" w:rsidTr="007211E3">
        <w:trPr>
          <w:trHeight w:val="255"/>
        </w:trPr>
        <w:tc>
          <w:tcPr>
            <w:tcW w:w="4280" w:type="dxa"/>
            <w:tcBorders>
              <w:top w:val="nil"/>
              <w:left w:val="nil"/>
              <w:bottom w:val="nil"/>
              <w:right w:val="nil"/>
            </w:tcBorders>
            <w:shd w:val="clear" w:color="FFFFFF" w:fill="FFFFFF"/>
            <w:vAlign w:val="bottom"/>
            <w:hideMark/>
          </w:tcPr>
          <w:p w14:paraId="09804512" w14:textId="77777777" w:rsidR="00A43992" w:rsidRDefault="00A43992" w:rsidP="007211E3">
            <w:pPr>
              <w:ind w:firstLineChars="100" w:firstLine="180"/>
              <w:rPr>
                <w:rFonts w:ascii="Arial" w:hAnsi="Arial" w:cs="Arial"/>
                <w:sz w:val="18"/>
                <w:szCs w:val="18"/>
              </w:rPr>
            </w:pPr>
            <w:r>
              <w:rPr>
                <w:rFonts w:ascii="Arial" w:hAnsi="Arial" w:cs="Arial"/>
                <w:sz w:val="18"/>
                <w:szCs w:val="18"/>
              </w:rPr>
              <w:t>Buildings (leasehold improvements)</w:t>
            </w:r>
          </w:p>
        </w:tc>
        <w:tc>
          <w:tcPr>
            <w:tcW w:w="1083" w:type="dxa"/>
            <w:tcBorders>
              <w:top w:val="nil"/>
              <w:left w:val="nil"/>
              <w:bottom w:val="nil"/>
              <w:right w:val="nil"/>
            </w:tcBorders>
            <w:shd w:val="clear" w:color="FFFFFF" w:fill="FFFFFF"/>
            <w:noWrap/>
            <w:vAlign w:val="bottom"/>
            <w:hideMark/>
          </w:tcPr>
          <w:p w14:paraId="18E66722" w14:textId="77777777" w:rsidR="00A43992" w:rsidRDefault="00A43992" w:rsidP="007211E3">
            <w:pPr>
              <w:jc w:val="center"/>
              <w:rPr>
                <w:rFonts w:ascii="Arial" w:hAnsi="Arial" w:cs="Arial"/>
                <w:sz w:val="18"/>
                <w:szCs w:val="18"/>
              </w:rPr>
            </w:pPr>
            <w:r>
              <w:rPr>
                <w:rFonts w:ascii="Arial" w:hAnsi="Arial" w:cs="Arial"/>
                <w:sz w:val="18"/>
                <w:szCs w:val="18"/>
              </w:rPr>
              <w:t>2.2A</w:t>
            </w:r>
          </w:p>
        </w:tc>
        <w:tc>
          <w:tcPr>
            <w:tcW w:w="1088" w:type="dxa"/>
            <w:tcBorders>
              <w:top w:val="nil"/>
              <w:left w:val="nil"/>
              <w:bottom w:val="nil"/>
              <w:right w:val="nil"/>
            </w:tcBorders>
            <w:shd w:val="clear" w:color="FFFFFF" w:fill="FFFFFF"/>
            <w:noWrap/>
            <w:vAlign w:val="bottom"/>
            <w:hideMark/>
          </w:tcPr>
          <w:p w14:paraId="5A0F418A" w14:textId="77777777" w:rsidR="00A43992" w:rsidRDefault="00A43992" w:rsidP="007211E3">
            <w:pPr>
              <w:jc w:val="right"/>
              <w:rPr>
                <w:rFonts w:ascii="Arial" w:hAnsi="Arial" w:cs="Arial"/>
                <w:b/>
                <w:bCs/>
                <w:sz w:val="18"/>
                <w:szCs w:val="18"/>
              </w:rPr>
            </w:pPr>
            <w:r>
              <w:rPr>
                <w:rFonts w:ascii="Arial" w:hAnsi="Arial" w:cs="Arial"/>
                <w:b/>
                <w:bCs/>
                <w:sz w:val="18"/>
                <w:szCs w:val="18"/>
              </w:rPr>
              <w:t>24,301</w:t>
            </w:r>
          </w:p>
        </w:tc>
        <w:tc>
          <w:tcPr>
            <w:tcW w:w="236" w:type="dxa"/>
            <w:tcBorders>
              <w:top w:val="nil"/>
              <w:left w:val="nil"/>
              <w:bottom w:val="nil"/>
              <w:right w:val="nil"/>
            </w:tcBorders>
            <w:shd w:val="clear" w:color="FFFFFF" w:fill="FFFFFF"/>
            <w:noWrap/>
            <w:vAlign w:val="bottom"/>
            <w:hideMark/>
          </w:tcPr>
          <w:p w14:paraId="16524232" w14:textId="77777777" w:rsidR="00A43992" w:rsidRDefault="00A43992" w:rsidP="007211E3">
            <w:pPr>
              <w:rPr>
                <w:rFonts w:ascii="Arial" w:hAnsi="Arial" w:cs="Arial"/>
                <w:sz w:val="18"/>
                <w:szCs w:val="18"/>
              </w:rPr>
            </w:pPr>
            <w:r>
              <w:rPr>
                <w:rFonts w:ascii="Arial" w:hAnsi="Arial" w:cs="Arial"/>
                <w:sz w:val="18"/>
                <w:szCs w:val="18"/>
              </w:rPr>
              <w:t> </w:t>
            </w:r>
          </w:p>
        </w:tc>
        <w:tc>
          <w:tcPr>
            <w:tcW w:w="1095" w:type="dxa"/>
            <w:tcBorders>
              <w:top w:val="nil"/>
              <w:left w:val="nil"/>
              <w:bottom w:val="nil"/>
              <w:right w:val="nil"/>
            </w:tcBorders>
            <w:shd w:val="clear" w:color="FFFFFF" w:fill="FFFFFF"/>
            <w:noWrap/>
            <w:vAlign w:val="bottom"/>
            <w:hideMark/>
          </w:tcPr>
          <w:p w14:paraId="6CC243B0" w14:textId="77777777" w:rsidR="00A43992" w:rsidRDefault="00A43992" w:rsidP="007211E3">
            <w:pPr>
              <w:jc w:val="right"/>
              <w:rPr>
                <w:rFonts w:ascii="Arial" w:hAnsi="Arial" w:cs="Arial"/>
                <w:sz w:val="18"/>
                <w:szCs w:val="18"/>
              </w:rPr>
            </w:pPr>
            <w:r>
              <w:rPr>
                <w:rFonts w:ascii="Arial" w:hAnsi="Arial" w:cs="Arial"/>
                <w:sz w:val="18"/>
                <w:szCs w:val="18"/>
              </w:rPr>
              <w:t>26,463</w:t>
            </w:r>
          </w:p>
        </w:tc>
        <w:tc>
          <w:tcPr>
            <w:tcW w:w="236" w:type="dxa"/>
            <w:tcBorders>
              <w:top w:val="nil"/>
              <w:left w:val="nil"/>
              <w:bottom w:val="nil"/>
              <w:right w:val="nil"/>
            </w:tcBorders>
            <w:shd w:val="clear" w:color="FFFFFF" w:fill="FFFFFF"/>
            <w:noWrap/>
            <w:vAlign w:val="bottom"/>
            <w:hideMark/>
          </w:tcPr>
          <w:p w14:paraId="73ABBABC" w14:textId="77777777" w:rsidR="00A43992" w:rsidRDefault="00A43992" w:rsidP="007211E3">
            <w:pPr>
              <w:rPr>
                <w:rFonts w:ascii="Arial" w:hAnsi="Arial" w:cs="Arial"/>
                <w:sz w:val="18"/>
                <w:szCs w:val="18"/>
              </w:rPr>
            </w:pPr>
            <w:r>
              <w:rPr>
                <w:rFonts w:ascii="Arial" w:hAnsi="Arial" w:cs="Arial"/>
                <w:sz w:val="18"/>
                <w:szCs w:val="18"/>
              </w:rPr>
              <w:t> </w:t>
            </w:r>
          </w:p>
        </w:tc>
        <w:tc>
          <w:tcPr>
            <w:tcW w:w="1069" w:type="dxa"/>
            <w:tcBorders>
              <w:top w:val="nil"/>
              <w:left w:val="nil"/>
              <w:bottom w:val="nil"/>
              <w:right w:val="nil"/>
            </w:tcBorders>
            <w:shd w:val="clear" w:color="FFFFFF" w:fill="FFFFFF"/>
            <w:noWrap/>
            <w:vAlign w:val="bottom"/>
            <w:hideMark/>
          </w:tcPr>
          <w:p w14:paraId="1E27AB9F" w14:textId="77777777" w:rsidR="00A43992" w:rsidRDefault="00A43992" w:rsidP="007211E3">
            <w:pPr>
              <w:jc w:val="right"/>
              <w:rPr>
                <w:rFonts w:ascii="Arial" w:hAnsi="Arial" w:cs="Arial"/>
                <w:sz w:val="18"/>
                <w:szCs w:val="18"/>
              </w:rPr>
            </w:pPr>
            <w:r>
              <w:rPr>
                <w:rFonts w:ascii="Arial" w:hAnsi="Arial" w:cs="Arial"/>
                <w:sz w:val="18"/>
                <w:szCs w:val="18"/>
              </w:rPr>
              <w:t xml:space="preserve">68,194 </w:t>
            </w:r>
          </w:p>
        </w:tc>
      </w:tr>
      <w:tr w:rsidR="00A43992" w14:paraId="1AB1BA77" w14:textId="77777777" w:rsidTr="007211E3">
        <w:trPr>
          <w:trHeight w:val="255"/>
        </w:trPr>
        <w:tc>
          <w:tcPr>
            <w:tcW w:w="4280" w:type="dxa"/>
            <w:tcBorders>
              <w:top w:val="nil"/>
              <w:left w:val="nil"/>
              <w:bottom w:val="nil"/>
              <w:right w:val="nil"/>
            </w:tcBorders>
            <w:shd w:val="clear" w:color="FFFFFF" w:fill="FFFFFF"/>
            <w:vAlign w:val="bottom"/>
            <w:hideMark/>
          </w:tcPr>
          <w:p w14:paraId="6EE042CB" w14:textId="77777777" w:rsidR="00A43992" w:rsidRDefault="00A43992" w:rsidP="007211E3">
            <w:pPr>
              <w:ind w:firstLineChars="100" w:firstLine="180"/>
              <w:rPr>
                <w:rFonts w:ascii="Arial" w:hAnsi="Arial" w:cs="Arial"/>
                <w:sz w:val="18"/>
                <w:szCs w:val="18"/>
              </w:rPr>
            </w:pPr>
            <w:r>
              <w:rPr>
                <w:rFonts w:ascii="Arial" w:hAnsi="Arial" w:cs="Arial"/>
                <w:sz w:val="18"/>
                <w:szCs w:val="18"/>
              </w:rPr>
              <w:t>Property, plant and equipment</w:t>
            </w:r>
          </w:p>
        </w:tc>
        <w:tc>
          <w:tcPr>
            <w:tcW w:w="1083" w:type="dxa"/>
            <w:tcBorders>
              <w:top w:val="nil"/>
              <w:left w:val="nil"/>
              <w:bottom w:val="nil"/>
              <w:right w:val="nil"/>
            </w:tcBorders>
            <w:shd w:val="clear" w:color="FFFFFF" w:fill="FFFFFF"/>
            <w:noWrap/>
            <w:vAlign w:val="bottom"/>
            <w:hideMark/>
          </w:tcPr>
          <w:p w14:paraId="2C6F6B0C" w14:textId="77777777" w:rsidR="00A43992" w:rsidRDefault="00A43992" w:rsidP="007211E3">
            <w:pPr>
              <w:jc w:val="center"/>
              <w:rPr>
                <w:rFonts w:ascii="Arial" w:hAnsi="Arial" w:cs="Arial"/>
                <w:sz w:val="18"/>
                <w:szCs w:val="18"/>
              </w:rPr>
            </w:pPr>
            <w:r>
              <w:rPr>
                <w:rFonts w:ascii="Arial" w:hAnsi="Arial" w:cs="Arial"/>
                <w:sz w:val="18"/>
                <w:szCs w:val="18"/>
              </w:rPr>
              <w:t>2.2A</w:t>
            </w:r>
          </w:p>
        </w:tc>
        <w:tc>
          <w:tcPr>
            <w:tcW w:w="1088" w:type="dxa"/>
            <w:tcBorders>
              <w:top w:val="nil"/>
              <w:left w:val="nil"/>
              <w:bottom w:val="nil"/>
              <w:right w:val="nil"/>
            </w:tcBorders>
            <w:shd w:val="clear" w:color="FFFFFF" w:fill="FFFFFF"/>
            <w:noWrap/>
            <w:vAlign w:val="bottom"/>
            <w:hideMark/>
          </w:tcPr>
          <w:p w14:paraId="496A643B" w14:textId="77777777" w:rsidR="00A43992" w:rsidRDefault="00A43992" w:rsidP="007211E3">
            <w:pPr>
              <w:jc w:val="right"/>
              <w:rPr>
                <w:rFonts w:ascii="Arial" w:hAnsi="Arial" w:cs="Arial"/>
                <w:b/>
                <w:bCs/>
                <w:sz w:val="18"/>
                <w:szCs w:val="18"/>
              </w:rPr>
            </w:pPr>
            <w:r>
              <w:rPr>
                <w:rFonts w:ascii="Arial" w:hAnsi="Arial" w:cs="Arial"/>
                <w:b/>
                <w:bCs/>
                <w:sz w:val="18"/>
                <w:szCs w:val="18"/>
              </w:rPr>
              <w:t>1,012</w:t>
            </w:r>
          </w:p>
        </w:tc>
        <w:tc>
          <w:tcPr>
            <w:tcW w:w="236" w:type="dxa"/>
            <w:tcBorders>
              <w:top w:val="nil"/>
              <w:left w:val="nil"/>
              <w:bottom w:val="nil"/>
              <w:right w:val="nil"/>
            </w:tcBorders>
            <w:shd w:val="clear" w:color="FFFFFF" w:fill="FFFFFF"/>
            <w:noWrap/>
            <w:vAlign w:val="bottom"/>
            <w:hideMark/>
          </w:tcPr>
          <w:p w14:paraId="1194001B" w14:textId="77777777" w:rsidR="00A43992" w:rsidRDefault="00A43992" w:rsidP="007211E3">
            <w:pPr>
              <w:rPr>
                <w:rFonts w:ascii="Arial" w:hAnsi="Arial" w:cs="Arial"/>
                <w:sz w:val="18"/>
                <w:szCs w:val="18"/>
              </w:rPr>
            </w:pPr>
            <w:r>
              <w:rPr>
                <w:rFonts w:ascii="Arial" w:hAnsi="Arial" w:cs="Arial"/>
                <w:sz w:val="18"/>
                <w:szCs w:val="18"/>
              </w:rPr>
              <w:t> </w:t>
            </w:r>
          </w:p>
        </w:tc>
        <w:tc>
          <w:tcPr>
            <w:tcW w:w="1095" w:type="dxa"/>
            <w:tcBorders>
              <w:top w:val="nil"/>
              <w:left w:val="nil"/>
              <w:bottom w:val="nil"/>
              <w:right w:val="nil"/>
            </w:tcBorders>
            <w:shd w:val="clear" w:color="FFFFFF" w:fill="FFFFFF"/>
            <w:noWrap/>
            <w:vAlign w:val="bottom"/>
            <w:hideMark/>
          </w:tcPr>
          <w:p w14:paraId="75D4C906" w14:textId="77777777" w:rsidR="00A43992" w:rsidRDefault="00A43992" w:rsidP="007211E3">
            <w:pPr>
              <w:jc w:val="right"/>
              <w:rPr>
                <w:rFonts w:ascii="Arial" w:hAnsi="Arial" w:cs="Arial"/>
                <w:sz w:val="18"/>
                <w:szCs w:val="18"/>
              </w:rPr>
            </w:pPr>
            <w:r>
              <w:rPr>
                <w:rFonts w:ascii="Arial" w:hAnsi="Arial" w:cs="Arial"/>
                <w:sz w:val="18"/>
                <w:szCs w:val="18"/>
              </w:rPr>
              <w:t>1,456</w:t>
            </w:r>
          </w:p>
        </w:tc>
        <w:tc>
          <w:tcPr>
            <w:tcW w:w="236" w:type="dxa"/>
            <w:tcBorders>
              <w:top w:val="nil"/>
              <w:left w:val="nil"/>
              <w:bottom w:val="nil"/>
              <w:right w:val="nil"/>
            </w:tcBorders>
            <w:shd w:val="clear" w:color="FFFFFF" w:fill="FFFFFF"/>
            <w:noWrap/>
            <w:vAlign w:val="bottom"/>
            <w:hideMark/>
          </w:tcPr>
          <w:p w14:paraId="7F30D460" w14:textId="77777777" w:rsidR="00A43992" w:rsidRDefault="00A43992" w:rsidP="007211E3">
            <w:pPr>
              <w:rPr>
                <w:rFonts w:ascii="Arial" w:hAnsi="Arial" w:cs="Arial"/>
                <w:sz w:val="18"/>
                <w:szCs w:val="18"/>
              </w:rPr>
            </w:pPr>
            <w:r>
              <w:rPr>
                <w:rFonts w:ascii="Arial" w:hAnsi="Arial" w:cs="Arial"/>
                <w:sz w:val="18"/>
                <w:szCs w:val="18"/>
              </w:rPr>
              <w:t> </w:t>
            </w:r>
          </w:p>
        </w:tc>
        <w:tc>
          <w:tcPr>
            <w:tcW w:w="1069" w:type="dxa"/>
            <w:tcBorders>
              <w:top w:val="nil"/>
              <w:left w:val="nil"/>
              <w:bottom w:val="nil"/>
              <w:right w:val="nil"/>
            </w:tcBorders>
            <w:shd w:val="clear" w:color="FFFFFF" w:fill="FFFFFF"/>
            <w:noWrap/>
            <w:vAlign w:val="bottom"/>
            <w:hideMark/>
          </w:tcPr>
          <w:p w14:paraId="0F5067FB" w14:textId="77777777" w:rsidR="00A43992" w:rsidRDefault="00A43992" w:rsidP="007211E3">
            <w:pPr>
              <w:jc w:val="right"/>
              <w:rPr>
                <w:rFonts w:ascii="Arial" w:hAnsi="Arial" w:cs="Arial"/>
                <w:sz w:val="18"/>
                <w:szCs w:val="18"/>
              </w:rPr>
            </w:pPr>
            <w:r>
              <w:rPr>
                <w:rFonts w:ascii="Arial" w:hAnsi="Arial" w:cs="Arial"/>
                <w:sz w:val="18"/>
                <w:szCs w:val="18"/>
              </w:rPr>
              <w:t xml:space="preserve">10,278 </w:t>
            </w:r>
          </w:p>
        </w:tc>
      </w:tr>
      <w:tr w:rsidR="00A43992" w14:paraId="5D1B04F1" w14:textId="77777777" w:rsidTr="007211E3">
        <w:trPr>
          <w:trHeight w:val="255"/>
        </w:trPr>
        <w:tc>
          <w:tcPr>
            <w:tcW w:w="4280" w:type="dxa"/>
            <w:tcBorders>
              <w:top w:val="nil"/>
              <w:left w:val="nil"/>
              <w:bottom w:val="nil"/>
              <w:right w:val="nil"/>
            </w:tcBorders>
            <w:shd w:val="clear" w:color="FFFFFF" w:fill="FFFFFF"/>
            <w:vAlign w:val="bottom"/>
            <w:hideMark/>
          </w:tcPr>
          <w:p w14:paraId="2F4B1623" w14:textId="77777777" w:rsidR="00A43992" w:rsidRDefault="00A43992" w:rsidP="007211E3">
            <w:pPr>
              <w:ind w:firstLineChars="100" w:firstLine="180"/>
              <w:rPr>
                <w:rFonts w:ascii="Arial" w:hAnsi="Arial" w:cs="Arial"/>
                <w:sz w:val="18"/>
                <w:szCs w:val="18"/>
              </w:rPr>
            </w:pPr>
            <w:r>
              <w:rPr>
                <w:rFonts w:ascii="Arial" w:hAnsi="Arial" w:cs="Arial"/>
                <w:sz w:val="18"/>
                <w:szCs w:val="18"/>
              </w:rPr>
              <w:t>Intangibles</w:t>
            </w:r>
          </w:p>
        </w:tc>
        <w:tc>
          <w:tcPr>
            <w:tcW w:w="1083" w:type="dxa"/>
            <w:tcBorders>
              <w:top w:val="nil"/>
              <w:left w:val="nil"/>
              <w:bottom w:val="nil"/>
              <w:right w:val="nil"/>
            </w:tcBorders>
            <w:shd w:val="clear" w:color="FFFFFF" w:fill="FFFFFF"/>
            <w:noWrap/>
            <w:vAlign w:val="bottom"/>
            <w:hideMark/>
          </w:tcPr>
          <w:p w14:paraId="6E9D0B50" w14:textId="77777777" w:rsidR="00A43992" w:rsidRDefault="00A43992" w:rsidP="007211E3">
            <w:pPr>
              <w:jc w:val="center"/>
              <w:rPr>
                <w:rFonts w:ascii="Arial" w:hAnsi="Arial" w:cs="Arial"/>
                <w:sz w:val="18"/>
                <w:szCs w:val="18"/>
              </w:rPr>
            </w:pPr>
            <w:r>
              <w:rPr>
                <w:rFonts w:ascii="Arial" w:hAnsi="Arial" w:cs="Arial"/>
                <w:sz w:val="18"/>
                <w:szCs w:val="18"/>
              </w:rPr>
              <w:t>2.2A</w:t>
            </w:r>
          </w:p>
        </w:tc>
        <w:tc>
          <w:tcPr>
            <w:tcW w:w="1088" w:type="dxa"/>
            <w:tcBorders>
              <w:top w:val="nil"/>
              <w:left w:val="nil"/>
              <w:bottom w:val="nil"/>
              <w:right w:val="nil"/>
            </w:tcBorders>
            <w:shd w:val="clear" w:color="FFFFFF" w:fill="FFFFFF"/>
            <w:noWrap/>
            <w:vAlign w:val="bottom"/>
            <w:hideMark/>
          </w:tcPr>
          <w:p w14:paraId="19C7EAA9" w14:textId="77777777" w:rsidR="00A43992" w:rsidRDefault="00A43992" w:rsidP="007211E3">
            <w:pPr>
              <w:jc w:val="right"/>
              <w:rPr>
                <w:rFonts w:ascii="Arial" w:hAnsi="Arial" w:cs="Arial"/>
                <w:b/>
                <w:bCs/>
                <w:sz w:val="18"/>
                <w:szCs w:val="18"/>
              </w:rPr>
            </w:pPr>
            <w:r>
              <w:rPr>
                <w:rFonts w:ascii="Arial" w:hAnsi="Arial" w:cs="Arial"/>
                <w:b/>
                <w:bCs/>
                <w:sz w:val="18"/>
                <w:szCs w:val="18"/>
              </w:rPr>
              <w:t>-</w:t>
            </w:r>
          </w:p>
        </w:tc>
        <w:tc>
          <w:tcPr>
            <w:tcW w:w="236" w:type="dxa"/>
            <w:tcBorders>
              <w:top w:val="nil"/>
              <w:left w:val="nil"/>
              <w:bottom w:val="nil"/>
              <w:right w:val="nil"/>
            </w:tcBorders>
            <w:shd w:val="clear" w:color="FFFFFF" w:fill="FFFFFF"/>
            <w:noWrap/>
            <w:vAlign w:val="bottom"/>
            <w:hideMark/>
          </w:tcPr>
          <w:p w14:paraId="25820CC5" w14:textId="77777777" w:rsidR="00A43992" w:rsidRDefault="00A43992" w:rsidP="007211E3">
            <w:pPr>
              <w:rPr>
                <w:rFonts w:ascii="Arial" w:hAnsi="Arial" w:cs="Arial"/>
                <w:sz w:val="18"/>
                <w:szCs w:val="18"/>
              </w:rPr>
            </w:pPr>
            <w:r>
              <w:rPr>
                <w:rFonts w:ascii="Arial" w:hAnsi="Arial" w:cs="Arial"/>
                <w:sz w:val="18"/>
                <w:szCs w:val="18"/>
              </w:rPr>
              <w:t> </w:t>
            </w:r>
          </w:p>
        </w:tc>
        <w:tc>
          <w:tcPr>
            <w:tcW w:w="1095" w:type="dxa"/>
            <w:tcBorders>
              <w:top w:val="nil"/>
              <w:left w:val="nil"/>
              <w:bottom w:val="nil"/>
              <w:right w:val="nil"/>
            </w:tcBorders>
            <w:shd w:val="clear" w:color="FFFFFF" w:fill="FFFFFF"/>
            <w:noWrap/>
            <w:vAlign w:val="bottom"/>
            <w:hideMark/>
          </w:tcPr>
          <w:p w14:paraId="09309DF6" w14:textId="77777777" w:rsidR="00A43992" w:rsidRDefault="00A43992" w:rsidP="007211E3">
            <w:pPr>
              <w:jc w:val="right"/>
              <w:rPr>
                <w:rFonts w:ascii="Arial" w:hAnsi="Arial" w:cs="Arial"/>
                <w:sz w:val="18"/>
                <w:szCs w:val="18"/>
              </w:rPr>
            </w:pPr>
            <w:r>
              <w:rPr>
                <w:rFonts w:ascii="Arial" w:hAnsi="Arial" w:cs="Arial"/>
                <w:sz w:val="18"/>
                <w:szCs w:val="18"/>
              </w:rPr>
              <w:t>3,416</w:t>
            </w:r>
          </w:p>
        </w:tc>
        <w:tc>
          <w:tcPr>
            <w:tcW w:w="236" w:type="dxa"/>
            <w:tcBorders>
              <w:top w:val="nil"/>
              <w:left w:val="nil"/>
              <w:bottom w:val="nil"/>
              <w:right w:val="nil"/>
            </w:tcBorders>
            <w:shd w:val="clear" w:color="FFFFFF" w:fill="FFFFFF"/>
            <w:noWrap/>
            <w:vAlign w:val="bottom"/>
            <w:hideMark/>
          </w:tcPr>
          <w:p w14:paraId="2928A948" w14:textId="77777777" w:rsidR="00A43992" w:rsidRDefault="00A43992" w:rsidP="007211E3">
            <w:pPr>
              <w:rPr>
                <w:rFonts w:ascii="Arial" w:hAnsi="Arial" w:cs="Arial"/>
                <w:sz w:val="18"/>
                <w:szCs w:val="18"/>
              </w:rPr>
            </w:pPr>
            <w:r>
              <w:rPr>
                <w:rFonts w:ascii="Arial" w:hAnsi="Arial" w:cs="Arial"/>
                <w:sz w:val="18"/>
                <w:szCs w:val="18"/>
              </w:rPr>
              <w:t> </w:t>
            </w:r>
          </w:p>
        </w:tc>
        <w:tc>
          <w:tcPr>
            <w:tcW w:w="1069" w:type="dxa"/>
            <w:tcBorders>
              <w:top w:val="nil"/>
              <w:left w:val="nil"/>
              <w:bottom w:val="nil"/>
              <w:right w:val="nil"/>
            </w:tcBorders>
            <w:shd w:val="clear" w:color="FFFFFF" w:fill="FFFFFF"/>
            <w:noWrap/>
            <w:vAlign w:val="bottom"/>
            <w:hideMark/>
          </w:tcPr>
          <w:p w14:paraId="17F2EA81" w14:textId="77777777" w:rsidR="00A43992" w:rsidRDefault="00A43992" w:rsidP="007211E3">
            <w:pPr>
              <w:jc w:val="right"/>
              <w:rPr>
                <w:rFonts w:ascii="Arial" w:hAnsi="Arial" w:cs="Arial"/>
                <w:sz w:val="18"/>
                <w:szCs w:val="18"/>
              </w:rPr>
            </w:pPr>
            <w:r>
              <w:rPr>
                <w:rFonts w:ascii="Arial" w:hAnsi="Arial" w:cs="Arial"/>
                <w:sz w:val="18"/>
                <w:szCs w:val="18"/>
              </w:rPr>
              <w:t xml:space="preserve">277 </w:t>
            </w:r>
          </w:p>
        </w:tc>
      </w:tr>
      <w:tr w:rsidR="00A43992" w14:paraId="5C4A4E9A" w14:textId="77777777" w:rsidTr="007211E3">
        <w:trPr>
          <w:trHeight w:val="255"/>
        </w:trPr>
        <w:tc>
          <w:tcPr>
            <w:tcW w:w="4280" w:type="dxa"/>
            <w:tcBorders>
              <w:top w:val="nil"/>
              <w:left w:val="nil"/>
              <w:bottom w:val="nil"/>
              <w:right w:val="nil"/>
            </w:tcBorders>
            <w:shd w:val="clear" w:color="FFFFFF" w:fill="FFFFFF"/>
            <w:vAlign w:val="bottom"/>
            <w:hideMark/>
          </w:tcPr>
          <w:p w14:paraId="70998696" w14:textId="77777777" w:rsidR="00A43992" w:rsidRDefault="00A43992" w:rsidP="007211E3">
            <w:pPr>
              <w:ind w:firstLineChars="100" w:firstLine="180"/>
              <w:rPr>
                <w:rFonts w:ascii="Arial" w:hAnsi="Arial" w:cs="Arial"/>
                <w:sz w:val="18"/>
                <w:szCs w:val="18"/>
              </w:rPr>
            </w:pPr>
            <w:r>
              <w:rPr>
                <w:rFonts w:ascii="Arial" w:hAnsi="Arial" w:cs="Arial"/>
                <w:sz w:val="18"/>
                <w:szCs w:val="18"/>
              </w:rPr>
              <w:t>Other non-financial assets</w:t>
            </w:r>
          </w:p>
        </w:tc>
        <w:tc>
          <w:tcPr>
            <w:tcW w:w="1083" w:type="dxa"/>
            <w:tcBorders>
              <w:top w:val="nil"/>
              <w:left w:val="nil"/>
              <w:bottom w:val="nil"/>
              <w:right w:val="nil"/>
            </w:tcBorders>
            <w:shd w:val="clear" w:color="FFFFFF" w:fill="FFFFFF"/>
            <w:noWrap/>
            <w:vAlign w:val="bottom"/>
            <w:hideMark/>
          </w:tcPr>
          <w:p w14:paraId="4CCD1E0E" w14:textId="77777777" w:rsidR="00A43992" w:rsidRDefault="00A43992" w:rsidP="007211E3">
            <w:pPr>
              <w:jc w:val="center"/>
              <w:rPr>
                <w:rFonts w:ascii="Arial" w:hAnsi="Arial" w:cs="Arial"/>
                <w:sz w:val="18"/>
                <w:szCs w:val="18"/>
              </w:rPr>
            </w:pPr>
            <w:r>
              <w:rPr>
                <w:rFonts w:ascii="Arial" w:hAnsi="Arial" w:cs="Arial"/>
                <w:sz w:val="18"/>
                <w:szCs w:val="18"/>
              </w:rPr>
              <w:t>2.2C</w:t>
            </w:r>
          </w:p>
        </w:tc>
        <w:tc>
          <w:tcPr>
            <w:tcW w:w="1088" w:type="dxa"/>
            <w:tcBorders>
              <w:top w:val="nil"/>
              <w:left w:val="nil"/>
              <w:bottom w:val="nil"/>
              <w:right w:val="nil"/>
            </w:tcBorders>
            <w:shd w:val="clear" w:color="FFFFFF" w:fill="FFFFFF"/>
            <w:noWrap/>
            <w:vAlign w:val="bottom"/>
            <w:hideMark/>
          </w:tcPr>
          <w:p w14:paraId="7406D8C6" w14:textId="77777777" w:rsidR="00A43992" w:rsidRDefault="00A43992" w:rsidP="007211E3">
            <w:pPr>
              <w:jc w:val="right"/>
              <w:rPr>
                <w:rFonts w:ascii="Arial" w:hAnsi="Arial" w:cs="Arial"/>
                <w:b/>
                <w:bCs/>
                <w:sz w:val="18"/>
                <w:szCs w:val="18"/>
              </w:rPr>
            </w:pPr>
            <w:r>
              <w:rPr>
                <w:rFonts w:ascii="Arial" w:hAnsi="Arial" w:cs="Arial"/>
                <w:b/>
                <w:bCs/>
                <w:sz w:val="18"/>
                <w:szCs w:val="18"/>
              </w:rPr>
              <w:t>10,472</w:t>
            </w:r>
          </w:p>
        </w:tc>
        <w:tc>
          <w:tcPr>
            <w:tcW w:w="236" w:type="dxa"/>
            <w:tcBorders>
              <w:top w:val="nil"/>
              <w:left w:val="nil"/>
              <w:bottom w:val="nil"/>
              <w:right w:val="nil"/>
            </w:tcBorders>
            <w:shd w:val="clear" w:color="FFFFFF" w:fill="FFFFFF"/>
            <w:noWrap/>
            <w:vAlign w:val="bottom"/>
            <w:hideMark/>
          </w:tcPr>
          <w:p w14:paraId="45B70E07" w14:textId="77777777" w:rsidR="00A43992" w:rsidRDefault="00A43992" w:rsidP="007211E3">
            <w:pPr>
              <w:rPr>
                <w:rFonts w:ascii="Arial" w:hAnsi="Arial" w:cs="Arial"/>
                <w:sz w:val="18"/>
                <w:szCs w:val="18"/>
              </w:rPr>
            </w:pPr>
            <w:r>
              <w:rPr>
                <w:rFonts w:ascii="Arial" w:hAnsi="Arial" w:cs="Arial"/>
                <w:sz w:val="18"/>
                <w:szCs w:val="18"/>
              </w:rPr>
              <w:t> </w:t>
            </w:r>
          </w:p>
        </w:tc>
        <w:tc>
          <w:tcPr>
            <w:tcW w:w="1095" w:type="dxa"/>
            <w:tcBorders>
              <w:top w:val="nil"/>
              <w:left w:val="nil"/>
              <w:bottom w:val="nil"/>
              <w:right w:val="nil"/>
            </w:tcBorders>
            <w:shd w:val="clear" w:color="FFFFFF" w:fill="FFFFFF"/>
            <w:noWrap/>
            <w:vAlign w:val="bottom"/>
            <w:hideMark/>
          </w:tcPr>
          <w:p w14:paraId="1AA2042D" w14:textId="77777777" w:rsidR="00A43992" w:rsidRDefault="00A43992" w:rsidP="007211E3">
            <w:pPr>
              <w:jc w:val="right"/>
              <w:rPr>
                <w:rFonts w:ascii="Arial" w:hAnsi="Arial" w:cs="Arial"/>
                <w:sz w:val="18"/>
                <w:szCs w:val="18"/>
              </w:rPr>
            </w:pPr>
            <w:r>
              <w:rPr>
                <w:rFonts w:ascii="Arial" w:hAnsi="Arial" w:cs="Arial"/>
                <w:sz w:val="18"/>
                <w:szCs w:val="18"/>
              </w:rPr>
              <w:t>4,274</w:t>
            </w:r>
          </w:p>
        </w:tc>
        <w:tc>
          <w:tcPr>
            <w:tcW w:w="236" w:type="dxa"/>
            <w:tcBorders>
              <w:top w:val="nil"/>
              <w:left w:val="nil"/>
              <w:bottom w:val="nil"/>
              <w:right w:val="nil"/>
            </w:tcBorders>
            <w:shd w:val="clear" w:color="FFFFFF" w:fill="FFFFFF"/>
            <w:noWrap/>
            <w:vAlign w:val="bottom"/>
            <w:hideMark/>
          </w:tcPr>
          <w:p w14:paraId="5486FFD3" w14:textId="77777777" w:rsidR="00A43992" w:rsidRDefault="00A43992" w:rsidP="007211E3">
            <w:pPr>
              <w:rPr>
                <w:rFonts w:ascii="Arial" w:hAnsi="Arial" w:cs="Arial"/>
                <w:sz w:val="18"/>
                <w:szCs w:val="18"/>
              </w:rPr>
            </w:pPr>
            <w:r>
              <w:rPr>
                <w:rFonts w:ascii="Arial" w:hAnsi="Arial" w:cs="Arial"/>
                <w:sz w:val="18"/>
                <w:szCs w:val="18"/>
              </w:rPr>
              <w:t> </w:t>
            </w:r>
          </w:p>
        </w:tc>
        <w:tc>
          <w:tcPr>
            <w:tcW w:w="1069" w:type="dxa"/>
            <w:tcBorders>
              <w:top w:val="nil"/>
              <w:left w:val="nil"/>
              <w:bottom w:val="nil"/>
              <w:right w:val="nil"/>
            </w:tcBorders>
            <w:shd w:val="clear" w:color="FFFFFF" w:fill="FFFFFF"/>
            <w:noWrap/>
            <w:vAlign w:val="bottom"/>
            <w:hideMark/>
          </w:tcPr>
          <w:p w14:paraId="5A111472" w14:textId="77777777" w:rsidR="00A43992" w:rsidRDefault="00A43992" w:rsidP="007211E3">
            <w:pPr>
              <w:jc w:val="right"/>
              <w:rPr>
                <w:rFonts w:ascii="Arial" w:hAnsi="Arial" w:cs="Arial"/>
                <w:sz w:val="18"/>
                <w:szCs w:val="18"/>
              </w:rPr>
            </w:pPr>
            <w:r>
              <w:rPr>
                <w:rFonts w:ascii="Arial" w:hAnsi="Arial" w:cs="Arial"/>
                <w:sz w:val="18"/>
                <w:szCs w:val="18"/>
              </w:rPr>
              <w:t xml:space="preserve">2,381 </w:t>
            </w:r>
          </w:p>
        </w:tc>
      </w:tr>
      <w:tr w:rsidR="00A43992" w14:paraId="01007C84" w14:textId="77777777" w:rsidTr="007211E3">
        <w:trPr>
          <w:trHeight w:val="255"/>
        </w:trPr>
        <w:tc>
          <w:tcPr>
            <w:tcW w:w="4280" w:type="dxa"/>
            <w:tcBorders>
              <w:top w:val="nil"/>
              <w:left w:val="nil"/>
              <w:bottom w:val="nil"/>
              <w:right w:val="nil"/>
            </w:tcBorders>
            <w:shd w:val="clear" w:color="FFFFFF" w:fill="FFFFFF"/>
            <w:vAlign w:val="bottom"/>
            <w:hideMark/>
          </w:tcPr>
          <w:p w14:paraId="29B64715" w14:textId="77777777" w:rsidR="00A43992" w:rsidRDefault="00A43992" w:rsidP="007211E3">
            <w:pPr>
              <w:rPr>
                <w:rFonts w:ascii="Arial" w:hAnsi="Arial" w:cs="Arial"/>
                <w:b/>
                <w:bCs/>
                <w:sz w:val="18"/>
                <w:szCs w:val="18"/>
              </w:rPr>
            </w:pPr>
            <w:r>
              <w:rPr>
                <w:rFonts w:ascii="Arial" w:hAnsi="Arial" w:cs="Arial"/>
                <w:b/>
                <w:bCs/>
                <w:sz w:val="18"/>
                <w:szCs w:val="18"/>
              </w:rPr>
              <w:t>Total non-financial assets</w:t>
            </w:r>
          </w:p>
        </w:tc>
        <w:tc>
          <w:tcPr>
            <w:tcW w:w="1083" w:type="dxa"/>
            <w:tcBorders>
              <w:top w:val="nil"/>
              <w:left w:val="nil"/>
              <w:bottom w:val="nil"/>
              <w:right w:val="nil"/>
            </w:tcBorders>
            <w:shd w:val="clear" w:color="FFFFFF" w:fill="FFFFFF"/>
            <w:noWrap/>
            <w:vAlign w:val="bottom"/>
            <w:hideMark/>
          </w:tcPr>
          <w:p w14:paraId="50D1C200" w14:textId="77777777" w:rsidR="00A43992" w:rsidRDefault="00A43992" w:rsidP="007211E3">
            <w:pPr>
              <w:jc w:val="center"/>
              <w:rPr>
                <w:rFonts w:ascii="Arial" w:hAnsi="Arial" w:cs="Arial"/>
                <w:sz w:val="18"/>
                <w:szCs w:val="18"/>
              </w:rPr>
            </w:pPr>
            <w:r>
              <w:rPr>
                <w:rFonts w:ascii="Arial" w:hAnsi="Arial" w:cs="Arial"/>
                <w:sz w:val="18"/>
                <w:szCs w:val="18"/>
              </w:rPr>
              <w:t> </w:t>
            </w:r>
          </w:p>
        </w:tc>
        <w:tc>
          <w:tcPr>
            <w:tcW w:w="1088" w:type="dxa"/>
            <w:tcBorders>
              <w:top w:val="single" w:sz="4" w:space="0" w:color="auto"/>
              <w:left w:val="nil"/>
              <w:bottom w:val="single" w:sz="4" w:space="0" w:color="auto"/>
              <w:right w:val="nil"/>
            </w:tcBorders>
            <w:shd w:val="clear" w:color="FFFFFF" w:fill="FFFFFF"/>
            <w:noWrap/>
            <w:vAlign w:val="bottom"/>
            <w:hideMark/>
          </w:tcPr>
          <w:p w14:paraId="1A0C5DE2" w14:textId="77777777" w:rsidR="00A43992" w:rsidRDefault="00A43992" w:rsidP="007211E3">
            <w:pPr>
              <w:jc w:val="right"/>
              <w:rPr>
                <w:rFonts w:ascii="Arial" w:hAnsi="Arial" w:cs="Arial"/>
                <w:b/>
                <w:bCs/>
                <w:sz w:val="18"/>
                <w:szCs w:val="18"/>
              </w:rPr>
            </w:pPr>
            <w:r>
              <w:rPr>
                <w:rFonts w:ascii="Arial" w:hAnsi="Arial" w:cs="Arial"/>
                <w:b/>
                <w:bCs/>
                <w:sz w:val="18"/>
                <w:szCs w:val="18"/>
              </w:rPr>
              <w:t>35,785</w:t>
            </w:r>
          </w:p>
        </w:tc>
        <w:tc>
          <w:tcPr>
            <w:tcW w:w="236" w:type="dxa"/>
            <w:tcBorders>
              <w:top w:val="nil"/>
              <w:left w:val="nil"/>
              <w:bottom w:val="nil"/>
              <w:right w:val="nil"/>
            </w:tcBorders>
            <w:shd w:val="clear" w:color="FFFFFF" w:fill="FFFFFF"/>
            <w:noWrap/>
            <w:vAlign w:val="bottom"/>
            <w:hideMark/>
          </w:tcPr>
          <w:p w14:paraId="677A5F72" w14:textId="77777777" w:rsidR="00A43992" w:rsidRDefault="00A43992" w:rsidP="007211E3">
            <w:pPr>
              <w:rPr>
                <w:rFonts w:ascii="Arial" w:hAnsi="Arial" w:cs="Arial"/>
                <w:sz w:val="18"/>
                <w:szCs w:val="18"/>
              </w:rPr>
            </w:pPr>
            <w:r>
              <w:rPr>
                <w:rFonts w:ascii="Arial" w:hAnsi="Arial" w:cs="Arial"/>
                <w:sz w:val="18"/>
                <w:szCs w:val="18"/>
              </w:rPr>
              <w:t> </w:t>
            </w:r>
          </w:p>
        </w:tc>
        <w:tc>
          <w:tcPr>
            <w:tcW w:w="1095" w:type="dxa"/>
            <w:tcBorders>
              <w:top w:val="single" w:sz="4" w:space="0" w:color="auto"/>
              <w:left w:val="nil"/>
              <w:bottom w:val="single" w:sz="4" w:space="0" w:color="auto"/>
              <w:right w:val="nil"/>
            </w:tcBorders>
            <w:shd w:val="clear" w:color="FFFFFF" w:fill="FFFFFF"/>
            <w:noWrap/>
            <w:vAlign w:val="bottom"/>
            <w:hideMark/>
          </w:tcPr>
          <w:p w14:paraId="5CAC8908" w14:textId="77777777" w:rsidR="00A43992" w:rsidRDefault="00A43992" w:rsidP="007211E3">
            <w:pPr>
              <w:jc w:val="right"/>
              <w:rPr>
                <w:rFonts w:ascii="Arial" w:hAnsi="Arial" w:cs="Arial"/>
                <w:sz w:val="18"/>
                <w:szCs w:val="18"/>
              </w:rPr>
            </w:pPr>
            <w:r>
              <w:rPr>
                <w:rFonts w:ascii="Arial" w:hAnsi="Arial" w:cs="Arial"/>
                <w:sz w:val="18"/>
                <w:szCs w:val="18"/>
              </w:rPr>
              <w:t>35,609</w:t>
            </w:r>
          </w:p>
        </w:tc>
        <w:tc>
          <w:tcPr>
            <w:tcW w:w="236" w:type="dxa"/>
            <w:tcBorders>
              <w:top w:val="nil"/>
              <w:left w:val="nil"/>
              <w:bottom w:val="nil"/>
              <w:right w:val="nil"/>
            </w:tcBorders>
            <w:shd w:val="clear" w:color="FFFFFF" w:fill="FFFFFF"/>
            <w:noWrap/>
            <w:vAlign w:val="bottom"/>
            <w:hideMark/>
          </w:tcPr>
          <w:p w14:paraId="6211D1F8" w14:textId="77777777" w:rsidR="00A43992" w:rsidRDefault="00A43992" w:rsidP="007211E3">
            <w:pPr>
              <w:rPr>
                <w:rFonts w:ascii="Arial" w:hAnsi="Arial" w:cs="Arial"/>
                <w:sz w:val="18"/>
                <w:szCs w:val="18"/>
              </w:rPr>
            </w:pPr>
            <w:r>
              <w:rPr>
                <w:rFonts w:ascii="Arial" w:hAnsi="Arial" w:cs="Arial"/>
                <w:sz w:val="18"/>
                <w:szCs w:val="18"/>
              </w:rPr>
              <w:t> </w:t>
            </w:r>
          </w:p>
        </w:tc>
        <w:tc>
          <w:tcPr>
            <w:tcW w:w="1069" w:type="dxa"/>
            <w:tcBorders>
              <w:top w:val="single" w:sz="4" w:space="0" w:color="auto"/>
              <w:left w:val="nil"/>
              <w:bottom w:val="single" w:sz="4" w:space="0" w:color="auto"/>
              <w:right w:val="nil"/>
            </w:tcBorders>
            <w:shd w:val="clear" w:color="FFFFFF" w:fill="FFFFFF"/>
            <w:noWrap/>
            <w:vAlign w:val="bottom"/>
            <w:hideMark/>
          </w:tcPr>
          <w:p w14:paraId="60B0FDAB" w14:textId="77777777" w:rsidR="00A43992" w:rsidRDefault="00A43992" w:rsidP="007211E3">
            <w:pPr>
              <w:jc w:val="right"/>
              <w:rPr>
                <w:rFonts w:ascii="Arial" w:hAnsi="Arial" w:cs="Arial"/>
                <w:sz w:val="18"/>
                <w:szCs w:val="18"/>
              </w:rPr>
            </w:pPr>
            <w:r>
              <w:rPr>
                <w:rFonts w:ascii="Arial" w:hAnsi="Arial" w:cs="Arial"/>
                <w:sz w:val="18"/>
                <w:szCs w:val="18"/>
              </w:rPr>
              <w:t>81,130</w:t>
            </w:r>
          </w:p>
        </w:tc>
      </w:tr>
      <w:tr w:rsidR="00A43992" w14:paraId="7B4F0B62" w14:textId="77777777" w:rsidTr="007211E3">
        <w:trPr>
          <w:trHeight w:val="255"/>
        </w:trPr>
        <w:tc>
          <w:tcPr>
            <w:tcW w:w="4280" w:type="dxa"/>
            <w:tcBorders>
              <w:top w:val="nil"/>
              <w:left w:val="nil"/>
              <w:bottom w:val="nil"/>
              <w:right w:val="nil"/>
            </w:tcBorders>
            <w:shd w:val="clear" w:color="FFFFFF" w:fill="FFFFFF"/>
            <w:vAlign w:val="bottom"/>
            <w:hideMark/>
          </w:tcPr>
          <w:p w14:paraId="0AB57CF1" w14:textId="77777777" w:rsidR="00A43992" w:rsidRDefault="00A43992" w:rsidP="007211E3">
            <w:pPr>
              <w:rPr>
                <w:rFonts w:ascii="Arial" w:hAnsi="Arial" w:cs="Arial"/>
                <w:sz w:val="18"/>
                <w:szCs w:val="18"/>
              </w:rPr>
            </w:pPr>
            <w:r>
              <w:rPr>
                <w:rFonts w:ascii="Arial" w:hAnsi="Arial" w:cs="Arial"/>
                <w:sz w:val="18"/>
                <w:szCs w:val="18"/>
              </w:rPr>
              <w:t> </w:t>
            </w:r>
          </w:p>
        </w:tc>
        <w:tc>
          <w:tcPr>
            <w:tcW w:w="1083" w:type="dxa"/>
            <w:tcBorders>
              <w:top w:val="nil"/>
              <w:left w:val="nil"/>
              <w:bottom w:val="nil"/>
              <w:right w:val="nil"/>
            </w:tcBorders>
            <w:shd w:val="clear" w:color="FFFFFF" w:fill="FFFFFF"/>
            <w:noWrap/>
            <w:vAlign w:val="bottom"/>
            <w:hideMark/>
          </w:tcPr>
          <w:p w14:paraId="6F86EABD" w14:textId="77777777" w:rsidR="00A43992" w:rsidRDefault="00A43992" w:rsidP="007211E3">
            <w:pPr>
              <w:jc w:val="center"/>
              <w:rPr>
                <w:rFonts w:ascii="Arial" w:hAnsi="Arial" w:cs="Arial"/>
                <w:sz w:val="18"/>
                <w:szCs w:val="18"/>
              </w:rPr>
            </w:pPr>
            <w:r>
              <w:rPr>
                <w:rFonts w:ascii="Arial" w:hAnsi="Arial" w:cs="Arial"/>
                <w:sz w:val="18"/>
                <w:szCs w:val="18"/>
              </w:rPr>
              <w:t> </w:t>
            </w:r>
          </w:p>
        </w:tc>
        <w:tc>
          <w:tcPr>
            <w:tcW w:w="1088" w:type="dxa"/>
            <w:tcBorders>
              <w:top w:val="nil"/>
              <w:left w:val="nil"/>
              <w:bottom w:val="nil"/>
              <w:right w:val="nil"/>
            </w:tcBorders>
            <w:shd w:val="clear" w:color="FFFFFF" w:fill="FFFFFF"/>
            <w:noWrap/>
            <w:vAlign w:val="bottom"/>
            <w:hideMark/>
          </w:tcPr>
          <w:p w14:paraId="25E83B0D" w14:textId="77777777" w:rsidR="00A43992" w:rsidRDefault="00A43992" w:rsidP="007211E3">
            <w:pPr>
              <w:jc w:val="right"/>
              <w:rPr>
                <w:rFonts w:ascii="Arial" w:hAnsi="Arial" w:cs="Arial"/>
                <w:b/>
                <w:bCs/>
                <w:sz w:val="18"/>
                <w:szCs w:val="18"/>
              </w:rPr>
            </w:pPr>
            <w:r>
              <w:rPr>
                <w:rFonts w:ascii="Arial" w:hAnsi="Arial" w:cs="Arial"/>
                <w:b/>
                <w:bCs/>
                <w:sz w:val="18"/>
                <w:szCs w:val="18"/>
              </w:rPr>
              <w:t> </w:t>
            </w:r>
          </w:p>
        </w:tc>
        <w:tc>
          <w:tcPr>
            <w:tcW w:w="236" w:type="dxa"/>
            <w:tcBorders>
              <w:top w:val="nil"/>
              <w:left w:val="nil"/>
              <w:bottom w:val="nil"/>
              <w:right w:val="nil"/>
            </w:tcBorders>
            <w:shd w:val="clear" w:color="FFFFFF" w:fill="FFFFFF"/>
            <w:noWrap/>
            <w:vAlign w:val="bottom"/>
            <w:hideMark/>
          </w:tcPr>
          <w:p w14:paraId="592E309F" w14:textId="77777777" w:rsidR="00A43992" w:rsidRDefault="00A43992" w:rsidP="007211E3">
            <w:pPr>
              <w:rPr>
                <w:rFonts w:ascii="Arial" w:hAnsi="Arial" w:cs="Arial"/>
                <w:sz w:val="18"/>
                <w:szCs w:val="18"/>
              </w:rPr>
            </w:pPr>
            <w:r>
              <w:rPr>
                <w:rFonts w:ascii="Arial" w:hAnsi="Arial" w:cs="Arial"/>
                <w:sz w:val="18"/>
                <w:szCs w:val="18"/>
              </w:rPr>
              <w:t> </w:t>
            </w:r>
          </w:p>
        </w:tc>
        <w:tc>
          <w:tcPr>
            <w:tcW w:w="1095" w:type="dxa"/>
            <w:tcBorders>
              <w:top w:val="nil"/>
              <w:left w:val="nil"/>
              <w:bottom w:val="nil"/>
              <w:right w:val="nil"/>
            </w:tcBorders>
            <w:shd w:val="clear" w:color="FFFFFF" w:fill="FFFFFF"/>
            <w:noWrap/>
            <w:vAlign w:val="bottom"/>
            <w:hideMark/>
          </w:tcPr>
          <w:p w14:paraId="5C0C27DD" w14:textId="77777777" w:rsidR="00A43992" w:rsidRDefault="00A43992" w:rsidP="007211E3">
            <w:pPr>
              <w:jc w:val="right"/>
              <w:rPr>
                <w:rFonts w:ascii="Arial" w:hAnsi="Arial" w:cs="Arial"/>
                <w:sz w:val="18"/>
                <w:szCs w:val="18"/>
              </w:rPr>
            </w:pPr>
            <w:r>
              <w:rPr>
                <w:rFonts w:ascii="Arial" w:hAnsi="Arial" w:cs="Arial"/>
                <w:sz w:val="18"/>
                <w:szCs w:val="18"/>
              </w:rPr>
              <w:t> </w:t>
            </w:r>
          </w:p>
        </w:tc>
        <w:tc>
          <w:tcPr>
            <w:tcW w:w="236" w:type="dxa"/>
            <w:tcBorders>
              <w:top w:val="nil"/>
              <w:left w:val="nil"/>
              <w:bottom w:val="nil"/>
              <w:right w:val="nil"/>
            </w:tcBorders>
            <w:shd w:val="clear" w:color="FFFFFF" w:fill="FFFFFF"/>
            <w:noWrap/>
            <w:vAlign w:val="bottom"/>
            <w:hideMark/>
          </w:tcPr>
          <w:p w14:paraId="59623CE6" w14:textId="77777777" w:rsidR="00A43992" w:rsidRDefault="00A43992" w:rsidP="007211E3">
            <w:pPr>
              <w:rPr>
                <w:rFonts w:ascii="Arial" w:hAnsi="Arial" w:cs="Arial"/>
                <w:sz w:val="18"/>
                <w:szCs w:val="18"/>
              </w:rPr>
            </w:pPr>
            <w:r>
              <w:rPr>
                <w:rFonts w:ascii="Arial" w:hAnsi="Arial" w:cs="Arial"/>
                <w:sz w:val="18"/>
                <w:szCs w:val="18"/>
              </w:rPr>
              <w:t> </w:t>
            </w:r>
          </w:p>
        </w:tc>
        <w:tc>
          <w:tcPr>
            <w:tcW w:w="1069" w:type="dxa"/>
            <w:tcBorders>
              <w:top w:val="nil"/>
              <w:left w:val="nil"/>
              <w:bottom w:val="nil"/>
              <w:right w:val="nil"/>
            </w:tcBorders>
            <w:shd w:val="clear" w:color="FFFFFF" w:fill="FFFFFF"/>
            <w:noWrap/>
            <w:vAlign w:val="bottom"/>
            <w:hideMark/>
          </w:tcPr>
          <w:p w14:paraId="28C727CF" w14:textId="77777777" w:rsidR="00A43992" w:rsidRDefault="00A43992" w:rsidP="007211E3">
            <w:pPr>
              <w:jc w:val="right"/>
              <w:rPr>
                <w:rFonts w:ascii="Arial" w:hAnsi="Arial" w:cs="Arial"/>
                <w:sz w:val="18"/>
                <w:szCs w:val="18"/>
              </w:rPr>
            </w:pPr>
            <w:r>
              <w:rPr>
                <w:rFonts w:ascii="Arial" w:hAnsi="Arial" w:cs="Arial"/>
                <w:sz w:val="18"/>
                <w:szCs w:val="18"/>
              </w:rPr>
              <w:t> </w:t>
            </w:r>
          </w:p>
        </w:tc>
      </w:tr>
      <w:tr w:rsidR="00A43992" w14:paraId="25C8AC04" w14:textId="77777777" w:rsidTr="007211E3">
        <w:trPr>
          <w:trHeight w:val="255"/>
        </w:trPr>
        <w:tc>
          <w:tcPr>
            <w:tcW w:w="4280" w:type="dxa"/>
            <w:tcBorders>
              <w:top w:val="nil"/>
              <w:left w:val="nil"/>
              <w:bottom w:val="nil"/>
              <w:right w:val="nil"/>
            </w:tcBorders>
            <w:shd w:val="clear" w:color="FFFFFF" w:fill="FFFFFF"/>
            <w:vAlign w:val="bottom"/>
            <w:hideMark/>
          </w:tcPr>
          <w:p w14:paraId="2274B0FB" w14:textId="77777777" w:rsidR="00A43992" w:rsidRDefault="00A43992" w:rsidP="007211E3">
            <w:pPr>
              <w:rPr>
                <w:rFonts w:ascii="Arial" w:hAnsi="Arial" w:cs="Arial"/>
                <w:b/>
                <w:bCs/>
                <w:sz w:val="18"/>
                <w:szCs w:val="18"/>
              </w:rPr>
            </w:pPr>
            <w:r>
              <w:rPr>
                <w:rFonts w:ascii="Arial" w:hAnsi="Arial" w:cs="Arial"/>
                <w:b/>
                <w:bCs/>
                <w:sz w:val="18"/>
                <w:szCs w:val="18"/>
              </w:rPr>
              <w:t>Total assets</w:t>
            </w:r>
          </w:p>
        </w:tc>
        <w:tc>
          <w:tcPr>
            <w:tcW w:w="1083" w:type="dxa"/>
            <w:tcBorders>
              <w:top w:val="nil"/>
              <w:left w:val="nil"/>
              <w:bottom w:val="nil"/>
              <w:right w:val="nil"/>
            </w:tcBorders>
            <w:shd w:val="clear" w:color="FFFFFF" w:fill="FFFFFF"/>
            <w:noWrap/>
            <w:vAlign w:val="bottom"/>
            <w:hideMark/>
          </w:tcPr>
          <w:p w14:paraId="71B642C1" w14:textId="77777777" w:rsidR="00A43992" w:rsidRDefault="00A43992" w:rsidP="007211E3">
            <w:pPr>
              <w:jc w:val="center"/>
              <w:rPr>
                <w:rFonts w:ascii="Arial" w:hAnsi="Arial" w:cs="Arial"/>
                <w:sz w:val="18"/>
                <w:szCs w:val="18"/>
              </w:rPr>
            </w:pPr>
            <w:r>
              <w:rPr>
                <w:rFonts w:ascii="Arial" w:hAnsi="Arial" w:cs="Arial"/>
                <w:sz w:val="18"/>
                <w:szCs w:val="18"/>
              </w:rPr>
              <w:t> </w:t>
            </w:r>
          </w:p>
        </w:tc>
        <w:tc>
          <w:tcPr>
            <w:tcW w:w="1088" w:type="dxa"/>
            <w:tcBorders>
              <w:top w:val="single" w:sz="4" w:space="0" w:color="auto"/>
              <w:left w:val="nil"/>
              <w:bottom w:val="single" w:sz="4" w:space="0" w:color="auto"/>
              <w:right w:val="nil"/>
            </w:tcBorders>
            <w:shd w:val="clear" w:color="FFFFFF" w:fill="FFFFFF"/>
            <w:noWrap/>
            <w:vAlign w:val="bottom"/>
            <w:hideMark/>
          </w:tcPr>
          <w:p w14:paraId="782BE171" w14:textId="77777777" w:rsidR="00A43992" w:rsidRDefault="00A43992" w:rsidP="007211E3">
            <w:pPr>
              <w:jc w:val="right"/>
              <w:rPr>
                <w:rFonts w:ascii="Arial" w:hAnsi="Arial" w:cs="Arial"/>
                <w:b/>
                <w:bCs/>
                <w:sz w:val="18"/>
                <w:szCs w:val="18"/>
              </w:rPr>
            </w:pPr>
            <w:r>
              <w:rPr>
                <w:rFonts w:ascii="Arial" w:hAnsi="Arial" w:cs="Arial"/>
                <w:b/>
                <w:bCs/>
                <w:sz w:val="18"/>
                <w:szCs w:val="18"/>
              </w:rPr>
              <w:t>396,293</w:t>
            </w:r>
          </w:p>
        </w:tc>
        <w:tc>
          <w:tcPr>
            <w:tcW w:w="236" w:type="dxa"/>
            <w:tcBorders>
              <w:top w:val="nil"/>
              <w:left w:val="nil"/>
              <w:bottom w:val="nil"/>
              <w:right w:val="nil"/>
            </w:tcBorders>
            <w:shd w:val="clear" w:color="FFFFFF" w:fill="FFFFFF"/>
            <w:noWrap/>
            <w:vAlign w:val="bottom"/>
            <w:hideMark/>
          </w:tcPr>
          <w:p w14:paraId="4674ABA7" w14:textId="77777777" w:rsidR="00A43992" w:rsidRDefault="00A43992" w:rsidP="007211E3">
            <w:pPr>
              <w:rPr>
                <w:rFonts w:ascii="Arial" w:hAnsi="Arial" w:cs="Arial"/>
                <w:sz w:val="18"/>
                <w:szCs w:val="18"/>
              </w:rPr>
            </w:pPr>
            <w:r>
              <w:rPr>
                <w:rFonts w:ascii="Arial" w:hAnsi="Arial" w:cs="Arial"/>
                <w:sz w:val="18"/>
                <w:szCs w:val="18"/>
              </w:rPr>
              <w:t> </w:t>
            </w:r>
          </w:p>
        </w:tc>
        <w:tc>
          <w:tcPr>
            <w:tcW w:w="1095" w:type="dxa"/>
            <w:tcBorders>
              <w:top w:val="single" w:sz="4" w:space="0" w:color="auto"/>
              <w:left w:val="nil"/>
              <w:bottom w:val="single" w:sz="4" w:space="0" w:color="auto"/>
              <w:right w:val="nil"/>
            </w:tcBorders>
            <w:shd w:val="clear" w:color="FFFFFF" w:fill="FFFFFF"/>
            <w:noWrap/>
            <w:vAlign w:val="bottom"/>
            <w:hideMark/>
          </w:tcPr>
          <w:p w14:paraId="04EA0C66" w14:textId="77777777" w:rsidR="00A43992" w:rsidRDefault="00A43992" w:rsidP="007211E3">
            <w:pPr>
              <w:jc w:val="right"/>
              <w:rPr>
                <w:rFonts w:ascii="Arial" w:hAnsi="Arial" w:cs="Arial"/>
                <w:sz w:val="18"/>
                <w:szCs w:val="18"/>
              </w:rPr>
            </w:pPr>
            <w:r>
              <w:rPr>
                <w:rFonts w:ascii="Arial" w:hAnsi="Arial" w:cs="Arial"/>
                <w:sz w:val="18"/>
                <w:szCs w:val="18"/>
              </w:rPr>
              <w:t>256,024</w:t>
            </w:r>
          </w:p>
        </w:tc>
        <w:tc>
          <w:tcPr>
            <w:tcW w:w="236" w:type="dxa"/>
            <w:tcBorders>
              <w:top w:val="nil"/>
              <w:left w:val="nil"/>
              <w:bottom w:val="nil"/>
              <w:right w:val="nil"/>
            </w:tcBorders>
            <w:shd w:val="clear" w:color="FFFFFF" w:fill="FFFFFF"/>
            <w:noWrap/>
            <w:vAlign w:val="bottom"/>
            <w:hideMark/>
          </w:tcPr>
          <w:p w14:paraId="21EA59A8" w14:textId="77777777" w:rsidR="00A43992" w:rsidRDefault="00A43992" w:rsidP="007211E3">
            <w:pPr>
              <w:rPr>
                <w:rFonts w:ascii="Arial" w:hAnsi="Arial" w:cs="Arial"/>
                <w:sz w:val="18"/>
                <w:szCs w:val="18"/>
              </w:rPr>
            </w:pPr>
            <w:r>
              <w:rPr>
                <w:rFonts w:ascii="Arial" w:hAnsi="Arial" w:cs="Arial"/>
                <w:sz w:val="18"/>
                <w:szCs w:val="18"/>
              </w:rPr>
              <w:t> </w:t>
            </w:r>
          </w:p>
        </w:tc>
        <w:tc>
          <w:tcPr>
            <w:tcW w:w="1069" w:type="dxa"/>
            <w:tcBorders>
              <w:top w:val="single" w:sz="4" w:space="0" w:color="auto"/>
              <w:left w:val="nil"/>
              <w:bottom w:val="single" w:sz="4" w:space="0" w:color="auto"/>
              <w:right w:val="nil"/>
            </w:tcBorders>
            <w:shd w:val="clear" w:color="FFFFFF" w:fill="FFFFFF"/>
            <w:noWrap/>
            <w:vAlign w:val="bottom"/>
            <w:hideMark/>
          </w:tcPr>
          <w:p w14:paraId="367E4924" w14:textId="77777777" w:rsidR="00A43992" w:rsidRDefault="00A43992" w:rsidP="007211E3">
            <w:pPr>
              <w:jc w:val="right"/>
              <w:rPr>
                <w:rFonts w:ascii="Arial" w:hAnsi="Arial" w:cs="Arial"/>
                <w:sz w:val="18"/>
                <w:szCs w:val="18"/>
              </w:rPr>
            </w:pPr>
            <w:r>
              <w:rPr>
                <w:rFonts w:ascii="Arial" w:hAnsi="Arial" w:cs="Arial"/>
                <w:sz w:val="18"/>
                <w:szCs w:val="18"/>
              </w:rPr>
              <w:t>245,747</w:t>
            </w:r>
          </w:p>
        </w:tc>
      </w:tr>
      <w:tr w:rsidR="00A43992" w14:paraId="3AD3539A" w14:textId="77777777" w:rsidTr="007211E3">
        <w:trPr>
          <w:trHeight w:val="300"/>
        </w:trPr>
        <w:tc>
          <w:tcPr>
            <w:tcW w:w="4280" w:type="dxa"/>
            <w:tcBorders>
              <w:top w:val="nil"/>
              <w:left w:val="nil"/>
              <w:bottom w:val="nil"/>
              <w:right w:val="nil"/>
            </w:tcBorders>
            <w:shd w:val="clear" w:color="FFFFFF" w:fill="FFFFFF"/>
            <w:vAlign w:val="bottom"/>
            <w:hideMark/>
          </w:tcPr>
          <w:p w14:paraId="1E7BE94D" w14:textId="77777777" w:rsidR="00A43992" w:rsidRDefault="00A43992" w:rsidP="007211E3">
            <w:pPr>
              <w:rPr>
                <w:rFonts w:ascii="Arial" w:hAnsi="Arial" w:cs="Arial"/>
                <w:sz w:val="18"/>
                <w:szCs w:val="18"/>
              </w:rPr>
            </w:pPr>
            <w:r>
              <w:rPr>
                <w:rFonts w:ascii="Arial" w:hAnsi="Arial" w:cs="Arial"/>
                <w:sz w:val="18"/>
                <w:szCs w:val="18"/>
              </w:rPr>
              <w:t> </w:t>
            </w:r>
          </w:p>
        </w:tc>
        <w:tc>
          <w:tcPr>
            <w:tcW w:w="1083" w:type="dxa"/>
            <w:tcBorders>
              <w:top w:val="nil"/>
              <w:left w:val="nil"/>
              <w:bottom w:val="nil"/>
              <w:right w:val="nil"/>
            </w:tcBorders>
            <w:shd w:val="clear" w:color="FFFFFF" w:fill="FFFFFF"/>
            <w:noWrap/>
            <w:vAlign w:val="bottom"/>
            <w:hideMark/>
          </w:tcPr>
          <w:p w14:paraId="12B1EC44" w14:textId="77777777" w:rsidR="00A43992" w:rsidRDefault="00A43992" w:rsidP="007211E3">
            <w:pPr>
              <w:jc w:val="center"/>
              <w:rPr>
                <w:rFonts w:ascii="Arial" w:hAnsi="Arial" w:cs="Arial"/>
                <w:sz w:val="18"/>
                <w:szCs w:val="18"/>
              </w:rPr>
            </w:pPr>
            <w:r>
              <w:rPr>
                <w:rFonts w:ascii="Arial" w:hAnsi="Arial" w:cs="Arial"/>
                <w:sz w:val="18"/>
                <w:szCs w:val="18"/>
              </w:rPr>
              <w:t> </w:t>
            </w:r>
          </w:p>
        </w:tc>
        <w:tc>
          <w:tcPr>
            <w:tcW w:w="1088" w:type="dxa"/>
            <w:tcBorders>
              <w:top w:val="nil"/>
              <w:left w:val="nil"/>
              <w:bottom w:val="nil"/>
              <w:right w:val="nil"/>
            </w:tcBorders>
            <w:shd w:val="clear" w:color="FFFFFF" w:fill="FFFFFF"/>
            <w:noWrap/>
            <w:vAlign w:val="bottom"/>
            <w:hideMark/>
          </w:tcPr>
          <w:p w14:paraId="4EC1B682" w14:textId="77777777" w:rsidR="00A43992" w:rsidRDefault="00A43992" w:rsidP="007211E3">
            <w:pPr>
              <w:jc w:val="right"/>
              <w:rPr>
                <w:rFonts w:ascii="Arial" w:hAnsi="Arial" w:cs="Arial"/>
                <w:b/>
                <w:bCs/>
                <w:sz w:val="18"/>
                <w:szCs w:val="18"/>
              </w:rPr>
            </w:pPr>
            <w:r>
              <w:rPr>
                <w:rFonts w:ascii="Arial" w:hAnsi="Arial" w:cs="Arial"/>
                <w:b/>
                <w:bCs/>
                <w:sz w:val="18"/>
                <w:szCs w:val="18"/>
              </w:rPr>
              <w:t> </w:t>
            </w:r>
          </w:p>
        </w:tc>
        <w:tc>
          <w:tcPr>
            <w:tcW w:w="236" w:type="dxa"/>
            <w:tcBorders>
              <w:top w:val="nil"/>
              <w:left w:val="nil"/>
              <w:bottom w:val="nil"/>
              <w:right w:val="nil"/>
            </w:tcBorders>
            <w:shd w:val="clear" w:color="FFFFFF" w:fill="FFFFFF"/>
            <w:noWrap/>
            <w:vAlign w:val="bottom"/>
            <w:hideMark/>
          </w:tcPr>
          <w:p w14:paraId="78836FD7" w14:textId="77777777" w:rsidR="00A43992" w:rsidRDefault="00A43992" w:rsidP="007211E3">
            <w:pPr>
              <w:rPr>
                <w:rFonts w:ascii="Arial" w:hAnsi="Arial" w:cs="Arial"/>
                <w:sz w:val="18"/>
                <w:szCs w:val="18"/>
              </w:rPr>
            </w:pPr>
            <w:r>
              <w:rPr>
                <w:rFonts w:ascii="Arial" w:hAnsi="Arial" w:cs="Arial"/>
                <w:sz w:val="18"/>
                <w:szCs w:val="18"/>
              </w:rPr>
              <w:t> </w:t>
            </w:r>
          </w:p>
        </w:tc>
        <w:tc>
          <w:tcPr>
            <w:tcW w:w="1095" w:type="dxa"/>
            <w:tcBorders>
              <w:top w:val="nil"/>
              <w:left w:val="nil"/>
              <w:bottom w:val="nil"/>
              <w:right w:val="nil"/>
            </w:tcBorders>
            <w:shd w:val="clear" w:color="FFFFFF" w:fill="FFFFFF"/>
            <w:noWrap/>
            <w:vAlign w:val="bottom"/>
            <w:hideMark/>
          </w:tcPr>
          <w:p w14:paraId="65668A68" w14:textId="77777777" w:rsidR="00A43992" w:rsidRDefault="00A43992" w:rsidP="007211E3">
            <w:pPr>
              <w:jc w:val="right"/>
              <w:rPr>
                <w:rFonts w:ascii="Arial" w:hAnsi="Arial" w:cs="Arial"/>
                <w:sz w:val="18"/>
                <w:szCs w:val="18"/>
              </w:rPr>
            </w:pPr>
            <w:r>
              <w:rPr>
                <w:rFonts w:ascii="Arial" w:hAnsi="Arial" w:cs="Arial"/>
                <w:sz w:val="18"/>
                <w:szCs w:val="18"/>
              </w:rPr>
              <w:t> </w:t>
            </w:r>
          </w:p>
        </w:tc>
        <w:tc>
          <w:tcPr>
            <w:tcW w:w="236" w:type="dxa"/>
            <w:tcBorders>
              <w:top w:val="nil"/>
              <w:left w:val="nil"/>
              <w:bottom w:val="nil"/>
              <w:right w:val="nil"/>
            </w:tcBorders>
            <w:shd w:val="clear" w:color="FFFFFF" w:fill="FFFFFF"/>
            <w:noWrap/>
            <w:vAlign w:val="bottom"/>
            <w:hideMark/>
          </w:tcPr>
          <w:p w14:paraId="29D8A900" w14:textId="77777777" w:rsidR="00A43992" w:rsidRDefault="00A43992" w:rsidP="007211E3">
            <w:pPr>
              <w:rPr>
                <w:rFonts w:ascii="Arial" w:hAnsi="Arial" w:cs="Arial"/>
                <w:sz w:val="18"/>
                <w:szCs w:val="18"/>
              </w:rPr>
            </w:pPr>
            <w:r>
              <w:rPr>
                <w:rFonts w:ascii="Arial" w:hAnsi="Arial" w:cs="Arial"/>
                <w:sz w:val="18"/>
                <w:szCs w:val="18"/>
              </w:rPr>
              <w:t> </w:t>
            </w:r>
          </w:p>
        </w:tc>
        <w:tc>
          <w:tcPr>
            <w:tcW w:w="1069" w:type="dxa"/>
            <w:tcBorders>
              <w:top w:val="nil"/>
              <w:left w:val="nil"/>
              <w:bottom w:val="nil"/>
              <w:right w:val="nil"/>
            </w:tcBorders>
            <w:shd w:val="clear" w:color="FFFFFF" w:fill="FFFFFF"/>
            <w:noWrap/>
            <w:vAlign w:val="bottom"/>
            <w:hideMark/>
          </w:tcPr>
          <w:p w14:paraId="77D82A15" w14:textId="77777777" w:rsidR="00A43992" w:rsidRDefault="00A43992" w:rsidP="007211E3">
            <w:pPr>
              <w:jc w:val="right"/>
              <w:rPr>
                <w:rFonts w:ascii="Arial" w:hAnsi="Arial" w:cs="Arial"/>
                <w:sz w:val="18"/>
                <w:szCs w:val="18"/>
              </w:rPr>
            </w:pPr>
            <w:r>
              <w:rPr>
                <w:rFonts w:ascii="Arial" w:hAnsi="Arial" w:cs="Arial"/>
                <w:sz w:val="18"/>
                <w:szCs w:val="18"/>
              </w:rPr>
              <w:t> </w:t>
            </w:r>
          </w:p>
        </w:tc>
      </w:tr>
      <w:tr w:rsidR="00A43992" w14:paraId="505DF042" w14:textId="77777777" w:rsidTr="007211E3">
        <w:trPr>
          <w:trHeight w:val="255"/>
        </w:trPr>
        <w:tc>
          <w:tcPr>
            <w:tcW w:w="4280" w:type="dxa"/>
            <w:tcBorders>
              <w:top w:val="nil"/>
              <w:left w:val="nil"/>
              <w:bottom w:val="nil"/>
              <w:right w:val="nil"/>
            </w:tcBorders>
            <w:shd w:val="clear" w:color="FFFFFF" w:fill="FFFFFF"/>
            <w:vAlign w:val="bottom"/>
            <w:hideMark/>
          </w:tcPr>
          <w:p w14:paraId="583B0B0B" w14:textId="77777777" w:rsidR="00A43992" w:rsidRDefault="00A43992" w:rsidP="007211E3">
            <w:pPr>
              <w:rPr>
                <w:rFonts w:ascii="Arial" w:hAnsi="Arial" w:cs="Arial"/>
                <w:b/>
                <w:bCs/>
                <w:sz w:val="18"/>
                <w:szCs w:val="18"/>
              </w:rPr>
            </w:pPr>
            <w:r>
              <w:rPr>
                <w:rFonts w:ascii="Arial" w:hAnsi="Arial" w:cs="Arial"/>
                <w:b/>
                <w:bCs/>
                <w:sz w:val="18"/>
                <w:szCs w:val="18"/>
              </w:rPr>
              <w:t>LIABILITIES</w:t>
            </w:r>
          </w:p>
        </w:tc>
        <w:tc>
          <w:tcPr>
            <w:tcW w:w="1083" w:type="dxa"/>
            <w:tcBorders>
              <w:top w:val="nil"/>
              <w:left w:val="nil"/>
              <w:bottom w:val="nil"/>
              <w:right w:val="nil"/>
            </w:tcBorders>
            <w:shd w:val="clear" w:color="FFFFFF" w:fill="FFFFFF"/>
            <w:noWrap/>
            <w:vAlign w:val="bottom"/>
            <w:hideMark/>
          </w:tcPr>
          <w:p w14:paraId="6C238580" w14:textId="77777777" w:rsidR="00A43992" w:rsidRDefault="00A43992" w:rsidP="007211E3">
            <w:pPr>
              <w:jc w:val="center"/>
              <w:rPr>
                <w:rFonts w:ascii="Arial" w:hAnsi="Arial" w:cs="Arial"/>
                <w:sz w:val="18"/>
                <w:szCs w:val="18"/>
              </w:rPr>
            </w:pPr>
            <w:r>
              <w:rPr>
                <w:rFonts w:ascii="Arial" w:hAnsi="Arial" w:cs="Arial"/>
                <w:sz w:val="18"/>
                <w:szCs w:val="18"/>
              </w:rPr>
              <w:t> </w:t>
            </w:r>
          </w:p>
        </w:tc>
        <w:tc>
          <w:tcPr>
            <w:tcW w:w="1088" w:type="dxa"/>
            <w:tcBorders>
              <w:top w:val="nil"/>
              <w:left w:val="nil"/>
              <w:bottom w:val="nil"/>
              <w:right w:val="nil"/>
            </w:tcBorders>
            <w:shd w:val="clear" w:color="FFFFFF" w:fill="FFFFFF"/>
            <w:noWrap/>
            <w:vAlign w:val="bottom"/>
            <w:hideMark/>
          </w:tcPr>
          <w:p w14:paraId="29C57DE8" w14:textId="77777777" w:rsidR="00A43992" w:rsidRDefault="00A43992" w:rsidP="007211E3">
            <w:pPr>
              <w:jc w:val="right"/>
              <w:rPr>
                <w:rFonts w:ascii="Arial" w:hAnsi="Arial" w:cs="Arial"/>
                <w:b/>
                <w:bCs/>
                <w:sz w:val="18"/>
                <w:szCs w:val="18"/>
              </w:rPr>
            </w:pPr>
            <w:r>
              <w:rPr>
                <w:rFonts w:ascii="Arial" w:hAnsi="Arial" w:cs="Arial"/>
                <w:b/>
                <w:bCs/>
                <w:sz w:val="18"/>
                <w:szCs w:val="18"/>
              </w:rPr>
              <w:t> </w:t>
            </w:r>
          </w:p>
        </w:tc>
        <w:tc>
          <w:tcPr>
            <w:tcW w:w="236" w:type="dxa"/>
            <w:tcBorders>
              <w:top w:val="nil"/>
              <w:left w:val="nil"/>
              <w:bottom w:val="nil"/>
              <w:right w:val="nil"/>
            </w:tcBorders>
            <w:shd w:val="clear" w:color="FFFFFF" w:fill="FFFFFF"/>
            <w:noWrap/>
            <w:vAlign w:val="bottom"/>
            <w:hideMark/>
          </w:tcPr>
          <w:p w14:paraId="187BF13E" w14:textId="77777777" w:rsidR="00A43992" w:rsidRDefault="00A43992" w:rsidP="007211E3">
            <w:pPr>
              <w:rPr>
                <w:rFonts w:ascii="Arial" w:hAnsi="Arial" w:cs="Arial"/>
                <w:sz w:val="18"/>
                <w:szCs w:val="18"/>
              </w:rPr>
            </w:pPr>
            <w:r>
              <w:rPr>
                <w:rFonts w:ascii="Arial" w:hAnsi="Arial" w:cs="Arial"/>
                <w:sz w:val="18"/>
                <w:szCs w:val="18"/>
              </w:rPr>
              <w:t> </w:t>
            </w:r>
          </w:p>
        </w:tc>
        <w:tc>
          <w:tcPr>
            <w:tcW w:w="1095" w:type="dxa"/>
            <w:tcBorders>
              <w:top w:val="nil"/>
              <w:left w:val="nil"/>
              <w:bottom w:val="nil"/>
              <w:right w:val="nil"/>
            </w:tcBorders>
            <w:shd w:val="clear" w:color="FFFFFF" w:fill="FFFFFF"/>
            <w:noWrap/>
            <w:vAlign w:val="bottom"/>
            <w:hideMark/>
          </w:tcPr>
          <w:p w14:paraId="65E2A7B2" w14:textId="77777777" w:rsidR="00A43992" w:rsidRDefault="00A43992" w:rsidP="007211E3">
            <w:pPr>
              <w:jc w:val="right"/>
              <w:rPr>
                <w:rFonts w:ascii="Arial" w:hAnsi="Arial" w:cs="Arial"/>
                <w:sz w:val="18"/>
                <w:szCs w:val="18"/>
              </w:rPr>
            </w:pPr>
            <w:r>
              <w:rPr>
                <w:rFonts w:ascii="Arial" w:hAnsi="Arial" w:cs="Arial"/>
                <w:sz w:val="18"/>
                <w:szCs w:val="18"/>
              </w:rPr>
              <w:t> </w:t>
            </w:r>
          </w:p>
        </w:tc>
        <w:tc>
          <w:tcPr>
            <w:tcW w:w="236" w:type="dxa"/>
            <w:tcBorders>
              <w:top w:val="nil"/>
              <w:left w:val="nil"/>
              <w:bottom w:val="nil"/>
              <w:right w:val="nil"/>
            </w:tcBorders>
            <w:shd w:val="clear" w:color="FFFFFF" w:fill="FFFFFF"/>
            <w:noWrap/>
            <w:vAlign w:val="bottom"/>
            <w:hideMark/>
          </w:tcPr>
          <w:p w14:paraId="43483F24" w14:textId="77777777" w:rsidR="00A43992" w:rsidRDefault="00A43992" w:rsidP="007211E3">
            <w:pPr>
              <w:rPr>
                <w:rFonts w:ascii="Arial" w:hAnsi="Arial" w:cs="Arial"/>
                <w:sz w:val="18"/>
                <w:szCs w:val="18"/>
              </w:rPr>
            </w:pPr>
            <w:r>
              <w:rPr>
                <w:rFonts w:ascii="Arial" w:hAnsi="Arial" w:cs="Arial"/>
                <w:sz w:val="18"/>
                <w:szCs w:val="18"/>
              </w:rPr>
              <w:t> </w:t>
            </w:r>
          </w:p>
        </w:tc>
        <w:tc>
          <w:tcPr>
            <w:tcW w:w="1069" w:type="dxa"/>
            <w:tcBorders>
              <w:top w:val="nil"/>
              <w:left w:val="nil"/>
              <w:bottom w:val="nil"/>
              <w:right w:val="nil"/>
            </w:tcBorders>
            <w:shd w:val="clear" w:color="FFFFFF" w:fill="FFFFFF"/>
            <w:noWrap/>
            <w:vAlign w:val="bottom"/>
            <w:hideMark/>
          </w:tcPr>
          <w:p w14:paraId="45AB1BFF" w14:textId="77777777" w:rsidR="00A43992" w:rsidRDefault="00A43992" w:rsidP="007211E3">
            <w:pPr>
              <w:jc w:val="right"/>
              <w:rPr>
                <w:rFonts w:ascii="Arial" w:hAnsi="Arial" w:cs="Arial"/>
                <w:sz w:val="18"/>
                <w:szCs w:val="18"/>
              </w:rPr>
            </w:pPr>
            <w:r>
              <w:rPr>
                <w:rFonts w:ascii="Arial" w:hAnsi="Arial" w:cs="Arial"/>
                <w:sz w:val="18"/>
                <w:szCs w:val="18"/>
              </w:rPr>
              <w:t> </w:t>
            </w:r>
          </w:p>
        </w:tc>
      </w:tr>
      <w:tr w:rsidR="00A43992" w14:paraId="52E60684" w14:textId="77777777" w:rsidTr="007211E3">
        <w:trPr>
          <w:trHeight w:val="255"/>
        </w:trPr>
        <w:tc>
          <w:tcPr>
            <w:tcW w:w="4280" w:type="dxa"/>
            <w:tcBorders>
              <w:top w:val="nil"/>
              <w:left w:val="nil"/>
              <w:bottom w:val="nil"/>
              <w:right w:val="nil"/>
            </w:tcBorders>
            <w:shd w:val="clear" w:color="FFFFFF" w:fill="FFFFFF"/>
            <w:vAlign w:val="bottom"/>
            <w:hideMark/>
          </w:tcPr>
          <w:p w14:paraId="3ED70006" w14:textId="77777777" w:rsidR="00A43992" w:rsidRDefault="00A43992" w:rsidP="007211E3">
            <w:pPr>
              <w:rPr>
                <w:rFonts w:ascii="Arial" w:hAnsi="Arial" w:cs="Arial"/>
                <w:b/>
                <w:bCs/>
                <w:sz w:val="18"/>
                <w:szCs w:val="18"/>
              </w:rPr>
            </w:pPr>
            <w:r>
              <w:rPr>
                <w:rFonts w:ascii="Arial" w:hAnsi="Arial" w:cs="Arial"/>
                <w:b/>
                <w:bCs/>
                <w:sz w:val="18"/>
                <w:szCs w:val="18"/>
              </w:rPr>
              <w:t>Payables</w:t>
            </w:r>
          </w:p>
        </w:tc>
        <w:tc>
          <w:tcPr>
            <w:tcW w:w="1083" w:type="dxa"/>
            <w:tcBorders>
              <w:top w:val="nil"/>
              <w:left w:val="nil"/>
              <w:bottom w:val="nil"/>
              <w:right w:val="nil"/>
            </w:tcBorders>
            <w:shd w:val="clear" w:color="FFFFFF" w:fill="FFFFFF"/>
            <w:noWrap/>
            <w:vAlign w:val="bottom"/>
            <w:hideMark/>
          </w:tcPr>
          <w:p w14:paraId="5928BD2C" w14:textId="77777777" w:rsidR="00A43992" w:rsidRDefault="00A43992" w:rsidP="007211E3">
            <w:pPr>
              <w:jc w:val="center"/>
              <w:rPr>
                <w:rFonts w:ascii="Arial" w:hAnsi="Arial" w:cs="Arial"/>
                <w:sz w:val="18"/>
                <w:szCs w:val="18"/>
              </w:rPr>
            </w:pPr>
            <w:r>
              <w:rPr>
                <w:rFonts w:ascii="Arial" w:hAnsi="Arial" w:cs="Arial"/>
                <w:sz w:val="18"/>
                <w:szCs w:val="18"/>
              </w:rPr>
              <w:t> </w:t>
            </w:r>
          </w:p>
        </w:tc>
        <w:tc>
          <w:tcPr>
            <w:tcW w:w="1088" w:type="dxa"/>
            <w:tcBorders>
              <w:top w:val="nil"/>
              <w:left w:val="nil"/>
              <w:bottom w:val="nil"/>
              <w:right w:val="nil"/>
            </w:tcBorders>
            <w:shd w:val="clear" w:color="FFFFFF" w:fill="FFFFFF"/>
            <w:noWrap/>
            <w:vAlign w:val="bottom"/>
            <w:hideMark/>
          </w:tcPr>
          <w:p w14:paraId="0AEE1668" w14:textId="77777777" w:rsidR="00A43992" w:rsidRDefault="00A43992" w:rsidP="007211E3">
            <w:pPr>
              <w:jc w:val="right"/>
              <w:rPr>
                <w:rFonts w:ascii="Arial" w:hAnsi="Arial" w:cs="Arial"/>
                <w:b/>
                <w:bCs/>
                <w:sz w:val="18"/>
                <w:szCs w:val="18"/>
              </w:rPr>
            </w:pPr>
            <w:r>
              <w:rPr>
                <w:rFonts w:ascii="Arial" w:hAnsi="Arial" w:cs="Arial"/>
                <w:b/>
                <w:bCs/>
                <w:sz w:val="18"/>
                <w:szCs w:val="18"/>
              </w:rPr>
              <w:t> </w:t>
            </w:r>
          </w:p>
        </w:tc>
        <w:tc>
          <w:tcPr>
            <w:tcW w:w="236" w:type="dxa"/>
            <w:tcBorders>
              <w:top w:val="nil"/>
              <w:left w:val="nil"/>
              <w:bottom w:val="nil"/>
              <w:right w:val="nil"/>
            </w:tcBorders>
            <w:shd w:val="clear" w:color="FFFFFF" w:fill="FFFFFF"/>
            <w:noWrap/>
            <w:vAlign w:val="bottom"/>
            <w:hideMark/>
          </w:tcPr>
          <w:p w14:paraId="6ADE49F4" w14:textId="77777777" w:rsidR="00A43992" w:rsidRDefault="00A43992" w:rsidP="007211E3">
            <w:pPr>
              <w:rPr>
                <w:rFonts w:ascii="Arial" w:hAnsi="Arial" w:cs="Arial"/>
                <w:sz w:val="18"/>
                <w:szCs w:val="18"/>
              </w:rPr>
            </w:pPr>
            <w:r>
              <w:rPr>
                <w:rFonts w:ascii="Arial" w:hAnsi="Arial" w:cs="Arial"/>
                <w:sz w:val="18"/>
                <w:szCs w:val="18"/>
              </w:rPr>
              <w:t> </w:t>
            </w:r>
          </w:p>
        </w:tc>
        <w:tc>
          <w:tcPr>
            <w:tcW w:w="1095" w:type="dxa"/>
            <w:tcBorders>
              <w:top w:val="nil"/>
              <w:left w:val="nil"/>
              <w:bottom w:val="nil"/>
              <w:right w:val="nil"/>
            </w:tcBorders>
            <w:shd w:val="clear" w:color="FFFFFF" w:fill="FFFFFF"/>
            <w:noWrap/>
            <w:vAlign w:val="bottom"/>
            <w:hideMark/>
          </w:tcPr>
          <w:p w14:paraId="6CC7FBFE" w14:textId="77777777" w:rsidR="00A43992" w:rsidRDefault="00A43992" w:rsidP="007211E3">
            <w:pPr>
              <w:jc w:val="right"/>
              <w:rPr>
                <w:rFonts w:ascii="Arial" w:hAnsi="Arial" w:cs="Arial"/>
                <w:sz w:val="18"/>
                <w:szCs w:val="18"/>
              </w:rPr>
            </w:pPr>
            <w:r>
              <w:rPr>
                <w:rFonts w:ascii="Arial" w:hAnsi="Arial" w:cs="Arial"/>
                <w:sz w:val="18"/>
                <w:szCs w:val="18"/>
              </w:rPr>
              <w:t> </w:t>
            </w:r>
          </w:p>
        </w:tc>
        <w:tc>
          <w:tcPr>
            <w:tcW w:w="236" w:type="dxa"/>
            <w:tcBorders>
              <w:top w:val="nil"/>
              <w:left w:val="nil"/>
              <w:bottom w:val="nil"/>
              <w:right w:val="nil"/>
            </w:tcBorders>
            <w:shd w:val="clear" w:color="FFFFFF" w:fill="FFFFFF"/>
            <w:noWrap/>
            <w:vAlign w:val="bottom"/>
            <w:hideMark/>
          </w:tcPr>
          <w:p w14:paraId="4F1B1DE8" w14:textId="77777777" w:rsidR="00A43992" w:rsidRDefault="00A43992" w:rsidP="007211E3">
            <w:pPr>
              <w:rPr>
                <w:rFonts w:ascii="Arial" w:hAnsi="Arial" w:cs="Arial"/>
                <w:sz w:val="18"/>
                <w:szCs w:val="18"/>
              </w:rPr>
            </w:pPr>
            <w:r>
              <w:rPr>
                <w:rFonts w:ascii="Arial" w:hAnsi="Arial" w:cs="Arial"/>
                <w:sz w:val="18"/>
                <w:szCs w:val="18"/>
              </w:rPr>
              <w:t> </w:t>
            </w:r>
          </w:p>
        </w:tc>
        <w:tc>
          <w:tcPr>
            <w:tcW w:w="1069" w:type="dxa"/>
            <w:tcBorders>
              <w:top w:val="nil"/>
              <w:left w:val="nil"/>
              <w:bottom w:val="nil"/>
              <w:right w:val="nil"/>
            </w:tcBorders>
            <w:shd w:val="clear" w:color="FFFFFF" w:fill="FFFFFF"/>
            <w:noWrap/>
            <w:vAlign w:val="bottom"/>
            <w:hideMark/>
          </w:tcPr>
          <w:p w14:paraId="5E573701" w14:textId="77777777" w:rsidR="00A43992" w:rsidRDefault="00A43992" w:rsidP="007211E3">
            <w:pPr>
              <w:jc w:val="right"/>
              <w:rPr>
                <w:rFonts w:ascii="Arial" w:hAnsi="Arial" w:cs="Arial"/>
                <w:sz w:val="18"/>
                <w:szCs w:val="18"/>
              </w:rPr>
            </w:pPr>
            <w:r>
              <w:rPr>
                <w:rFonts w:ascii="Arial" w:hAnsi="Arial" w:cs="Arial"/>
                <w:sz w:val="18"/>
                <w:szCs w:val="18"/>
              </w:rPr>
              <w:t> </w:t>
            </w:r>
          </w:p>
        </w:tc>
      </w:tr>
      <w:tr w:rsidR="00A43992" w14:paraId="1C812B9A" w14:textId="77777777" w:rsidTr="007211E3">
        <w:trPr>
          <w:trHeight w:val="255"/>
        </w:trPr>
        <w:tc>
          <w:tcPr>
            <w:tcW w:w="4280" w:type="dxa"/>
            <w:tcBorders>
              <w:top w:val="nil"/>
              <w:left w:val="nil"/>
              <w:bottom w:val="nil"/>
              <w:right w:val="nil"/>
            </w:tcBorders>
            <w:shd w:val="clear" w:color="FFFFFF" w:fill="FFFFFF"/>
            <w:vAlign w:val="bottom"/>
            <w:hideMark/>
          </w:tcPr>
          <w:p w14:paraId="5D94D808" w14:textId="77777777" w:rsidR="00A43992" w:rsidRDefault="00A43992" w:rsidP="007211E3">
            <w:pPr>
              <w:ind w:firstLineChars="100" w:firstLine="180"/>
              <w:rPr>
                <w:rFonts w:ascii="Arial" w:hAnsi="Arial" w:cs="Arial"/>
                <w:sz w:val="18"/>
                <w:szCs w:val="18"/>
              </w:rPr>
            </w:pPr>
            <w:r>
              <w:rPr>
                <w:rFonts w:ascii="Arial" w:hAnsi="Arial" w:cs="Arial"/>
                <w:sz w:val="18"/>
                <w:szCs w:val="18"/>
              </w:rPr>
              <w:t>Suppliers</w:t>
            </w:r>
          </w:p>
        </w:tc>
        <w:tc>
          <w:tcPr>
            <w:tcW w:w="1083" w:type="dxa"/>
            <w:tcBorders>
              <w:top w:val="nil"/>
              <w:left w:val="nil"/>
              <w:bottom w:val="nil"/>
              <w:right w:val="nil"/>
            </w:tcBorders>
            <w:shd w:val="clear" w:color="FFFFFF" w:fill="FFFFFF"/>
            <w:noWrap/>
            <w:vAlign w:val="bottom"/>
            <w:hideMark/>
          </w:tcPr>
          <w:p w14:paraId="3230A231" w14:textId="77777777" w:rsidR="00A43992" w:rsidRDefault="00A43992" w:rsidP="007211E3">
            <w:pPr>
              <w:jc w:val="center"/>
              <w:rPr>
                <w:rFonts w:ascii="Arial" w:hAnsi="Arial" w:cs="Arial"/>
                <w:sz w:val="18"/>
                <w:szCs w:val="18"/>
              </w:rPr>
            </w:pPr>
            <w:r>
              <w:rPr>
                <w:rFonts w:ascii="Arial" w:hAnsi="Arial" w:cs="Arial"/>
                <w:sz w:val="18"/>
                <w:szCs w:val="18"/>
              </w:rPr>
              <w:t>2.3A</w:t>
            </w:r>
          </w:p>
        </w:tc>
        <w:tc>
          <w:tcPr>
            <w:tcW w:w="1088" w:type="dxa"/>
            <w:tcBorders>
              <w:top w:val="nil"/>
              <w:left w:val="nil"/>
              <w:bottom w:val="nil"/>
              <w:right w:val="nil"/>
            </w:tcBorders>
            <w:shd w:val="clear" w:color="FFFFFF" w:fill="FFFFFF"/>
            <w:noWrap/>
            <w:vAlign w:val="bottom"/>
            <w:hideMark/>
          </w:tcPr>
          <w:p w14:paraId="0ECB123D" w14:textId="77777777" w:rsidR="00A43992" w:rsidRDefault="00A43992" w:rsidP="007211E3">
            <w:pPr>
              <w:jc w:val="right"/>
              <w:rPr>
                <w:rFonts w:ascii="Arial" w:hAnsi="Arial" w:cs="Arial"/>
                <w:b/>
                <w:bCs/>
                <w:sz w:val="18"/>
                <w:szCs w:val="18"/>
              </w:rPr>
            </w:pPr>
            <w:r>
              <w:rPr>
                <w:rFonts w:ascii="Arial" w:hAnsi="Arial" w:cs="Arial"/>
                <w:b/>
                <w:bCs/>
                <w:sz w:val="18"/>
                <w:szCs w:val="18"/>
              </w:rPr>
              <w:t>25,349</w:t>
            </w:r>
          </w:p>
        </w:tc>
        <w:tc>
          <w:tcPr>
            <w:tcW w:w="236" w:type="dxa"/>
            <w:tcBorders>
              <w:top w:val="nil"/>
              <w:left w:val="nil"/>
              <w:bottom w:val="nil"/>
              <w:right w:val="nil"/>
            </w:tcBorders>
            <w:shd w:val="clear" w:color="FFFFFF" w:fill="FFFFFF"/>
            <w:noWrap/>
            <w:vAlign w:val="bottom"/>
            <w:hideMark/>
          </w:tcPr>
          <w:p w14:paraId="1F8758DF" w14:textId="77777777" w:rsidR="00A43992" w:rsidRDefault="00A43992" w:rsidP="007211E3">
            <w:pPr>
              <w:rPr>
                <w:rFonts w:ascii="Arial" w:hAnsi="Arial" w:cs="Arial"/>
                <w:sz w:val="18"/>
                <w:szCs w:val="18"/>
              </w:rPr>
            </w:pPr>
            <w:r>
              <w:rPr>
                <w:rFonts w:ascii="Arial" w:hAnsi="Arial" w:cs="Arial"/>
                <w:sz w:val="18"/>
                <w:szCs w:val="18"/>
              </w:rPr>
              <w:t> </w:t>
            </w:r>
          </w:p>
        </w:tc>
        <w:tc>
          <w:tcPr>
            <w:tcW w:w="1095" w:type="dxa"/>
            <w:tcBorders>
              <w:top w:val="nil"/>
              <w:left w:val="nil"/>
              <w:bottom w:val="nil"/>
              <w:right w:val="nil"/>
            </w:tcBorders>
            <w:shd w:val="clear" w:color="FFFFFF" w:fill="FFFFFF"/>
            <w:noWrap/>
            <w:vAlign w:val="bottom"/>
            <w:hideMark/>
          </w:tcPr>
          <w:p w14:paraId="26692B05" w14:textId="77777777" w:rsidR="00A43992" w:rsidRDefault="00A43992" w:rsidP="007211E3">
            <w:pPr>
              <w:jc w:val="right"/>
              <w:rPr>
                <w:rFonts w:ascii="Arial" w:hAnsi="Arial" w:cs="Arial"/>
                <w:sz w:val="18"/>
                <w:szCs w:val="18"/>
              </w:rPr>
            </w:pPr>
            <w:r>
              <w:rPr>
                <w:rFonts w:ascii="Arial" w:hAnsi="Arial" w:cs="Arial"/>
                <w:sz w:val="18"/>
                <w:szCs w:val="18"/>
              </w:rPr>
              <w:t>14,022</w:t>
            </w:r>
          </w:p>
        </w:tc>
        <w:tc>
          <w:tcPr>
            <w:tcW w:w="236" w:type="dxa"/>
            <w:tcBorders>
              <w:top w:val="nil"/>
              <w:left w:val="nil"/>
              <w:bottom w:val="nil"/>
              <w:right w:val="nil"/>
            </w:tcBorders>
            <w:shd w:val="clear" w:color="FFFFFF" w:fill="FFFFFF"/>
            <w:noWrap/>
            <w:vAlign w:val="bottom"/>
            <w:hideMark/>
          </w:tcPr>
          <w:p w14:paraId="2BA427A6" w14:textId="77777777" w:rsidR="00A43992" w:rsidRDefault="00A43992" w:rsidP="007211E3">
            <w:pPr>
              <w:rPr>
                <w:rFonts w:ascii="Arial" w:hAnsi="Arial" w:cs="Arial"/>
                <w:sz w:val="18"/>
                <w:szCs w:val="18"/>
              </w:rPr>
            </w:pPr>
            <w:r>
              <w:rPr>
                <w:rFonts w:ascii="Arial" w:hAnsi="Arial" w:cs="Arial"/>
                <w:sz w:val="18"/>
                <w:szCs w:val="18"/>
              </w:rPr>
              <w:t> </w:t>
            </w:r>
          </w:p>
        </w:tc>
        <w:tc>
          <w:tcPr>
            <w:tcW w:w="1069" w:type="dxa"/>
            <w:tcBorders>
              <w:top w:val="nil"/>
              <w:left w:val="nil"/>
              <w:bottom w:val="nil"/>
              <w:right w:val="nil"/>
            </w:tcBorders>
            <w:shd w:val="clear" w:color="FFFFFF" w:fill="FFFFFF"/>
            <w:noWrap/>
            <w:vAlign w:val="bottom"/>
            <w:hideMark/>
          </w:tcPr>
          <w:p w14:paraId="5391D40F" w14:textId="77777777" w:rsidR="00A43992" w:rsidRDefault="00A43992" w:rsidP="007211E3">
            <w:pPr>
              <w:jc w:val="right"/>
              <w:rPr>
                <w:rFonts w:ascii="Arial" w:hAnsi="Arial" w:cs="Arial"/>
                <w:sz w:val="18"/>
                <w:szCs w:val="18"/>
              </w:rPr>
            </w:pPr>
            <w:r>
              <w:rPr>
                <w:rFonts w:ascii="Arial" w:hAnsi="Arial" w:cs="Arial"/>
                <w:sz w:val="18"/>
                <w:szCs w:val="18"/>
              </w:rPr>
              <w:t xml:space="preserve">11,194 </w:t>
            </w:r>
          </w:p>
        </w:tc>
      </w:tr>
      <w:tr w:rsidR="00A43992" w14:paraId="1DFE135A" w14:textId="77777777" w:rsidTr="007211E3">
        <w:trPr>
          <w:trHeight w:val="255"/>
        </w:trPr>
        <w:tc>
          <w:tcPr>
            <w:tcW w:w="4280" w:type="dxa"/>
            <w:tcBorders>
              <w:top w:val="nil"/>
              <w:left w:val="nil"/>
              <w:bottom w:val="nil"/>
              <w:right w:val="nil"/>
            </w:tcBorders>
            <w:shd w:val="clear" w:color="FFFFFF" w:fill="FFFFFF"/>
            <w:vAlign w:val="bottom"/>
            <w:hideMark/>
          </w:tcPr>
          <w:p w14:paraId="227278DB" w14:textId="77777777" w:rsidR="00A43992" w:rsidRDefault="00A43992" w:rsidP="007211E3">
            <w:pPr>
              <w:ind w:firstLineChars="100" w:firstLine="180"/>
              <w:rPr>
                <w:rFonts w:ascii="Arial" w:hAnsi="Arial" w:cs="Arial"/>
                <w:sz w:val="18"/>
                <w:szCs w:val="18"/>
              </w:rPr>
            </w:pPr>
            <w:r>
              <w:rPr>
                <w:rFonts w:ascii="Arial" w:hAnsi="Arial" w:cs="Arial"/>
                <w:sz w:val="18"/>
                <w:szCs w:val="18"/>
              </w:rPr>
              <w:t>Participant plan payables</w:t>
            </w:r>
          </w:p>
        </w:tc>
        <w:tc>
          <w:tcPr>
            <w:tcW w:w="1083" w:type="dxa"/>
            <w:tcBorders>
              <w:top w:val="nil"/>
              <w:left w:val="nil"/>
              <w:bottom w:val="nil"/>
              <w:right w:val="nil"/>
            </w:tcBorders>
            <w:shd w:val="clear" w:color="FFFFFF" w:fill="FFFFFF"/>
            <w:noWrap/>
            <w:vAlign w:val="bottom"/>
            <w:hideMark/>
          </w:tcPr>
          <w:p w14:paraId="1C932F18" w14:textId="77777777" w:rsidR="00A43992" w:rsidRDefault="00A43992" w:rsidP="007211E3">
            <w:pPr>
              <w:jc w:val="center"/>
              <w:rPr>
                <w:rFonts w:ascii="Arial" w:hAnsi="Arial" w:cs="Arial"/>
                <w:sz w:val="18"/>
                <w:szCs w:val="18"/>
              </w:rPr>
            </w:pPr>
            <w:r>
              <w:rPr>
                <w:rFonts w:ascii="Arial" w:hAnsi="Arial" w:cs="Arial"/>
                <w:sz w:val="18"/>
                <w:szCs w:val="18"/>
              </w:rPr>
              <w:t>2.3B</w:t>
            </w:r>
          </w:p>
        </w:tc>
        <w:tc>
          <w:tcPr>
            <w:tcW w:w="1088" w:type="dxa"/>
            <w:tcBorders>
              <w:top w:val="nil"/>
              <w:left w:val="nil"/>
              <w:bottom w:val="nil"/>
              <w:right w:val="nil"/>
            </w:tcBorders>
            <w:shd w:val="clear" w:color="FFFFFF" w:fill="FFFFFF"/>
            <w:noWrap/>
            <w:vAlign w:val="bottom"/>
            <w:hideMark/>
          </w:tcPr>
          <w:p w14:paraId="558274C6" w14:textId="77777777" w:rsidR="00A43992" w:rsidRDefault="00A43992" w:rsidP="007211E3">
            <w:pPr>
              <w:jc w:val="right"/>
              <w:rPr>
                <w:rFonts w:ascii="Arial" w:hAnsi="Arial" w:cs="Arial"/>
                <w:b/>
                <w:bCs/>
                <w:sz w:val="18"/>
                <w:szCs w:val="18"/>
              </w:rPr>
            </w:pPr>
            <w:r>
              <w:rPr>
                <w:rFonts w:ascii="Arial" w:hAnsi="Arial" w:cs="Arial"/>
                <w:b/>
                <w:bCs/>
                <w:sz w:val="18"/>
                <w:szCs w:val="18"/>
              </w:rPr>
              <w:t>-</w:t>
            </w:r>
          </w:p>
        </w:tc>
        <w:tc>
          <w:tcPr>
            <w:tcW w:w="236" w:type="dxa"/>
            <w:tcBorders>
              <w:top w:val="nil"/>
              <w:left w:val="nil"/>
              <w:bottom w:val="nil"/>
              <w:right w:val="nil"/>
            </w:tcBorders>
            <w:shd w:val="clear" w:color="FFFFFF" w:fill="FFFFFF"/>
            <w:noWrap/>
            <w:vAlign w:val="bottom"/>
            <w:hideMark/>
          </w:tcPr>
          <w:p w14:paraId="08C6AD98" w14:textId="77777777" w:rsidR="00A43992" w:rsidRDefault="00A43992" w:rsidP="007211E3">
            <w:pPr>
              <w:rPr>
                <w:rFonts w:ascii="Arial" w:hAnsi="Arial" w:cs="Arial"/>
                <w:sz w:val="18"/>
                <w:szCs w:val="18"/>
              </w:rPr>
            </w:pPr>
            <w:r>
              <w:rPr>
                <w:rFonts w:ascii="Arial" w:hAnsi="Arial" w:cs="Arial"/>
                <w:sz w:val="18"/>
                <w:szCs w:val="18"/>
              </w:rPr>
              <w:t> </w:t>
            </w:r>
          </w:p>
        </w:tc>
        <w:tc>
          <w:tcPr>
            <w:tcW w:w="1095" w:type="dxa"/>
            <w:tcBorders>
              <w:top w:val="nil"/>
              <w:left w:val="nil"/>
              <w:bottom w:val="nil"/>
              <w:right w:val="nil"/>
            </w:tcBorders>
            <w:shd w:val="clear" w:color="FFFFFF" w:fill="FFFFFF"/>
            <w:noWrap/>
            <w:vAlign w:val="bottom"/>
            <w:hideMark/>
          </w:tcPr>
          <w:p w14:paraId="48FE55A4" w14:textId="77777777" w:rsidR="00A43992" w:rsidRDefault="00A43992" w:rsidP="007211E3">
            <w:pPr>
              <w:jc w:val="right"/>
              <w:rPr>
                <w:rFonts w:ascii="Arial" w:hAnsi="Arial" w:cs="Arial"/>
                <w:sz w:val="18"/>
                <w:szCs w:val="18"/>
              </w:rPr>
            </w:pPr>
            <w:r>
              <w:rPr>
                <w:rFonts w:ascii="Arial" w:hAnsi="Arial" w:cs="Arial"/>
                <w:sz w:val="18"/>
                <w:szCs w:val="18"/>
              </w:rPr>
              <w:t>2,632</w:t>
            </w:r>
          </w:p>
        </w:tc>
        <w:tc>
          <w:tcPr>
            <w:tcW w:w="236" w:type="dxa"/>
            <w:tcBorders>
              <w:top w:val="nil"/>
              <w:left w:val="nil"/>
              <w:bottom w:val="nil"/>
              <w:right w:val="nil"/>
            </w:tcBorders>
            <w:shd w:val="clear" w:color="FFFFFF" w:fill="FFFFFF"/>
            <w:noWrap/>
            <w:vAlign w:val="bottom"/>
            <w:hideMark/>
          </w:tcPr>
          <w:p w14:paraId="602861F9" w14:textId="77777777" w:rsidR="00A43992" w:rsidRDefault="00A43992" w:rsidP="007211E3">
            <w:pPr>
              <w:rPr>
                <w:rFonts w:ascii="Arial" w:hAnsi="Arial" w:cs="Arial"/>
                <w:sz w:val="18"/>
                <w:szCs w:val="18"/>
              </w:rPr>
            </w:pPr>
            <w:r>
              <w:rPr>
                <w:rFonts w:ascii="Arial" w:hAnsi="Arial" w:cs="Arial"/>
                <w:sz w:val="18"/>
                <w:szCs w:val="18"/>
              </w:rPr>
              <w:t> </w:t>
            </w:r>
          </w:p>
        </w:tc>
        <w:tc>
          <w:tcPr>
            <w:tcW w:w="1069" w:type="dxa"/>
            <w:tcBorders>
              <w:top w:val="nil"/>
              <w:left w:val="nil"/>
              <w:bottom w:val="nil"/>
              <w:right w:val="nil"/>
            </w:tcBorders>
            <w:shd w:val="clear" w:color="FFFFFF" w:fill="FFFFFF"/>
            <w:noWrap/>
            <w:vAlign w:val="bottom"/>
            <w:hideMark/>
          </w:tcPr>
          <w:p w14:paraId="08436ECB" w14:textId="77777777" w:rsidR="00A43992" w:rsidRDefault="00A43992" w:rsidP="007211E3">
            <w:pPr>
              <w:jc w:val="right"/>
              <w:rPr>
                <w:rFonts w:ascii="Arial" w:hAnsi="Arial" w:cs="Arial"/>
                <w:sz w:val="18"/>
                <w:szCs w:val="18"/>
              </w:rPr>
            </w:pPr>
            <w:r>
              <w:rPr>
                <w:rFonts w:ascii="Arial" w:hAnsi="Arial" w:cs="Arial"/>
                <w:sz w:val="18"/>
                <w:szCs w:val="18"/>
              </w:rPr>
              <w:t xml:space="preserve"> -</w:t>
            </w:r>
          </w:p>
        </w:tc>
      </w:tr>
      <w:tr w:rsidR="00A43992" w14:paraId="137CC467" w14:textId="77777777" w:rsidTr="007211E3">
        <w:trPr>
          <w:trHeight w:val="255"/>
        </w:trPr>
        <w:tc>
          <w:tcPr>
            <w:tcW w:w="4280" w:type="dxa"/>
            <w:tcBorders>
              <w:top w:val="nil"/>
              <w:left w:val="nil"/>
              <w:bottom w:val="nil"/>
              <w:right w:val="nil"/>
            </w:tcBorders>
            <w:shd w:val="clear" w:color="FFFFFF" w:fill="FFFFFF"/>
            <w:vAlign w:val="bottom"/>
            <w:hideMark/>
          </w:tcPr>
          <w:p w14:paraId="3739209D" w14:textId="77777777" w:rsidR="00A43992" w:rsidRDefault="00A43992" w:rsidP="007211E3">
            <w:pPr>
              <w:ind w:firstLineChars="100" w:firstLine="180"/>
              <w:rPr>
                <w:rFonts w:ascii="Arial" w:hAnsi="Arial" w:cs="Arial"/>
                <w:sz w:val="18"/>
                <w:szCs w:val="18"/>
              </w:rPr>
            </w:pPr>
            <w:r>
              <w:rPr>
                <w:rFonts w:ascii="Arial" w:hAnsi="Arial" w:cs="Arial"/>
                <w:sz w:val="18"/>
                <w:szCs w:val="18"/>
              </w:rPr>
              <w:t>Other payables</w:t>
            </w:r>
          </w:p>
        </w:tc>
        <w:tc>
          <w:tcPr>
            <w:tcW w:w="1083" w:type="dxa"/>
            <w:tcBorders>
              <w:top w:val="nil"/>
              <w:left w:val="nil"/>
              <w:bottom w:val="nil"/>
              <w:right w:val="nil"/>
            </w:tcBorders>
            <w:shd w:val="clear" w:color="FFFFFF" w:fill="FFFFFF"/>
            <w:noWrap/>
            <w:vAlign w:val="bottom"/>
            <w:hideMark/>
          </w:tcPr>
          <w:p w14:paraId="25A4F45D" w14:textId="77777777" w:rsidR="00A43992" w:rsidRDefault="00A43992" w:rsidP="007211E3">
            <w:pPr>
              <w:jc w:val="center"/>
              <w:rPr>
                <w:rFonts w:ascii="Arial" w:hAnsi="Arial" w:cs="Arial"/>
                <w:sz w:val="18"/>
                <w:szCs w:val="18"/>
              </w:rPr>
            </w:pPr>
            <w:r>
              <w:rPr>
                <w:rFonts w:ascii="Arial" w:hAnsi="Arial" w:cs="Arial"/>
                <w:sz w:val="18"/>
                <w:szCs w:val="18"/>
              </w:rPr>
              <w:t>2.3C</w:t>
            </w:r>
          </w:p>
        </w:tc>
        <w:tc>
          <w:tcPr>
            <w:tcW w:w="1088" w:type="dxa"/>
            <w:tcBorders>
              <w:top w:val="nil"/>
              <w:left w:val="nil"/>
              <w:bottom w:val="nil"/>
              <w:right w:val="nil"/>
            </w:tcBorders>
            <w:shd w:val="clear" w:color="FFFFFF" w:fill="FFFFFF"/>
            <w:noWrap/>
            <w:vAlign w:val="bottom"/>
            <w:hideMark/>
          </w:tcPr>
          <w:p w14:paraId="443F58A5" w14:textId="77777777" w:rsidR="00A43992" w:rsidRDefault="00A43992" w:rsidP="007211E3">
            <w:pPr>
              <w:jc w:val="right"/>
              <w:rPr>
                <w:rFonts w:ascii="Arial" w:hAnsi="Arial" w:cs="Arial"/>
                <w:b/>
                <w:bCs/>
                <w:sz w:val="18"/>
                <w:szCs w:val="18"/>
              </w:rPr>
            </w:pPr>
            <w:r>
              <w:rPr>
                <w:rFonts w:ascii="Arial" w:hAnsi="Arial" w:cs="Arial"/>
                <w:b/>
                <w:bCs/>
                <w:sz w:val="18"/>
                <w:szCs w:val="18"/>
              </w:rPr>
              <w:t>2,611</w:t>
            </w:r>
          </w:p>
        </w:tc>
        <w:tc>
          <w:tcPr>
            <w:tcW w:w="236" w:type="dxa"/>
            <w:tcBorders>
              <w:top w:val="nil"/>
              <w:left w:val="nil"/>
              <w:bottom w:val="nil"/>
              <w:right w:val="nil"/>
            </w:tcBorders>
            <w:shd w:val="clear" w:color="FFFFFF" w:fill="FFFFFF"/>
            <w:noWrap/>
            <w:vAlign w:val="bottom"/>
            <w:hideMark/>
          </w:tcPr>
          <w:p w14:paraId="4D388902" w14:textId="77777777" w:rsidR="00A43992" w:rsidRDefault="00A43992" w:rsidP="007211E3">
            <w:pPr>
              <w:rPr>
                <w:rFonts w:ascii="Arial" w:hAnsi="Arial" w:cs="Arial"/>
                <w:sz w:val="18"/>
                <w:szCs w:val="18"/>
              </w:rPr>
            </w:pPr>
            <w:r>
              <w:rPr>
                <w:rFonts w:ascii="Arial" w:hAnsi="Arial" w:cs="Arial"/>
                <w:sz w:val="18"/>
                <w:szCs w:val="18"/>
              </w:rPr>
              <w:t> </w:t>
            </w:r>
          </w:p>
        </w:tc>
        <w:tc>
          <w:tcPr>
            <w:tcW w:w="1095" w:type="dxa"/>
            <w:tcBorders>
              <w:top w:val="nil"/>
              <w:left w:val="nil"/>
              <w:bottom w:val="nil"/>
              <w:right w:val="nil"/>
            </w:tcBorders>
            <w:shd w:val="clear" w:color="FFFFFF" w:fill="FFFFFF"/>
            <w:noWrap/>
            <w:vAlign w:val="bottom"/>
            <w:hideMark/>
          </w:tcPr>
          <w:p w14:paraId="0CECEE1E" w14:textId="77777777" w:rsidR="00A43992" w:rsidRDefault="00A43992" w:rsidP="007211E3">
            <w:pPr>
              <w:jc w:val="right"/>
              <w:rPr>
                <w:rFonts w:ascii="Arial" w:hAnsi="Arial" w:cs="Arial"/>
                <w:sz w:val="18"/>
                <w:szCs w:val="18"/>
              </w:rPr>
            </w:pPr>
            <w:r>
              <w:rPr>
                <w:rFonts w:ascii="Arial" w:hAnsi="Arial" w:cs="Arial"/>
                <w:sz w:val="18"/>
                <w:szCs w:val="18"/>
              </w:rPr>
              <w:t>7,961</w:t>
            </w:r>
          </w:p>
        </w:tc>
        <w:tc>
          <w:tcPr>
            <w:tcW w:w="236" w:type="dxa"/>
            <w:tcBorders>
              <w:top w:val="nil"/>
              <w:left w:val="nil"/>
              <w:bottom w:val="nil"/>
              <w:right w:val="nil"/>
            </w:tcBorders>
            <w:shd w:val="clear" w:color="FFFFFF" w:fill="FFFFFF"/>
            <w:noWrap/>
            <w:vAlign w:val="bottom"/>
            <w:hideMark/>
          </w:tcPr>
          <w:p w14:paraId="7877A6F3" w14:textId="77777777" w:rsidR="00A43992" w:rsidRDefault="00A43992" w:rsidP="007211E3">
            <w:pPr>
              <w:rPr>
                <w:rFonts w:ascii="Arial" w:hAnsi="Arial" w:cs="Arial"/>
                <w:sz w:val="18"/>
                <w:szCs w:val="18"/>
              </w:rPr>
            </w:pPr>
            <w:r>
              <w:rPr>
                <w:rFonts w:ascii="Arial" w:hAnsi="Arial" w:cs="Arial"/>
                <w:sz w:val="18"/>
                <w:szCs w:val="18"/>
              </w:rPr>
              <w:t> </w:t>
            </w:r>
          </w:p>
        </w:tc>
        <w:tc>
          <w:tcPr>
            <w:tcW w:w="1069" w:type="dxa"/>
            <w:tcBorders>
              <w:top w:val="nil"/>
              <w:left w:val="nil"/>
              <w:bottom w:val="nil"/>
              <w:right w:val="nil"/>
            </w:tcBorders>
            <w:shd w:val="clear" w:color="FFFFFF" w:fill="FFFFFF"/>
            <w:noWrap/>
            <w:vAlign w:val="bottom"/>
            <w:hideMark/>
          </w:tcPr>
          <w:p w14:paraId="214C9F02" w14:textId="77777777" w:rsidR="00A43992" w:rsidRDefault="00A43992" w:rsidP="007211E3">
            <w:pPr>
              <w:jc w:val="right"/>
              <w:rPr>
                <w:rFonts w:ascii="Arial" w:hAnsi="Arial" w:cs="Arial"/>
                <w:sz w:val="18"/>
                <w:szCs w:val="18"/>
              </w:rPr>
            </w:pPr>
            <w:r>
              <w:rPr>
                <w:rFonts w:ascii="Arial" w:hAnsi="Arial" w:cs="Arial"/>
                <w:sz w:val="18"/>
                <w:szCs w:val="18"/>
              </w:rPr>
              <w:t xml:space="preserve">6,315 </w:t>
            </w:r>
          </w:p>
        </w:tc>
      </w:tr>
      <w:tr w:rsidR="00A43992" w14:paraId="231AA4D7" w14:textId="77777777" w:rsidTr="007211E3">
        <w:trPr>
          <w:trHeight w:val="255"/>
        </w:trPr>
        <w:tc>
          <w:tcPr>
            <w:tcW w:w="4280" w:type="dxa"/>
            <w:tcBorders>
              <w:top w:val="nil"/>
              <w:left w:val="nil"/>
              <w:bottom w:val="nil"/>
              <w:right w:val="nil"/>
            </w:tcBorders>
            <w:shd w:val="clear" w:color="FFFFFF" w:fill="FFFFFF"/>
            <w:vAlign w:val="bottom"/>
            <w:hideMark/>
          </w:tcPr>
          <w:p w14:paraId="3487717F" w14:textId="77777777" w:rsidR="00A43992" w:rsidRDefault="00A43992" w:rsidP="007211E3">
            <w:pPr>
              <w:rPr>
                <w:rFonts w:ascii="Arial" w:hAnsi="Arial" w:cs="Arial"/>
                <w:b/>
                <w:bCs/>
                <w:sz w:val="18"/>
                <w:szCs w:val="18"/>
              </w:rPr>
            </w:pPr>
            <w:r>
              <w:rPr>
                <w:rFonts w:ascii="Arial" w:hAnsi="Arial" w:cs="Arial"/>
                <w:b/>
                <w:bCs/>
                <w:sz w:val="18"/>
                <w:szCs w:val="18"/>
              </w:rPr>
              <w:t>Total payables</w:t>
            </w:r>
          </w:p>
        </w:tc>
        <w:tc>
          <w:tcPr>
            <w:tcW w:w="1083" w:type="dxa"/>
            <w:tcBorders>
              <w:top w:val="nil"/>
              <w:left w:val="nil"/>
              <w:bottom w:val="nil"/>
              <w:right w:val="nil"/>
            </w:tcBorders>
            <w:shd w:val="clear" w:color="FFFFFF" w:fill="FFFFFF"/>
            <w:noWrap/>
            <w:vAlign w:val="bottom"/>
            <w:hideMark/>
          </w:tcPr>
          <w:p w14:paraId="4B19D2F4" w14:textId="77777777" w:rsidR="00A43992" w:rsidRDefault="00A43992" w:rsidP="007211E3">
            <w:pPr>
              <w:jc w:val="center"/>
              <w:rPr>
                <w:rFonts w:ascii="Arial" w:hAnsi="Arial" w:cs="Arial"/>
                <w:sz w:val="18"/>
                <w:szCs w:val="18"/>
              </w:rPr>
            </w:pPr>
            <w:r>
              <w:rPr>
                <w:rFonts w:ascii="Arial" w:hAnsi="Arial" w:cs="Arial"/>
                <w:sz w:val="18"/>
                <w:szCs w:val="18"/>
              </w:rPr>
              <w:t> </w:t>
            </w:r>
          </w:p>
        </w:tc>
        <w:tc>
          <w:tcPr>
            <w:tcW w:w="1088" w:type="dxa"/>
            <w:tcBorders>
              <w:top w:val="single" w:sz="4" w:space="0" w:color="auto"/>
              <w:left w:val="nil"/>
              <w:bottom w:val="single" w:sz="4" w:space="0" w:color="auto"/>
              <w:right w:val="nil"/>
            </w:tcBorders>
            <w:shd w:val="clear" w:color="FFFFFF" w:fill="FFFFFF"/>
            <w:noWrap/>
            <w:vAlign w:val="bottom"/>
            <w:hideMark/>
          </w:tcPr>
          <w:p w14:paraId="38BEAEDC" w14:textId="77777777" w:rsidR="00A43992" w:rsidRDefault="00A43992" w:rsidP="007211E3">
            <w:pPr>
              <w:jc w:val="right"/>
              <w:rPr>
                <w:rFonts w:ascii="Arial" w:hAnsi="Arial" w:cs="Arial"/>
                <w:b/>
                <w:bCs/>
                <w:sz w:val="18"/>
                <w:szCs w:val="18"/>
              </w:rPr>
            </w:pPr>
            <w:r>
              <w:rPr>
                <w:rFonts w:ascii="Arial" w:hAnsi="Arial" w:cs="Arial"/>
                <w:b/>
                <w:bCs/>
                <w:sz w:val="18"/>
                <w:szCs w:val="18"/>
              </w:rPr>
              <w:t>27,960</w:t>
            </w:r>
          </w:p>
        </w:tc>
        <w:tc>
          <w:tcPr>
            <w:tcW w:w="236" w:type="dxa"/>
            <w:tcBorders>
              <w:top w:val="nil"/>
              <w:left w:val="nil"/>
              <w:bottom w:val="nil"/>
              <w:right w:val="nil"/>
            </w:tcBorders>
            <w:shd w:val="clear" w:color="FFFFFF" w:fill="FFFFFF"/>
            <w:noWrap/>
            <w:vAlign w:val="bottom"/>
            <w:hideMark/>
          </w:tcPr>
          <w:p w14:paraId="06470E0F" w14:textId="77777777" w:rsidR="00A43992" w:rsidRDefault="00A43992" w:rsidP="007211E3">
            <w:pPr>
              <w:rPr>
                <w:rFonts w:ascii="Arial" w:hAnsi="Arial" w:cs="Arial"/>
                <w:sz w:val="18"/>
                <w:szCs w:val="18"/>
              </w:rPr>
            </w:pPr>
            <w:r>
              <w:rPr>
                <w:rFonts w:ascii="Arial" w:hAnsi="Arial" w:cs="Arial"/>
                <w:sz w:val="18"/>
                <w:szCs w:val="18"/>
              </w:rPr>
              <w:t> </w:t>
            </w:r>
          </w:p>
        </w:tc>
        <w:tc>
          <w:tcPr>
            <w:tcW w:w="1095" w:type="dxa"/>
            <w:tcBorders>
              <w:top w:val="single" w:sz="4" w:space="0" w:color="auto"/>
              <w:left w:val="nil"/>
              <w:bottom w:val="single" w:sz="4" w:space="0" w:color="auto"/>
              <w:right w:val="nil"/>
            </w:tcBorders>
            <w:shd w:val="clear" w:color="FFFFFF" w:fill="FFFFFF"/>
            <w:noWrap/>
            <w:vAlign w:val="bottom"/>
            <w:hideMark/>
          </w:tcPr>
          <w:p w14:paraId="6EF30AA5" w14:textId="77777777" w:rsidR="00A43992" w:rsidRDefault="00A43992" w:rsidP="007211E3">
            <w:pPr>
              <w:jc w:val="right"/>
              <w:rPr>
                <w:rFonts w:ascii="Arial" w:hAnsi="Arial" w:cs="Arial"/>
                <w:sz w:val="18"/>
                <w:szCs w:val="18"/>
              </w:rPr>
            </w:pPr>
            <w:r>
              <w:rPr>
                <w:rFonts w:ascii="Arial" w:hAnsi="Arial" w:cs="Arial"/>
                <w:sz w:val="18"/>
                <w:szCs w:val="18"/>
              </w:rPr>
              <w:t>24,615</w:t>
            </w:r>
          </w:p>
        </w:tc>
        <w:tc>
          <w:tcPr>
            <w:tcW w:w="236" w:type="dxa"/>
            <w:tcBorders>
              <w:top w:val="nil"/>
              <w:left w:val="nil"/>
              <w:bottom w:val="nil"/>
              <w:right w:val="nil"/>
            </w:tcBorders>
            <w:shd w:val="clear" w:color="FFFFFF" w:fill="FFFFFF"/>
            <w:noWrap/>
            <w:vAlign w:val="bottom"/>
            <w:hideMark/>
          </w:tcPr>
          <w:p w14:paraId="7CEC5ACB" w14:textId="77777777" w:rsidR="00A43992" w:rsidRDefault="00A43992" w:rsidP="007211E3">
            <w:pPr>
              <w:rPr>
                <w:rFonts w:ascii="Arial" w:hAnsi="Arial" w:cs="Arial"/>
                <w:sz w:val="18"/>
                <w:szCs w:val="18"/>
              </w:rPr>
            </w:pPr>
            <w:r>
              <w:rPr>
                <w:rFonts w:ascii="Arial" w:hAnsi="Arial" w:cs="Arial"/>
                <w:sz w:val="18"/>
                <w:szCs w:val="18"/>
              </w:rPr>
              <w:t> </w:t>
            </w:r>
          </w:p>
        </w:tc>
        <w:tc>
          <w:tcPr>
            <w:tcW w:w="1069" w:type="dxa"/>
            <w:tcBorders>
              <w:top w:val="single" w:sz="4" w:space="0" w:color="auto"/>
              <w:left w:val="nil"/>
              <w:bottom w:val="single" w:sz="4" w:space="0" w:color="auto"/>
              <w:right w:val="nil"/>
            </w:tcBorders>
            <w:shd w:val="clear" w:color="FFFFFF" w:fill="FFFFFF"/>
            <w:noWrap/>
            <w:vAlign w:val="bottom"/>
            <w:hideMark/>
          </w:tcPr>
          <w:p w14:paraId="12640B85" w14:textId="77777777" w:rsidR="00A43992" w:rsidRDefault="00A43992" w:rsidP="007211E3">
            <w:pPr>
              <w:jc w:val="right"/>
              <w:rPr>
                <w:rFonts w:ascii="Arial" w:hAnsi="Arial" w:cs="Arial"/>
                <w:sz w:val="18"/>
                <w:szCs w:val="18"/>
              </w:rPr>
            </w:pPr>
            <w:r>
              <w:rPr>
                <w:rFonts w:ascii="Arial" w:hAnsi="Arial" w:cs="Arial"/>
                <w:sz w:val="18"/>
                <w:szCs w:val="18"/>
              </w:rPr>
              <w:t>17,509</w:t>
            </w:r>
          </w:p>
        </w:tc>
      </w:tr>
      <w:tr w:rsidR="00A43992" w14:paraId="18A0A554" w14:textId="77777777" w:rsidTr="007211E3">
        <w:trPr>
          <w:trHeight w:val="255"/>
        </w:trPr>
        <w:tc>
          <w:tcPr>
            <w:tcW w:w="4280" w:type="dxa"/>
            <w:tcBorders>
              <w:top w:val="nil"/>
              <w:left w:val="nil"/>
              <w:bottom w:val="nil"/>
              <w:right w:val="nil"/>
            </w:tcBorders>
            <w:shd w:val="clear" w:color="FFFFFF" w:fill="FFFFFF"/>
            <w:vAlign w:val="bottom"/>
            <w:hideMark/>
          </w:tcPr>
          <w:p w14:paraId="5032966F" w14:textId="77777777" w:rsidR="00A43992" w:rsidRDefault="00A43992" w:rsidP="007211E3">
            <w:pPr>
              <w:rPr>
                <w:rFonts w:ascii="Arial" w:hAnsi="Arial" w:cs="Arial"/>
                <w:sz w:val="18"/>
                <w:szCs w:val="18"/>
              </w:rPr>
            </w:pPr>
            <w:r>
              <w:rPr>
                <w:rFonts w:ascii="Arial" w:hAnsi="Arial" w:cs="Arial"/>
                <w:sz w:val="18"/>
                <w:szCs w:val="18"/>
              </w:rPr>
              <w:t> </w:t>
            </w:r>
          </w:p>
        </w:tc>
        <w:tc>
          <w:tcPr>
            <w:tcW w:w="1083" w:type="dxa"/>
            <w:tcBorders>
              <w:top w:val="nil"/>
              <w:left w:val="nil"/>
              <w:bottom w:val="nil"/>
              <w:right w:val="nil"/>
            </w:tcBorders>
            <w:shd w:val="clear" w:color="FFFFFF" w:fill="FFFFFF"/>
            <w:noWrap/>
            <w:vAlign w:val="bottom"/>
            <w:hideMark/>
          </w:tcPr>
          <w:p w14:paraId="3FC2015B" w14:textId="77777777" w:rsidR="00A43992" w:rsidRDefault="00A43992" w:rsidP="007211E3">
            <w:pPr>
              <w:jc w:val="center"/>
              <w:rPr>
                <w:rFonts w:ascii="Arial" w:hAnsi="Arial" w:cs="Arial"/>
                <w:sz w:val="18"/>
                <w:szCs w:val="18"/>
              </w:rPr>
            </w:pPr>
            <w:r>
              <w:rPr>
                <w:rFonts w:ascii="Arial" w:hAnsi="Arial" w:cs="Arial"/>
                <w:sz w:val="18"/>
                <w:szCs w:val="18"/>
              </w:rPr>
              <w:t> </w:t>
            </w:r>
          </w:p>
        </w:tc>
        <w:tc>
          <w:tcPr>
            <w:tcW w:w="1088" w:type="dxa"/>
            <w:tcBorders>
              <w:top w:val="nil"/>
              <w:left w:val="nil"/>
              <w:bottom w:val="nil"/>
              <w:right w:val="nil"/>
            </w:tcBorders>
            <w:shd w:val="clear" w:color="FFFFFF" w:fill="FFFFFF"/>
            <w:noWrap/>
            <w:vAlign w:val="bottom"/>
            <w:hideMark/>
          </w:tcPr>
          <w:p w14:paraId="10BAE285" w14:textId="77777777" w:rsidR="00A43992" w:rsidRDefault="00A43992" w:rsidP="007211E3">
            <w:pPr>
              <w:jc w:val="right"/>
              <w:rPr>
                <w:rFonts w:ascii="Arial" w:hAnsi="Arial" w:cs="Arial"/>
                <w:b/>
                <w:bCs/>
                <w:sz w:val="18"/>
                <w:szCs w:val="18"/>
              </w:rPr>
            </w:pPr>
            <w:r>
              <w:rPr>
                <w:rFonts w:ascii="Arial" w:hAnsi="Arial" w:cs="Arial"/>
                <w:b/>
                <w:bCs/>
                <w:sz w:val="18"/>
                <w:szCs w:val="18"/>
              </w:rPr>
              <w:t> </w:t>
            </w:r>
          </w:p>
        </w:tc>
        <w:tc>
          <w:tcPr>
            <w:tcW w:w="236" w:type="dxa"/>
            <w:tcBorders>
              <w:top w:val="nil"/>
              <w:left w:val="nil"/>
              <w:bottom w:val="nil"/>
              <w:right w:val="nil"/>
            </w:tcBorders>
            <w:shd w:val="clear" w:color="FFFFFF" w:fill="FFFFFF"/>
            <w:noWrap/>
            <w:vAlign w:val="bottom"/>
            <w:hideMark/>
          </w:tcPr>
          <w:p w14:paraId="6C90AF5A" w14:textId="77777777" w:rsidR="00A43992" w:rsidRDefault="00A43992" w:rsidP="007211E3">
            <w:pPr>
              <w:rPr>
                <w:rFonts w:ascii="Arial" w:hAnsi="Arial" w:cs="Arial"/>
                <w:sz w:val="18"/>
                <w:szCs w:val="18"/>
              </w:rPr>
            </w:pPr>
            <w:r>
              <w:rPr>
                <w:rFonts w:ascii="Arial" w:hAnsi="Arial" w:cs="Arial"/>
                <w:sz w:val="18"/>
                <w:szCs w:val="18"/>
              </w:rPr>
              <w:t> </w:t>
            </w:r>
          </w:p>
        </w:tc>
        <w:tc>
          <w:tcPr>
            <w:tcW w:w="1095" w:type="dxa"/>
            <w:tcBorders>
              <w:top w:val="nil"/>
              <w:left w:val="nil"/>
              <w:bottom w:val="nil"/>
              <w:right w:val="nil"/>
            </w:tcBorders>
            <w:shd w:val="clear" w:color="FFFFFF" w:fill="FFFFFF"/>
            <w:noWrap/>
            <w:vAlign w:val="bottom"/>
            <w:hideMark/>
          </w:tcPr>
          <w:p w14:paraId="05A401E4" w14:textId="77777777" w:rsidR="00A43992" w:rsidRDefault="00A43992" w:rsidP="007211E3">
            <w:pPr>
              <w:jc w:val="right"/>
              <w:rPr>
                <w:rFonts w:ascii="Arial" w:hAnsi="Arial" w:cs="Arial"/>
                <w:sz w:val="18"/>
                <w:szCs w:val="18"/>
              </w:rPr>
            </w:pPr>
            <w:r>
              <w:rPr>
                <w:rFonts w:ascii="Arial" w:hAnsi="Arial" w:cs="Arial"/>
                <w:sz w:val="18"/>
                <w:szCs w:val="18"/>
              </w:rPr>
              <w:t> </w:t>
            </w:r>
          </w:p>
        </w:tc>
        <w:tc>
          <w:tcPr>
            <w:tcW w:w="236" w:type="dxa"/>
            <w:tcBorders>
              <w:top w:val="nil"/>
              <w:left w:val="nil"/>
              <w:bottom w:val="nil"/>
              <w:right w:val="nil"/>
            </w:tcBorders>
            <w:shd w:val="clear" w:color="FFFFFF" w:fill="FFFFFF"/>
            <w:noWrap/>
            <w:vAlign w:val="bottom"/>
            <w:hideMark/>
          </w:tcPr>
          <w:p w14:paraId="7FE93468" w14:textId="77777777" w:rsidR="00A43992" w:rsidRDefault="00A43992" w:rsidP="007211E3">
            <w:pPr>
              <w:rPr>
                <w:rFonts w:ascii="Arial" w:hAnsi="Arial" w:cs="Arial"/>
                <w:sz w:val="18"/>
                <w:szCs w:val="18"/>
              </w:rPr>
            </w:pPr>
            <w:r>
              <w:rPr>
                <w:rFonts w:ascii="Arial" w:hAnsi="Arial" w:cs="Arial"/>
                <w:sz w:val="18"/>
                <w:szCs w:val="18"/>
              </w:rPr>
              <w:t> </w:t>
            </w:r>
          </w:p>
        </w:tc>
        <w:tc>
          <w:tcPr>
            <w:tcW w:w="1069" w:type="dxa"/>
            <w:tcBorders>
              <w:top w:val="nil"/>
              <w:left w:val="nil"/>
              <w:bottom w:val="nil"/>
              <w:right w:val="nil"/>
            </w:tcBorders>
            <w:shd w:val="clear" w:color="FFFFFF" w:fill="FFFFFF"/>
            <w:noWrap/>
            <w:vAlign w:val="bottom"/>
            <w:hideMark/>
          </w:tcPr>
          <w:p w14:paraId="308C7CE8" w14:textId="77777777" w:rsidR="00A43992" w:rsidRDefault="00A43992" w:rsidP="007211E3">
            <w:pPr>
              <w:jc w:val="right"/>
              <w:rPr>
                <w:rFonts w:ascii="Arial" w:hAnsi="Arial" w:cs="Arial"/>
                <w:sz w:val="18"/>
                <w:szCs w:val="18"/>
              </w:rPr>
            </w:pPr>
            <w:r>
              <w:rPr>
                <w:rFonts w:ascii="Arial" w:hAnsi="Arial" w:cs="Arial"/>
                <w:sz w:val="18"/>
                <w:szCs w:val="18"/>
              </w:rPr>
              <w:t> </w:t>
            </w:r>
          </w:p>
        </w:tc>
      </w:tr>
      <w:tr w:rsidR="00A43992" w14:paraId="25BA4ACB" w14:textId="77777777" w:rsidTr="007211E3">
        <w:trPr>
          <w:trHeight w:val="255"/>
        </w:trPr>
        <w:tc>
          <w:tcPr>
            <w:tcW w:w="4280" w:type="dxa"/>
            <w:tcBorders>
              <w:top w:val="nil"/>
              <w:left w:val="nil"/>
              <w:bottom w:val="nil"/>
              <w:right w:val="nil"/>
            </w:tcBorders>
            <w:shd w:val="clear" w:color="FFFFFF" w:fill="FFFFFF"/>
            <w:vAlign w:val="bottom"/>
            <w:hideMark/>
          </w:tcPr>
          <w:p w14:paraId="65F34135" w14:textId="77777777" w:rsidR="00A43992" w:rsidRDefault="00A43992" w:rsidP="007211E3">
            <w:pPr>
              <w:rPr>
                <w:rFonts w:ascii="Arial" w:hAnsi="Arial" w:cs="Arial"/>
                <w:b/>
                <w:bCs/>
                <w:sz w:val="18"/>
                <w:szCs w:val="18"/>
              </w:rPr>
            </w:pPr>
            <w:r>
              <w:rPr>
                <w:rFonts w:ascii="Arial" w:hAnsi="Arial" w:cs="Arial"/>
                <w:b/>
                <w:bCs/>
                <w:sz w:val="18"/>
                <w:szCs w:val="18"/>
              </w:rPr>
              <w:lastRenderedPageBreak/>
              <w:t>Provisions</w:t>
            </w:r>
          </w:p>
        </w:tc>
        <w:tc>
          <w:tcPr>
            <w:tcW w:w="1083" w:type="dxa"/>
            <w:tcBorders>
              <w:top w:val="nil"/>
              <w:left w:val="nil"/>
              <w:bottom w:val="nil"/>
              <w:right w:val="nil"/>
            </w:tcBorders>
            <w:shd w:val="clear" w:color="FFFFFF" w:fill="FFFFFF"/>
            <w:noWrap/>
            <w:vAlign w:val="bottom"/>
            <w:hideMark/>
          </w:tcPr>
          <w:p w14:paraId="40198936" w14:textId="77777777" w:rsidR="00A43992" w:rsidRDefault="00A43992" w:rsidP="007211E3">
            <w:pPr>
              <w:jc w:val="center"/>
              <w:rPr>
                <w:rFonts w:ascii="Arial" w:hAnsi="Arial" w:cs="Arial"/>
                <w:sz w:val="18"/>
                <w:szCs w:val="18"/>
              </w:rPr>
            </w:pPr>
            <w:r>
              <w:rPr>
                <w:rFonts w:ascii="Arial" w:hAnsi="Arial" w:cs="Arial"/>
                <w:sz w:val="18"/>
                <w:szCs w:val="18"/>
              </w:rPr>
              <w:t> </w:t>
            </w:r>
          </w:p>
        </w:tc>
        <w:tc>
          <w:tcPr>
            <w:tcW w:w="1088" w:type="dxa"/>
            <w:tcBorders>
              <w:top w:val="nil"/>
              <w:left w:val="nil"/>
              <w:bottom w:val="nil"/>
              <w:right w:val="nil"/>
            </w:tcBorders>
            <w:shd w:val="clear" w:color="FFFFFF" w:fill="FFFFFF"/>
            <w:noWrap/>
            <w:vAlign w:val="bottom"/>
            <w:hideMark/>
          </w:tcPr>
          <w:p w14:paraId="2EB1B93B" w14:textId="77777777" w:rsidR="00A43992" w:rsidRDefault="00A43992" w:rsidP="007211E3">
            <w:pPr>
              <w:jc w:val="right"/>
              <w:rPr>
                <w:rFonts w:ascii="Arial" w:hAnsi="Arial" w:cs="Arial"/>
                <w:b/>
                <w:bCs/>
                <w:sz w:val="18"/>
                <w:szCs w:val="18"/>
              </w:rPr>
            </w:pPr>
            <w:r>
              <w:rPr>
                <w:rFonts w:ascii="Arial" w:hAnsi="Arial" w:cs="Arial"/>
                <w:b/>
                <w:bCs/>
                <w:sz w:val="18"/>
                <w:szCs w:val="18"/>
              </w:rPr>
              <w:t> </w:t>
            </w:r>
          </w:p>
        </w:tc>
        <w:tc>
          <w:tcPr>
            <w:tcW w:w="236" w:type="dxa"/>
            <w:tcBorders>
              <w:top w:val="nil"/>
              <w:left w:val="nil"/>
              <w:bottom w:val="nil"/>
              <w:right w:val="nil"/>
            </w:tcBorders>
            <w:shd w:val="clear" w:color="FFFFFF" w:fill="FFFFFF"/>
            <w:noWrap/>
            <w:vAlign w:val="bottom"/>
            <w:hideMark/>
          </w:tcPr>
          <w:p w14:paraId="731BD363" w14:textId="77777777" w:rsidR="00A43992" w:rsidRDefault="00A43992" w:rsidP="007211E3">
            <w:pPr>
              <w:rPr>
                <w:rFonts w:ascii="Arial" w:hAnsi="Arial" w:cs="Arial"/>
                <w:sz w:val="18"/>
                <w:szCs w:val="18"/>
              </w:rPr>
            </w:pPr>
            <w:r>
              <w:rPr>
                <w:rFonts w:ascii="Arial" w:hAnsi="Arial" w:cs="Arial"/>
                <w:sz w:val="18"/>
                <w:szCs w:val="18"/>
              </w:rPr>
              <w:t> </w:t>
            </w:r>
          </w:p>
        </w:tc>
        <w:tc>
          <w:tcPr>
            <w:tcW w:w="1095" w:type="dxa"/>
            <w:tcBorders>
              <w:top w:val="nil"/>
              <w:left w:val="nil"/>
              <w:bottom w:val="nil"/>
              <w:right w:val="nil"/>
            </w:tcBorders>
            <w:shd w:val="clear" w:color="FFFFFF" w:fill="FFFFFF"/>
            <w:noWrap/>
            <w:vAlign w:val="bottom"/>
            <w:hideMark/>
          </w:tcPr>
          <w:p w14:paraId="0D897DB2" w14:textId="77777777" w:rsidR="00A43992" w:rsidRDefault="00A43992" w:rsidP="007211E3">
            <w:pPr>
              <w:jc w:val="right"/>
              <w:rPr>
                <w:rFonts w:ascii="Arial" w:hAnsi="Arial" w:cs="Arial"/>
                <w:sz w:val="18"/>
                <w:szCs w:val="18"/>
              </w:rPr>
            </w:pPr>
            <w:r>
              <w:rPr>
                <w:rFonts w:ascii="Arial" w:hAnsi="Arial" w:cs="Arial"/>
                <w:sz w:val="18"/>
                <w:szCs w:val="18"/>
              </w:rPr>
              <w:t> </w:t>
            </w:r>
          </w:p>
        </w:tc>
        <w:tc>
          <w:tcPr>
            <w:tcW w:w="236" w:type="dxa"/>
            <w:tcBorders>
              <w:top w:val="nil"/>
              <w:left w:val="nil"/>
              <w:bottom w:val="nil"/>
              <w:right w:val="nil"/>
            </w:tcBorders>
            <w:shd w:val="clear" w:color="FFFFFF" w:fill="FFFFFF"/>
            <w:noWrap/>
            <w:vAlign w:val="bottom"/>
            <w:hideMark/>
          </w:tcPr>
          <w:p w14:paraId="6EA7CB89" w14:textId="77777777" w:rsidR="00A43992" w:rsidRDefault="00A43992" w:rsidP="007211E3">
            <w:pPr>
              <w:rPr>
                <w:rFonts w:ascii="Arial" w:hAnsi="Arial" w:cs="Arial"/>
                <w:sz w:val="18"/>
                <w:szCs w:val="18"/>
              </w:rPr>
            </w:pPr>
            <w:r>
              <w:rPr>
                <w:rFonts w:ascii="Arial" w:hAnsi="Arial" w:cs="Arial"/>
                <w:sz w:val="18"/>
                <w:szCs w:val="18"/>
              </w:rPr>
              <w:t> </w:t>
            </w:r>
          </w:p>
        </w:tc>
        <w:tc>
          <w:tcPr>
            <w:tcW w:w="1069" w:type="dxa"/>
            <w:tcBorders>
              <w:top w:val="nil"/>
              <w:left w:val="nil"/>
              <w:bottom w:val="nil"/>
              <w:right w:val="nil"/>
            </w:tcBorders>
            <w:shd w:val="clear" w:color="FFFFFF" w:fill="FFFFFF"/>
            <w:noWrap/>
            <w:vAlign w:val="bottom"/>
            <w:hideMark/>
          </w:tcPr>
          <w:p w14:paraId="3638379D" w14:textId="77777777" w:rsidR="00A43992" w:rsidRDefault="00A43992" w:rsidP="007211E3">
            <w:pPr>
              <w:jc w:val="right"/>
              <w:rPr>
                <w:rFonts w:ascii="Arial" w:hAnsi="Arial" w:cs="Arial"/>
                <w:sz w:val="18"/>
                <w:szCs w:val="18"/>
              </w:rPr>
            </w:pPr>
            <w:r>
              <w:rPr>
                <w:rFonts w:ascii="Arial" w:hAnsi="Arial" w:cs="Arial"/>
                <w:sz w:val="18"/>
                <w:szCs w:val="18"/>
              </w:rPr>
              <w:t> </w:t>
            </w:r>
          </w:p>
        </w:tc>
      </w:tr>
      <w:tr w:rsidR="00A43992" w14:paraId="7A966F0F" w14:textId="77777777" w:rsidTr="007211E3">
        <w:trPr>
          <w:trHeight w:val="255"/>
        </w:trPr>
        <w:tc>
          <w:tcPr>
            <w:tcW w:w="4280" w:type="dxa"/>
            <w:tcBorders>
              <w:top w:val="nil"/>
              <w:left w:val="nil"/>
              <w:bottom w:val="nil"/>
              <w:right w:val="nil"/>
            </w:tcBorders>
            <w:shd w:val="clear" w:color="FFFFFF" w:fill="FFFFFF"/>
            <w:vAlign w:val="bottom"/>
            <w:hideMark/>
          </w:tcPr>
          <w:p w14:paraId="76D40F88" w14:textId="77777777" w:rsidR="00A43992" w:rsidRDefault="00A43992" w:rsidP="007211E3">
            <w:pPr>
              <w:ind w:firstLineChars="100" w:firstLine="180"/>
              <w:rPr>
                <w:rFonts w:ascii="Arial" w:hAnsi="Arial" w:cs="Arial"/>
                <w:sz w:val="18"/>
                <w:szCs w:val="18"/>
              </w:rPr>
            </w:pPr>
            <w:r>
              <w:rPr>
                <w:rFonts w:ascii="Arial" w:hAnsi="Arial" w:cs="Arial"/>
                <w:sz w:val="18"/>
                <w:szCs w:val="18"/>
              </w:rPr>
              <w:t>Employee provisions</w:t>
            </w:r>
          </w:p>
        </w:tc>
        <w:tc>
          <w:tcPr>
            <w:tcW w:w="1083" w:type="dxa"/>
            <w:tcBorders>
              <w:top w:val="nil"/>
              <w:left w:val="nil"/>
              <w:bottom w:val="nil"/>
              <w:right w:val="nil"/>
            </w:tcBorders>
            <w:shd w:val="clear" w:color="FFFFFF" w:fill="FFFFFF"/>
            <w:noWrap/>
            <w:vAlign w:val="bottom"/>
            <w:hideMark/>
          </w:tcPr>
          <w:p w14:paraId="4064C0AE" w14:textId="77777777" w:rsidR="00A43992" w:rsidRDefault="00A43992" w:rsidP="007211E3">
            <w:pPr>
              <w:jc w:val="center"/>
              <w:rPr>
                <w:rFonts w:ascii="Arial" w:hAnsi="Arial" w:cs="Arial"/>
                <w:sz w:val="18"/>
                <w:szCs w:val="18"/>
              </w:rPr>
            </w:pPr>
            <w:r>
              <w:rPr>
                <w:rFonts w:ascii="Arial" w:hAnsi="Arial" w:cs="Arial"/>
                <w:sz w:val="18"/>
                <w:szCs w:val="18"/>
              </w:rPr>
              <w:t>4.1A</w:t>
            </w:r>
          </w:p>
        </w:tc>
        <w:tc>
          <w:tcPr>
            <w:tcW w:w="1088" w:type="dxa"/>
            <w:tcBorders>
              <w:top w:val="nil"/>
              <w:left w:val="nil"/>
              <w:bottom w:val="nil"/>
              <w:right w:val="nil"/>
            </w:tcBorders>
            <w:shd w:val="clear" w:color="FFFFFF" w:fill="FFFFFF"/>
            <w:noWrap/>
            <w:vAlign w:val="bottom"/>
            <w:hideMark/>
          </w:tcPr>
          <w:p w14:paraId="744098D1" w14:textId="77777777" w:rsidR="00A43992" w:rsidRDefault="00A43992" w:rsidP="007211E3">
            <w:pPr>
              <w:jc w:val="right"/>
              <w:rPr>
                <w:rFonts w:ascii="Arial" w:hAnsi="Arial" w:cs="Arial"/>
                <w:b/>
                <w:bCs/>
                <w:sz w:val="18"/>
                <w:szCs w:val="18"/>
              </w:rPr>
            </w:pPr>
            <w:r>
              <w:rPr>
                <w:rFonts w:ascii="Arial" w:hAnsi="Arial" w:cs="Arial"/>
                <w:b/>
                <w:bCs/>
                <w:sz w:val="18"/>
                <w:szCs w:val="18"/>
              </w:rPr>
              <w:t>24,160</w:t>
            </w:r>
          </w:p>
        </w:tc>
        <w:tc>
          <w:tcPr>
            <w:tcW w:w="236" w:type="dxa"/>
            <w:tcBorders>
              <w:top w:val="nil"/>
              <w:left w:val="nil"/>
              <w:bottom w:val="nil"/>
              <w:right w:val="nil"/>
            </w:tcBorders>
            <w:shd w:val="clear" w:color="FFFFFF" w:fill="FFFFFF"/>
            <w:noWrap/>
            <w:vAlign w:val="bottom"/>
            <w:hideMark/>
          </w:tcPr>
          <w:p w14:paraId="6D33804F" w14:textId="77777777" w:rsidR="00A43992" w:rsidRDefault="00A43992" w:rsidP="007211E3">
            <w:pPr>
              <w:rPr>
                <w:rFonts w:ascii="Arial" w:hAnsi="Arial" w:cs="Arial"/>
                <w:sz w:val="18"/>
                <w:szCs w:val="18"/>
              </w:rPr>
            </w:pPr>
            <w:r>
              <w:rPr>
                <w:rFonts w:ascii="Arial" w:hAnsi="Arial" w:cs="Arial"/>
                <w:sz w:val="18"/>
                <w:szCs w:val="18"/>
              </w:rPr>
              <w:t> </w:t>
            </w:r>
          </w:p>
        </w:tc>
        <w:tc>
          <w:tcPr>
            <w:tcW w:w="1095" w:type="dxa"/>
            <w:tcBorders>
              <w:top w:val="nil"/>
              <w:left w:val="nil"/>
              <w:bottom w:val="nil"/>
              <w:right w:val="nil"/>
            </w:tcBorders>
            <w:shd w:val="clear" w:color="FFFFFF" w:fill="FFFFFF"/>
            <w:noWrap/>
            <w:vAlign w:val="bottom"/>
            <w:hideMark/>
          </w:tcPr>
          <w:p w14:paraId="6BCE5699" w14:textId="77777777" w:rsidR="00A43992" w:rsidRDefault="00A43992" w:rsidP="007211E3">
            <w:pPr>
              <w:jc w:val="right"/>
              <w:rPr>
                <w:rFonts w:ascii="Arial" w:hAnsi="Arial" w:cs="Arial"/>
                <w:sz w:val="18"/>
                <w:szCs w:val="18"/>
              </w:rPr>
            </w:pPr>
            <w:r>
              <w:rPr>
                <w:rFonts w:ascii="Arial" w:hAnsi="Arial" w:cs="Arial"/>
                <w:sz w:val="18"/>
                <w:szCs w:val="18"/>
              </w:rPr>
              <w:t>15,512</w:t>
            </w:r>
          </w:p>
        </w:tc>
        <w:tc>
          <w:tcPr>
            <w:tcW w:w="236" w:type="dxa"/>
            <w:tcBorders>
              <w:top w:val="nil"/>
              <w:left w:val="nil"/>
              <w:bottom w:val="nil"/>
              <w:right w:val="nil"/>
            </w:tcBorders>
            <w:shd w:val="clear" w:color="FFFFFF" w:fill="FFFFFF"/>
            <w:noWrap/>
            <w:vAlign w:val="bottom"/>
            <w:hideMark/>
          </w:tcPr>
          <w:p w14:paraId="65DD2E2E" w14:textId="77777777" w:rsidR="00A43992" w:rsidRDefault="00A43992" w:rsidP="007211E3">
            <w:pPr>
              <w:rPr>
                <w:rFonts w:ascii="Arial" w:hAnsi="Arial" w:cs="Arial"/>
                <w:sz w:val="18"/>
                <w:szCs w:val="18"/>
              </w:rPr>
            </w:pPr>
            <w:r>
              <w:rPr>
                <w:rFonts w:ascii="Arial" w:hAnsi="Arial" w:cs="Arial"/>
                <w:sz w:val="18"/>
                <w:szCs w:val="18"/>
              </w:rPr>
              <w:t> </w:t>
            </w:r>
          </w:p>
        </w:tc>
        <w:tc>
          <w:tcPr>
            <w:tcW w:w="1069" w:type="dxa"/>
            <w:tcBorders>
              <w:top w:val="nil"/>
              <w:left w:val="nil"/>
              <w:bottom w:val="nil"/>
              <w:right w:val="nil"/>
            </w:tcBorders>
            <w:shd w:val="clear" w:color="FFFFFF" w:fill="FFFFFF"/>
            <w:noWrap/>
            <w:vAlign w:val="bottom"/>
            <w:hideMark/>
          </w:tcPr>
          <w:p w14:paraId="71418BA0" w14:textId="77777777" w:rsidR="00A43992" w:rsidRDefault="00A43992" w:rsidP="007211E3">
            <w:pPr>
              <w:jc w:val="right"/>
              <w:rPr>
                <w:rFonts w:ascii="Arial" w:hAnsi="Arial" w:cs="Arial"/>
                <w:sz w:val="18"/>
                <w:szCs w:val="18"/>
              </w:rPr>
            </w:pPr>
            <w:r>
              <w:rPr>
                <w:rFonts w:ascii="Arial" w:hAnsi="Arial" w:cs="Arial"/>
                <w:sz w:val="18"/>
                <w:szCs w:val="18"/>
              </w:rPr>
              <w:t xml:space="preserve">18,065 </w:t>
            </w:r>
          </w:p>
        </w:tc>
      </w:tr>
      <w:tr w:rsidR="00A43992" w14:paraId="272354DC" w14:textId="77777777" w:rsidTr="007211E3">
        <w:trPr>
          <w:trHeight w:val="255"/>
        </w:trPr>
        <w:tc>
          <w:tcPr>
            <w:tcW w:w="4280" w:type="dxa"/>
            <w:tcBorders>
              <w:top w:val="nil"/>
              <w:left w:val="nil"/>
              <w:bottom w:val="nil"/>
              <w:right w:val="nil"/>
            </w:tcBorders>
            <w:shd w:val="clear" w:color="FFFFFF" w:fill="FFFFFF"/>
            <w:vAlign w:val="bottom"/>
            <w:hideMark/>
          </w:tcPr>
          <w:p w14:paraId="782F8F0D" w14:textId="77777777" w:rsidR="00A43992" w:rsidRDefault="00A43992" w:rsidP="007211E3">
            <w:pPr>
              <w:ind w:firstLineChars="100" w:firstLine="180"/>
              <w:rPr>
                <w:rFonts w:ascii="Arial" w:hAnsi="Arial" w:cs="Arial"/>
                <w:sz w:val="18"/>
                <w:szCs w:val="18"/>
              </w:rPr>
            </w:pPr>
            <w:r>
              <w:rPr>
                <w:rFonts w:ascii="Arial" w:hAnsi="Arial" w:cs="Arial"/>
                <w:sz w:val="18"/>
                <w:szCs w:val="18"/>
              </w:rPr>
              <w:t>Participant plan provisions</w:t>
            </w:r>
          </w:p>
        </w:tc>
        <w:tc>
          <w:tcPr>
            <w:tcW w:w="1083" w:type="dxa"/>
            <w:tcBorders>
              <w:top w:val="nil"/>
              <w:left w:val="nil"/>
              <w:bottom w:val="nil"/>
              <w:right w:val="nil"/>
            </w:tcBorders>
            <w:shd w:val="clear" w:color="FFFFFF" w:fill="FFFFFF"/>
            <w:noWrap/>
            <w:vAlign w:val="bottom"/>
            <w:hideMark/>
          </w:tcPr>
          <w:p w14:paraId="538FE89F" w14:textId="77777777" w:rsidR="00A43992" w:rsidRDefault="00A43992" w:rsidP="007211E3">
            <w:pPr>
              <w:jc w:val="center"/>
              <w:rPr>
                <w:rFonts w:ascii="Arial" w:hAnsi="Arial" w:cs="Arial"/>
                <w:sz w:val="18"/>
                <w:szCs w:val="18"/>
              </w:rPr>
            </w:pPr>
            <w:r>
              <w:rPr>
                <w:rFonts w:ascii="Arial" w:hAnsi="Arial" w:cs="Arial"/>
                <w:sz w:val="18"/>
                <w:szCs w:val="18"/>
              </w:rPr>
              <w:t>2.4A</w:t>
            </w:r>
          </w:p>
        </w:tc>
        <w:tc>
          <w:tcPr>
            <w:tcW w:w="1088" w:type="dxa"/>
            <w:tcBorders>
              <w:top w:val="nil"/>
              <w:left w:val="nil"/>
              <w:bottom w:val="nil"/>
              <w:right w:val="nil"/>
            </w:tcBorders>
            <w:shd w:val="clear" w:color="FFFFFF" w:fill="FFFFFF"/>
            <w:noWrap/>
            <w:vAlign w:val="bottom"/>
            <w:hideMark/>
          </w:tcPr>
          <w:p w14:paraId="52DC0230" w14:textId="77777777" w:rsidR="00A43992" w:rsidRPr="00267088" w:rsidRDefault="00A43992" w:rsidP="007211E3">
            <w:pPr>
              <w:jc w:val="right"/>
              <w:rPr>
                <w:rFonts w:ascii="Arial" w:hAnsi="Arial" w:cs="Arial"/>
                <w:b/>
                <w:bCs/>
                <w:sz w:val="18"/>
                <w:szCs w:val="18"/>
              </w:rPr>
            </w:pPr>
            <w:r w:rsidRPr="00267088">
              <w:rPr>
                <w:rFonts w:ascii="Arial" w:hAnsi="Arial" w:cs="Arial"/>
                <w:b/>
                <w:bCs/>
                <w:sz w:val="18"/>
                <w:szCs w:val="18"/>
              </w:rPr>
              <w:t>215,852</w:t>
            </w:r>
          </w:p>
        </w:tc>
        <w:tc>
          <w:tcPr>
            <w:tcW w:w="236" w:type="dxa"/>
            <w:tcBorders>
              <w:top w:val="nil"/>
              <w:left w:val="nil"/>
              <w:bottom w:val="nil"/>
              <w:right w:val="nil"/>
            </w:tcBorders>
            <w:shd w:val="clear" w:color="FFFFFF" w:fill="FFFFFF"/>
            <w:noWrap/>
            <w:vAlign w:val="bottom"/>
            <w:hideMark/>
          </w:tcPr>
          <w:p w14:paraId="5D4CD0E4" w14:textId="77777777" w:rsidR="00A43992" w:rsidRDefault="00A43992" w:rsidP="007211E3">
            <w:pPr>
              <w:rPr>
                <w:rFonts w:ascii="Arial" w:hAnsi="Arial" w:cs="Arial"/>
                <w:sz w:val="18"/>
                <w:szCs w:val="18"/>
              </w:rPr>
            </w:pPr>
            <w:r>
              <w:rPr>
                <w:rFonts w:ascii="Arial" w:hAnsi="Arial" w:cs="Arial"/>
                <w:sz w:val="18"/>
                <w:szCs w:val="18"/>
              </w:rPr>
              <w:t> </w:t>
            </w:r>
          </w:p>
        </w:tc>
        <w:tc>
          <w:tcPr>
            <w:tcW w:w="1095" w:type="dxa"/>
            <w:tcBorders>
              <w:top w:val="nil"/>
              <w:left w:val="nil"/>
              <w:bottom w:val="nil"/>
              <w:right w:val="nil"/>
            </w:tcBorders>
            <w:shd w:val="clear" w:color="FFFFFF" w:fill="FFFFFF"/>
            <w:noWrap/>
            <w:vAlign w:val="bottom"/>
            <w:hideMark/>
          </w:tcPr>
          <w:p w14:paraId="66F6926B" w14:textId="77777777" w:rsidR="00A43992" w:rsidRDefault="00A43992" w:rsidP="007211E3">
            <w:pPr>
              <w:jc w:val="right"/>
              <w:rPr>
                <w:rFonts w:ascii="Arial" w:hAnsi="Arial" w:cs="Arial"/>
                <w:sz w:val="18"/>
                <w:szCs w:val="18"/>
              </w:rPr>
            </w:pPr>
            <w:r>
              <w:rPr>
                <w:rFonts w:ascii="Arial" w:hAnsi="Arial" w:cs="Arial"/>
                <w:sz w:val="18"/>
                <w:szCs w:val="18"/>
              </w:rPr>
              <w:t>163,088</w:t>
            </w:r>
          </w:p>
        </w:tc>
        <w:tc>
          <w:tcPr>
            <w:tcW w:w="236" w:type="dxa"/>
            <w:tcBorders>
              <w:top w:val="nil"/>
              <w:left w:val="nil"/>
              <w:bottom w:val="nil"/>
              <w:right w:val="nil"/>
            </w:tcBorders>
            <w:shd w:val="clear" w:color="FFFFFF" w:fill="FFFFFF"/>
            <w:noWrap/>
            <w:vAlign w:val="bottom"/>
            <w:hideMark/>
          </w:tcPr>
          <w:p w14:paraId="1C5BF9AD" w14:textId="77777777" w:rsidR="00A43992" w:rsidRDefault="00A43992" w:rsidP="007211E3">
            <w:pPr>
              <w:rPr>
                <w:rFonts w:ascii="Arial" w:hAnsi="Arial" w:cs="Arial"/>
                <w:sz w:val="18"/>
                <w:szCs w:val="18"/>
              </w:rPr>
            </w:pPr>
            <w:r>
              <w:rPr>
                <w:rFonts w:ascii="Arial" w:hAnsi="Arial" w:cs="Arial"/>
                <w:sz w:val="18"/>
                <w:szCs w:val="18"/>
              </w:rPr>
              <w:t> </w:t>
            </w:r>
          </w:p>
        </w:tc>
        <w:tc>
          <w:tcPr>
            <w:tcW w:w="1069" w:type="dxa"/>
            <w:tcBorders>
              <w:top w:val="nil"/>
              <w:left w:val="nil"/>
              <w:bottom w:val="nil"/>
              <w:right w:val="nil"/>
            </w:tcBorders>
            <w:shd w:val="clear" w:color="FFFFFF" w:fill="FFFFFF"/>
            <w:noWrap/>
            <w:vAlign w:val="bottom"/>
            <w:hideMark/>
          </w:tcPr>
          <w:p w14:paraId="0F861D6B" w14:textId="77777777" w:rsidR="00A43992" w:rsidRDefault="00A43992" w:rsidP="007211E3">
            <w:pPr>
              <w:jc w:val="right"/>
              <w:rPr>
                <w:rFonts w:ascii="Arial" w:hAnsi="Arial" w:cs="Arial"/>
                <w:sz w:val="18"/>
                <w:szCs w:val="18"/>
              </w:rPr>
            </w:pPr>
            <w:r>
              <w:rPr>
                <w:rFonts w:ascii="Arial" w:hAnsi="Arial" w:cs="Arial"/>
                <w:sz w:val="18"/>
                <w:szCs w:val="18"/>
              </w:rPr>
              <w:t xml:space="preserve">100,473 </w:t>
            </w:r>
          </w:p>
        </w:tc>
      </w:tr>
      <w:tr w:rsidR="00A43992" w14:paraId="63CB498C" w14:textId="77777777" w:rsidTr="007211E3">
        <w:trPr>
          <w:trHeight w:val="255"/>
        </w:trPr>
        <w:tc>
          <w:tcPr>
            <w:tcW w:w="4280" w:type="dxa"/>
            <w:tcBorders>
              <w:top w:val="nil"/>
              <w:left w:val="nil"/>
              <w:bottom w:val="nil"/>
              <w:right w:val="nil"/>
            </w:tcBorders>
            <w:shd w:val="clear" w:color="FFFFFF" w:fill="FFFFFF"/>
            <w:vAlign w:val="bottom"/>
            <w:hideMark/>
          </w:tcPr>
          <w:p w14:paraId="117B3E3D" w14:textId="77777777" w:rsidR="00A43992" w:rsidRDefault="00A43992" w:rsidP="007211E3">
            <w:pPr>
              <w:ind w:firstLineChars="100" w:firstLine="180"/>
              <w:rPr>
                <w:rFonts w:ascii="Arial" w:hAnsi="Arial" w:cs="Arial"/>
                <w:sz w:val="18"/>
                <w:szCs w:val="18"/>
              </w:rPr>
            </w:pPr>
            <w:r>
              <w:rPr>
                <w:rFonts w:ascii="Arial" w:hAnsi="Arial" w:cs="Arial"/>
                <w:sz w:val="18"/>
                <w:szCs w:val="18"/>
              </w:rPr>
              <w:t>Other provisions</w:t>
            </w:r>
          </w:p>
        </w:tc>
        <w:tc>
          <w:tcPr>
            <w:tcW w:w="1083" w:type="dxa"/>
            <w:tcBorders>
              <w:top w:val="nil"/>
              <w:left w:val="nil"/>
              <w:bottom w:val="nil"/>
              <w:right w:val="nil"/>
            </w:tcBorders>
            <w:shd w:val="clear" w:color="FFFFFF" w:fill="FFFFFF"/>
            <w:noWrap/>
            <w:vAlign w:val="bottom"/>
            <w:hideMark/>
          </w:tcPr>
          <w:p w14:paraId="400F541F" w14:textId="77777777" w:rsidR="00A43992" w:rsidRDefault="00A43992" w:rsidP="007211E3">
            <w:pPr>
              <w:jc w:val="center"/>
              <w:rPr>
                <w:rFonts w:ascii="Arial" w:hAnsi="Arial" w:cs="Arial"/>
                <w:sz w:val="18"/>
                <w:szCs w:val="18"/>
              </w:rPr>
            </w:pPr>
            <w:r>
              <w:rPr>
                <w:rFonts w:ascii="Arial" w:hAnsi="Arial" w:cs="Arial"/>
                <w:sz w:val="18"/>
                <w:szCs w:val="18"/>
              </w:rPr>
              <w:t>2.4B</w:t>
            </w:r>
          </w:p>
        </w:tc>
        <w:tc>
          <w:tcPr>
            <w:tcW w:w="1088" w:type="dxa"/>
            <w:tcBorders>
              <w:top w:val="nil"/>
              <w:left w:val="nil"/>
              <w:bottom w:val="nil"/>
              <w:right w:val="nil"/>
            </w:tcBorders>
            <w:shd w:val="clear" w:color="FFFFFF" w:fill="FFFFFF"/>
            <w:noWrap/>
            <w:vAlign w:val="bottom"/>
            <w:hideMark/>
          </w:tcPr>
          <w:p w14:paraId="271AF850" w14:textId="77777777" w:rsidR="00A43992" w:rsidRPr="00267088" w:rsidRDefault="00A43992" w:rsidP="007211E3">
            <w:pPr>
              <w:jc w:val="right"/>
              <w:rPr>
                <w:rFonts w:ascii="Arial" w:hAnsi="Arial" w:cs="Arial"/>
                <w:b/>
                <w:bCs/>
                <w:sz w:val="18"/>
                <w:szCs w:val="18"/>
              </w:rPr>
            </w:pPr>
            <w:r w:rsidRPr="00267088">
              <w:rPr>
                <w:rFonts w:ascii="Arial" w:hAnsi="Arial" w:cs="Arial"/>
                <w:b/>
                <w:bCs/>
                <w:sz w:val="18"/>
                <w:szCs w:val="18"/>
              </w:rPr>
              <w:t>2,735</w:t>
            </w:r>
          </w:p>
        </w:tc>
        <w:tc>
          <w:tcPr>
            <w:tcW w:w="236" w:type="dxa"/>
            <w:tcBorders>
              <w:top w:val="nil"/>
              <w:left w:val="nil"/>
              <w:bottom w:val="nil"/>
              <w:right w:val="nil"/>
            </w:tcBorders>
            <w:shd w:val="clear" w:color="FFFFFF" w:fill="FFFFFF"/>
            <w:noWrap/>
            <w:vAlign w:val="bottom"/>
            <w:hideMark/>
          </w:tcPr>
          <w:p w14:paraId="50B4E0BD" w14:textId="77777777" w:rsidR="00A43992" w:rsidRDefault="00A43992" w:rsidP="007211E3">
            <w:pPr>
              <w:rPr>
                <w:rFonts w:ascii="Arial" w:hAnsi="Arial" w:cs="Arial"/>
                <w:sz w:val="18"/>
                <w:szCs w:val="18"/>
              </w:rPr>
            </w:pPr>
            <w:r>
              <w:rPr>
                <w:rFonts w:ascii="Arial" w:hAnsi="Arial" w:cs="Arial"/>
                <w:sz w:val="18"/>
                <w:szCs w:val="18"/>
              </w:rPr>
              <w:t> </w:t>
            </w:r>
          </w:p>
        </w:tc>
        <w:tc>
          <w:tcPr>
            <w:tcW w:w="1095" w:type="dxa"/>
            <w:tcBorders>
              <w:top w:val="nil"/>
              <w:left w:val="nil"/>
              <w:bottom w:val="nil"/>
              <w:right w:val="nil"/>
            </w:tcBorders>
            <w:shd w:val="clear" w:color="FFFFFF" w:fill="FFFFFF"/>
            <w:noWrap/>
            <w:vAlign w:val="bottom"/>
            <w:hideMark/>
          </w:tcPr>
          <w:p w14:paraId="461E9E08" w14:textId="77777777" w:rsidR="00A43992" w:rsidRDefault="00A43992" w:rsidP="007211E3">
            <w:pPr>
              <w:jc w:val="right"/>
              <w:rPr>
                <w:rFonts w:ascii="Arial" w:hAnsi="Arial" w:cs="Arial"/>
                <w:sz w:val="18"/>
                <w:szCs w:val="18"/>
              </w:rPr>
            </w:pPr>
            <w:r>
              <w:rPr>
                <w:rFonts w:ascii="Arial" w:hAnsi="Arial" w:cs="Arial"/>
                <w:sz w:val="18"/>
                <w:szCs w:val="18"/>
              </w:rPr>
              <w:t>2,642</w:t>
            </w:r>
          </w:p>
        </w:tc>
        <w:tc>
          <w:tcPr>
            <w:tcW w:w="236" w:type="dxa"/>
            <w:tcBorders>
              <w:top w:val="nil"/>
              <w:left w:val="nil"/>
              <w:bottom w:val="nil"/>
              <w:right w:val="nil"/>
            </w:tcBorders>
            <w:shd w:val="clear" w:color="FFFFFF" w:fill="FFFFFF"/>
            <w:noWrap/>
            <w:vAlign w:val="bottom"/>
            <w:hideMark/>
          </w:tcPr>
          <w:p w14:paraId="1FA17DE9" w14:textId="77777777" w:rsidR="00A43992" w:rsidRDefault="00A43992" w:rsidP="007211E3">
            <w:pPr>
              <w:rPr>
                <w:rFonts w:ascii="Arial" w:hAnsi="Arial" w:cs="Arial"/>
                <w:sz w:val="18"/>
                <w:szCs w:val="18"/>
              </w:rPr>
            </w:pPr>
            <w:r>
              <w:rPr>
                <w:rFonts w:ascii="Arial" w:hAnsi="Arial" w:cs="Arial"/>
                <w:sz w:val="18"/>
                <w:szCs w:val="18"/>
              </w:rPr>
              <w:t> </w:t>
            </w:r>
          </w:p>
        </w:tc>
        <w:tc>
          <w:tcPr>
            <w:tcW w:w="1069" w:type="dxa"/>
            <w:tcBorders>
              <w:top w:val="nil"/>
              <w:left w:val="nil"/>
              <w:bottom w:val="nil"/>
              <w:right w:val="nil"/>
            </w:tcBorders>
            <w:shd w:val="clear" w:color="FFFFFF" w:fill="FFFFFF"/>
            <w:noWrap/>
            <w:vAlign w:val="bottom"/>
            <w:hideMark/>
          </w:tcPr>
          <w:p w14:paraId="116827CB" w14:textId="77777777" w:rsidR="00A43992" w:rsidRDefault="00A43992" w:rsidP="007211E3">
            <w:pPr>
              <w:jc w:val="right"/>
              <w:rPr>
                <w:rFonts w:ascii="Arial" w:hAnsi="Arial" w:cs="Arial"/>
                <w:sz w:val="18"/>
                <w:szCs w:val="18"/>
              </w:rPr>
            </w:pPr>
            <w:r>
              <w:rPr>
                <w:rFonts w:ascii="Arial" w:hAnsi="Arial" w:cs="Arial"/>
                <w:sz w:val="18"/>
                <w:szCs w:val="18"/>
              </w:rPr>
              <w:t xml:space="preserve">2,186 </w:t>
            </w:r>
          </w:p>
        </w:tc>
      </w:tr>
      <w:tr w:rsidR="00A43992" w14:paraId="11117618" w14:textId="77777777" w:rsidTr="007211E3">
        <w:trPr>
          <w:trHeight w:val="255"/>
        </w:trPr>
        <w:tc>
          <w:tcPr>
            <w:tcW w:w="4280" w:type="dxa"/>
            <w:tcBorders>
              <w:top w:val="nil"/>
              <w:left w:val="nil"/>
              <w:bottom w:val="nil"/>
              <w:right w:val="nil"/>
            </w:tcBorders>
            <w:shd w:val="clear" w:color="FFFFFF" w:fill="FFFFFF"/>
            <w:vAlign w:val="bottom"/>
            <w:hideMark/>
          </w:tcPr>
          <w:p w14:paraId="08D15F8C" w14:textId="77777777" w:rsidR="00A43992" w:rsidRDefault="00A43992" w:rsidP="007211E3">
            <w:pPr>
              <w:rPr>
                <w:rFonts w:ascii="Arial" w:hAnsi="Arial" w:cs="Arial"/>
                <w:b/>
                <w:bCs/>
                <w:sz w:val="18"/>
                <w:szCs w:val="18"/>
              </w:rPr>
            </w:pPr>
            <w:r>
              <w:rPr>
                <w:rFonts w:ascii="Arial" w:hAnsi="Arial" w:cs="Arial"/>
                <w:b/>
                <w:bCs/>
                <w:sz w:val="18"/>
                <w:szCs w:val="18"/>
              </w:rPr>
              <w:t>Total provisions</w:t>
            </w:r>
          </w:p>
        </w:tc>
        <w:tc>
          <w:tcPr>
            <w:tcW w:w="1083" w:type="dxa"/>
            <w:tcBorders>
              <w:top w:val="nil"/>
              <w:left w:val="nil"/>
              <w:bottom w:val="nil"/>
              <w:right w:val="nil"/>
            </w:tcBorders>
            <w:shd w:val="clear" w:color="FFFFFF" w:fill="FFFFFF"/>
            <w:noWrap/>
            <w:vAlign w:val="bottom"/>
            <w:hideMark/>
          </w:tcPr>
          <w:p w14:paraId="634B2F9C" w14:textId="77777777" w:rsidR="00A43992" w:rsidRDefault="00A43992" w:rsidP="007211E3">
            <w:pPr>
              <w:jc w:val="center"/>
              <w:rPr>
                <w:rFonts w:ascii="Arial" w:hAnsi="Arial" w:cs="Arial"/>
                <w:sz w:val="18"/>
                <w:szCs w:val="18"/>
              </w:rPr>
            </w:pPr>
            <w:r>
              <w:rPr>
                <w:rFonts w:ascii="Arial" w:hAnsi="Arial" w:cs="Arial"/>
                <w:sz w:val="18"/>
                <w:szCs w:val="18"/>
              </w:rPr>
              <w:t> </w:t>
            </w:r>
          </w:p>
        </w:tc>
        <w:tc>
          <w:tcPr>
            <w:tcW w:w="1088" w:type="dxa"/>
            <w:tcBorders>
              <w:top w:val="single" w:sz="4" w:space="0" w:color="auto"/>
              <w:left w:val="nil"/>
              <w:bottom w:val="single" w:sz="4" w:space="0" w:color="auto"/>
              <w:right w:val="nil"/>
            </w:tcBorders>
            <w:shd w:val="clear" w:color="FFFFFF" w:fill="FFFFFF"/>
            <w:noWrap/>
            <w:vAlign w:val="bottom"/>
            <w:hideMark/>
          </w:tcPr>
          <w:p w14:paraId="566E64E3" w14:textId="77777777" w:rsidR="00A43992" w:rsidRPr="00267088" w:rsidRDefault="00A43992" w:rsidP="007211E3">
            <w:pPr>
              <w:jc w:val="right"/>
              <w:rPr>
                <w:rFonts w:ascii="Arial" w:hAnsi="Arial" w:cs="Arial"/>
                <w:b/>
                <w:bCs/>
                <w:sz w:val="18"/>
                <w:szCs w:val="18"/>
              </w:rPr>
            </w:pPr>
            <w:r w:rsidRPr="00267088">
              <w:rPr>
                <w:rFonts w:ascii="Arial" w:hAnsi="Arial" w:cs="Arial"/>
                <w:b/>
                <w:bCs/>
                <w:sz w:val="18"/>
                <w:szCs w:val="18"/>
              </w:rPr>
              <w:t>242,747</w:t>
            </w:r>
          </w:p>
        </w:tc>
        <w:tc>
          <w:tcPr>
            <w:tcW w:w="236" w:type="dxa"/>
            <w:tcBorders>
              <w:top w:val="nil"/>
              <w:left w:val="nil"/>
              <w:bottom w:val="nil"/>
              <w:right w:val="nil"/>
            </w:tcBorders>
            <w:shd w:val="clear" w:color="FFFFFF" w:fill="FFFFFF"/>
            <w:noWrap/>
            <w:vAlign w:val="bottom"/>
            <w:hideMark/>
          </w:tcPr>
          <w:p w14:paraId="642143E9" w14:textId="77777777" w:rsidR="00A43992" w:rsidRDefault="00A43992" w:rsidP="007211E3">
            <w:pPr>
              <w:rPr>
                <w:rFonts w:ascii="Arial" w:hAnsi="Arial" w:cs="Arial"/>
                <w:sz w:val="18"/>
                <w:szCs w:val="18"/>
              </w:rPr>
            </w:pPr>
            <w:r>
              <w:rPr>
                <w:rFonts w:ascii="Arial" w:hAnsi="Arial" w:cs="Arial"/>
                <w:sz w:val="18"/>
                <w:szCs w:val="18"/>
              </w:rPr>
              <w:t> </w:t>
            </w:r>
          </w:p>
        </w:tc>
        <w:tc>
          <w:tcPr>
            <w:tcW w:w="1095" w:type="dxa"/>
            <w:tcBorders>
              <w:top w:val="single" w:sz="4" w:space="0" w:color="auto"/>
              <w:left w:val="nil"/>
              <w:bottom w:val="single" w:sz="4" w:space="0" w:color="auto"/>
              <w:right w:val="nil"/>
            </w:tcBorders>
            <w:shd w:val="clear" w:color="FFFFFF" w:fill="FFFFFF"/>
            <w:noWrap/>
            <w:vAlign w:val="bottom"/>
            <w:hideMark/>
          </w:tcPr>
          <w:p w14:paraId="6B372D9D" w14:textId="77777777" w:rsidR="00A43992" w:rsidRDefault="00A43992" w:rsidP="007211E3">
            <w:pPr>
              <w:jc w:val="right"/>
              <w:rPr>
                <w:rFonts w:ascii="Arial" w:hAnsi="Arial" w:cs="Arial"/>
                <w:sz w:val="18"/>
                <w:szCs w:val="18"/>
              </w:rPr>
            </w:pPr>
            <w:r>
              <w:rPr>
                <w:rFonts w:ascii="Arial" w:hAnsi="Arial" w:cs="Arial"/>
                <w:sz w:val="18"/>
                <w:szCs w:val="18"/>
              </w:rPr>
              <w:t>181,242</w:t>
            </w:r>
          </w:p>
        </w:tc>
        <w:tc>
          <w:tcPr>
            <w:tcW w:w="236" w:type="dxa"/>
            <w:tcBorders>
              <w:top w:val="nil"/>
              <w:left w:val="nil"/>
              <w:bottom w:val="nil"/>
              <w:right w:val="nil"/>
            </w:tcBorders>
            <w:shd w:val="clear" w:color="FFFFFF" w:fill="FFFFFF"/>
            <w:noWrap/>
            <w:vAlign w:val="bottom"/>
            <w:hideMark/>
          </w:tcPr>
          <w:p w14:paraId="3EDDD66C" w14:textId="77777777" w:rsidR="00A43992" w:rsidRDefault="00A43992" w:rsidP="007211E3">
            <w:pPr>
              <w:rPr>
                <w:rFonts w:ascii="Arial" w:hAnsi="Arial" w:cs="Arial"/>
                <w:sz w:val="18"/>
                <w:szCs w:val="18"/>
              </w:rPr>
            </w:pPr>
            <w:r>
              <w:rPr>
                <w:rFonts w:ascii="Arial" w:hAnsi="Arial" w:cs="Arial"/>
                <w:sz w:val="18"/>
                <w:szCs w:val="18"/>
              </w:rPr>
              <w:t> </w:t>
            </w:r>
          </w:p>
        </w:tc>
        <w:tc>
          <w:tcPr>
            <w:tcW w:w="1069" w:type="dxa"/>
            <w:tcBorders>
              <w:top w:val="single" w:sz="4" w:space="0" w:color="auto"/>
              <w:left w:val="nil"/>
              <w:bottom w:val="single" w:sz="4" w:space="0" w:color="auto"/>
              <w:right w:val="nil"/>
            </w:tcBorders>
            <w:shd w:val="clear" w:color="FFFFFF" w:fill="FFFFFF"/>
            <w:noWrap/>
            <w:vAlign w:val="bottom"/>
            <w:hideMark/>
          </w:tcPr>
          <w:p w14:paraId="5F77C6C6" w14:textId="77777777" w:rsidR="00A43992" w:rsidRDefault="00A43992" w:rsidP="007211E3">
            <w:pPr>
              <w:jc w:val="right"/>
              <w:rPr>
                <w:rFonts w:ascii="Arial" w:hAnsi="Arial" w:cs="Arial"/>
                <w:sz w:val="18"/>
                <w:szCs w:val="18"/>
              </w:rPr>
            </w:pPr>
            <w:r>
              <w:rPr>
                <w:rFonts w:ascii="Arial" w:hAnsi="Arial" w:cs="Arial"/>
                <w:sz w:val="18"/>
                <w:szCs w:val="18"/>
              </w:rPr>
              <w:t>120,724</w:t>
            </w:r>
          </w:p>
        </w:tc>
      </w:tr>
      <w:tr w:rsidR="00A43992" w14:paraId="716F9F0C" w14:textId="77777777" w:rsidTr="007211E3">
        <w:trPr>
          <w:trHeight w:val="255"/>
        </w:trPr>
        <w:tc>
          <w:tcPr>
            <w:tcW w:w="4280" w:type="dxa"/>
            <w:tcBorders>
              <w:top w:val="nil"/>
              <w:left w:val="nil"/>
              <w:bottom w:val="nil"/>
              <w:right w:val="nil"/>
            </w:tcBorders>
            <w:shd w:val="clear" w:color="FFFFFF" w:fill="FFFFFF"/>
            <w:vAlign w:val="bottom"/>
            <w:hideMark/>
          </w:tcPr>
          <w:p w14:paraId="65EC3A3A" w14:textId="77777777" w:rsidR="00A43992" w:rsidRDefault="00A43992" w:rsidP="007211E3">
            <w:pPr>
              <w:rPr>
                <w:rFonts w:ascii="Arial" w:hAnsi="Arial" w:cs="Arial"/>
                <w:sz w:val="18"/>
                <w:szCs w:val="18"/>
              </w:rPr>
            </w:pPr>
            <w:r>
              <w:rPr>
                <w:rFonts w:ascii="Arial" w:hAnsi="Arial" w:cs="Arial"/>
                <w:sz w:val="18"/>
                <w:szCs w:val="18"/>
              </w:rPr>
              <w:t> </w:t>
            </w:r>
          </w:p>
        </w:tc>
        <w:tc>
          <w:tcPr>
            <w:tcW w:w="1083" w:type="dxa"/>
            <w:tcBorders>
              <w:top w:val="nil"/>
              <w:left w:val="nil"/>
              <w:bottom w:val="nil"/>
              <w:right w:val="nil"/>
            </w:tcBorders>
            <w:shd w:val="clear" w:color="FFFFFF" w:fill="FFFFFF"/>
            <w:noWrap/>
            <w:vAlign w:val="bottom"/>
            <w:hideMark/>
          </w:tcPr>
          <w:p w14:paraId="3282B629" w14:textId="77777777" w:rsidR="00A43992" w:rsidRDefault="00A43992" w:rsidP="007211E3">
            <w:pPr>
              <w:jc w:val="center"/>
              <w:rPr>
                <w:rFonts w:ascii="Arial" w:hAnsi="Arial" w:cs="Arial"/>
                <w:sz w:val="18"/>
                <w:szCs w:val="18"/>
              </w:rPr>
            </w:pPr>
            <w:r>
              <w:rPr>
                <w:rFonts w:ascii="Arial" w:hAnsi="Arial" w:cs="Arial"/>
                <w:sz w:val="18"/>
                <w:szCs w:val="18"/>
              </w:rPr>
              <w:t> </w:t>
            </w:r>
          </w:p>
        </w:tc>
        <w:tc>
          <w:tcPr>
            <w:tcW w:w="1088" w:type="dxa"/>
            <w:tcBorders>
              <w:top w:val="nil"/>
              <w:left w:val="nil"/>
              <w:bottom w:val="nil"/>
              <w:right w:val="nil"/>
            </w:tcBorders>
            <w:shd w:val="clear" w:color="FFFFFF" w:fill="FFFFFF"/>
            <w:noWrap/>
            <w:vAlign w:val="bottom"/>
            <w:hideMark/>
          </w:tcPr>
          <w:p w14:paraId="5B931CBB" w14:textId="77777777" w:rsidR="00A43992" w:rsidRPr="00267088" w:rsidRDefault="00A43992" w:rsidP="007211E3">
            <w:pPr>
              <w:jc w:val="right"/>
              <w:rPr>
                <w:rFonts w:ascii="Arial" w:hAnsi="Arial" w:cs="Arial"/>
                <w:b/>
                <w:bCs/>
                <w:sz w:val="18"/>
                <w:szCs w:val="18"/>
              </w:rPr>
            </w:pPr>
            <w:r w:rsidRPr="00267088">
              <w:rPr>
                <w:rFonts w:ascii="Arial" w:hAnsi="Arial" w:cs="Arial"/>
                <w:b/>
                <w:bCs/>
                <w:sz w:val="18"/>
                <w:szCs w:val="18"/>
              </w:rPr>
              <w:t> </w:t>
            </w:r>
          </w:p>
        </w:tc>
        <w:tc>
          <w:tcPr>
            <w:tcW w:w="236" w:type="dxa"/>
            <w:tcBorders>
              <w:top w:val="nil"/>
              <w:left w:val="nil"/>
              <w:bottom w:val="nil"/>
              <w:right w:val="nil"/>
            </w:tcBorders>
            <w:shd w:val="clear" w:color="FFFFFF" w:fill="FFFFFF"/>
            <w:noWrap/>
            <w:vAlign w:val="bottom"/>
            <w:hideMark/>
          </w:tcPr>
          <w:p w14:paraId="35C229F8" w14:textId="77777777" w:rsidR="00A43992" w:rsidRDefault="00A43992" w:rsidP="007211E3">
            <w:pPr>
              <w:rPr>
                <w:rFonts w:ascii="Arial" w:hAnsi="Arial" w:cs="Arial"/>
                <w:sz w:val="18"/>
                <w:szCs w:val="18"/>
              </w:rPr>
            </w:pPr>
            <w:r>
              <w:rPr>
                <w:rFonts w:ascii="Arial" w:hAnsi="Arial" w:cs="Arial"/>
                <w:sz w:val="18"/>
                <w:szCs w:val="18"/>
              </w:rPr>
              <w:t> </w:t>
            </w:r>
          </w:p>
        </w:tc>
        <w:tc>
          <w:tcPr>
            <w:tcW w:w="1095" w:type="dxa"/>
            <w:tcBorders>
              <w:top w:val="nil"/>
              <w:left w:val="nil"/>
              <w:bottom w:val="nil"/>
              <w:right w:val="nil"/>
            </w:tcBorders>
            <w:shd w:val="clear" w:color="FFFFFF" w:fill="FFFFFF"/>
            <w:noWrap/>
            <w:vAlign w:val="bottom"/>
            <w:hideMark/>
          </w:tcPr>
          <w:p w14:paraId="74D0E87B" w14:textId="77777777" w:rsidR="00A43992" w:rsidRDefault="00A43992" w:rsidP="007211E3">
            <w:pPr>
              <w:jc w:val="right"/>
              <w:rPr>
                <w:rFonts w:ascii="Arial" w:hAnsi="Arial" w:cs="Arial"/>
                <w:sz w:val="18"/>
                <w:szCs w:val="18"/>
              </w:rPr>
            </w:pPr>
            <w:r>
              <w:rPr>
                <w:rFonts w:ascii="Arial" w:hAnsi="Arial" w:cs="Arial"/>
                <w:sz w:val="18"/>
                <w:szCs w:val="18"/>
              </w:rPr>
              <w:t> </w:t>
            </w:r>
          </w:p>
        </w:tc>
        <w:tc>
          <w:tcPr>
            <w:tcW w:w="236" w:type="dxa"/>
            <w:tcBorders>
              <w:top w:val="nil"/>
              <w:left w:val="nil"/>
              <w:bottom w:val="nil"/>
              <w:right w:val="nil"/>
            </w:tcBorders>
            <w:shd w:val="clear" w:color="FFFFFF" w:fill="FFFFFF"/>
            <w:noWrap/>
            <w:vAlign w:val="bottom"/>
            <w:hideMark/>
          </w:tcPr>
          <w:p w14:paraId="0D73AB47" w14:textId="77777777" w:rsidR="00A43992" w:rsidRDefault="00A43992" w:rsidP="007211E3">
            <w:pPr>
              <w:rPr>
                <w:rFonts w:ascii="Arial" w:hAnsi="Arial" w:cs="Arial"/>
                <w:sz w:val="18"/>
                <w:szCs w:val="18"/>
              </w:rPr>
            </w:pPr>
            <w:r>
              <w:rPr>
                <w:rFonts w:ascii="Arial" w:hAnsi="Arial" w:cs="Arial"/>
                <w:sz w:val="18"/>
                <w:szCs w:val="18"/>
              </w:rPr>
              <w:t> </w:t>
            </w:r>
          </w:p>
        </w:tc>
        <w:tc>
          <w:tcPr>
            <w:tcW w:w="1069" w:type="dxa"/>
            <w:tcBorders>
              <w:top w:val="nil"/>
              <w:left w:val="nil"/>
              <w:bottom w:val="nil"/>
              <w:right w:val="nil"/>
            </w:tcBorders>
            <w:shd w:val="clear" w:color="FFFFFF" w:fill="FFFFFF"/>
            <w:noWrap/>
            <w:vAlign w:val="bottom"/>
            <w:hideMark/>
          </w:tcPr>
          <w:p w14:paraId="297E682F" w14:textId="77777777" w:rsidR="00A43992" w:rsidRDefault="00A43992" w:rsidP="007211E3">
            <w:pPr>
              <w:jc w:val="right"/>
              <w:rPr>
                <w:rFonts w:ascii="Arial" w:hAnsi="Arial" w:cs="Arial"/>
                <w:sz w:val="18"/>
                <w:szCs w:val="18"/>
              </w:rPr>
            </w:pPr>
            <w:r>
              <w:rPr>
                <w:rFonts w:ascii="Arial" w:hAnsi="Arial" w:cs="Arial"/>
                <w:sz w:val="18"/>
                <w:szCs w:val="18"/>
              </w:rPr>
              <w:t> </w:t>
            </w:r>
          </w:p>
        </w:tc>
      </w:tr>
      <w:tr w:rsidR="00A43992" w14:paraId="5278A325" w14:textId="77777777" w:rsidTr="007211E3">
        <w:trPr>
          <w:trHeight w:val="255"/>
        </w:trPr>
        <w:tc>
          <w:tcPr>
            <w:tcW w:w="4280" w:type="dxa"/>
            <w:tcBorders>
              <w:top w:val="nil"/>
              <w:left w:val="nil"/>
              <w:bottom w:val="nil"/>
              <w:right w:val="nil"/>
            </w:tcBorders>
            <w:shd w:val="clear" w:color="FFFFFF" w:fill="FFFFFF"/>
            <w:vAlign w:val="bottom"/>
            <w:hideMark/>
          </w:tcPr>
          <w:p w14:paraId="6235969A" w14:textId="77777777" w:rsidR="00A43992" w:rsidRDefault="00A43992" w:rsidP="007211E3">
            <w:pPr>
              <w:rPr>
                <w:rFonts w:ascii="Arial" w:hAnsi="Arial" w:cs="Arial"/>
                <w:b/>
                <w:bCs/>
                <w:sz w:val="18"/>
                <w:szCs w:val="18"/>
              </w:rPr>
            </w:pPr>
            <w:r>
              <w:rPr>
                <w:rFonts w:ascii="Arial" w:hAnsi="Arial" w:cs="Arial"/>
                <w:b/>
                <w:bCs/>
                <w:sz w:val="18"/>
                <w:szCs w:val="18"/>
              </w:rPr>
              <w:t>Total liabilities</w:t>
            </w:r>
          </w:p>
        </w:tc>
        <w:tc>
          <w:tcPr>
            <w:tcW w:w="1083" w:type="dxa"/>
            <w:tcBorders>
              <w:top w:val="nil"/>
              <w:left w:val="nil"/>
              <w:bottom w:val="nil"/>
              <w:right w:val="nil"/>
            </w:tcBorders>
            <w:shd w:val="clear" w:color="FFFFFF" w:fill="FFFFFF"/>
            <w:noWrap/>
            <w:vAlign w:val="bottom"/>
            <w:hideMark/>
          </w:tcPr>
          <w:p w14:paraId="3CDF8CE7" w14:textId="77777777" w:rsidR="00A43992" w:rsidRDefault="00A43992" w:rsidP="007211E3">
            <w:pPr>
              <w:jc w:val="center"/>
              <w:rPr>
                <w:rFonts w:ascii="Arial" w:hAnsi="Arial" w:cs="Arial"/>
                <w:sz w:val="18"/>
                <w:szCs w:val="18"/>
              </w:rPr>
            </w:pPr>
            <w:r>
              <w:rPr>
                <w:rFonts w:ascii="Arial" w:hAnsi="Arial" w:cs="Arial"/>
                <w:sz w:val="18"/>
                <w:szCs w:val="18"/>
              </w:rPr>
              <w:t> </w:t>
            </w:r>
          </w:p>
        </w:tc>
        <w:tc>
          <w:tcPr>
            <w:tcW w:w="1088" w:type="dxa"/>
            <w:tcBorders>
              <w:top w:val="single" w:sz="4" w:space="0" w:color="auto"/>
              <w:left w:val="nil"/>
              <w:bottom w:val="single" w:sz="4" w:space="0" w:color="auto"/>
              <w:right w:val="nil"/>
            </w:tcBorders>
            <w:shd w:val="clear" w:color="FFFFFF" w:fill="FFFFFF"/>
            <w:noWrap/>
            <w:vAlign w:val="bottom"/>
            <w:hideMark/>
          </w:tcPr>
          <w:p w14:paraId="672D5687" w14:textId="77777777" w:rsidR="00A43992" w:rsidRPr="00267088" w:rsidRDefault="00A43992" w:rsidP="007211E3">
            <w:pPr>
              <w:jc w:val="right"/>
              <w:rPr>
                <w:rFonts w:ascii="Arial" w:hAnsi="Arial" w:cs="Arial"/>
                <w:b/>
                <w:bCs/>
                <w:sz w:val="18"/>
                <w:szCs w:val="18"/>
              </w:rPr>
            </w:pPr>
            <w:r w:rsidRPr="00267088">
              <w:rPr>
                <w:rFonts w:ascii="Arial" w:hAnsi="Arial" w:cs="Arial"/>
                <w:b/>
                <w:bCs/>
                <w:sz w:val="18"/>
                <w:szCs w:val="18"/>
              </w:rPr>
              <w:t>270,707</w:t>
            </w:r>
          </w:p>
        </w:tc>
        <w:tc>
          <w:tcPr>
            <w:tcW w:w="236" w:type="dxa"/>
            <w:tcBorders>
              <w:top w:val="nil"/>
              <w:left w:val="nil"/>
              <w:bottom w:val="nil"/>
              <w:right w:val="nil"/>
            </w:tcBorders>
            <w:shd w:val="clear" w:color="FFFFFF" w:fill="FFFFFF"/>
            <w:noWrap/>
            <w:vAlign w:val="bottom"/>
            <w:hideMark/>
          </w:tcPr>
          <w:p w14:paraId="515D665D" w14:textId="77777777" w:rsidR="00A43992" w:rsidRDefault="00A43992" w:rsidP="007211E3">
            <w:pPr>
              <w:rPr>
                <w:rFonts w:ascii="Arial" w:hAnsi="Arial" w:cs="Arial"/>
                <w:sz w:val="18"/>
                <w:szCs w:val="18"/>
              </w:rPr>
            </w:pPr>
            <w:r>
              <w:rPr>
                <w:rFonts w:ascii="Arial" w:hAnsi="Arial" w:cs="Arial"/>
                <w:sz w:val="18"/>
                <w:szCs w:val="18"/>
              </w:rPr>
              <w:t> </w:t>
            </w:r>
          </w:p>
        </w:tc>
        <w:tc>
          <w:tcPr>
            <w:tcW w:w="1095" w:type="dxa"/>
            <w:tcBorders>
              <w:top w:val="single" w:sz="4" w:space="0" w:color="auto"/>
              <w:left w:val="nil"/>
              <w:bottom w:val="single" w:sz="4" w:space="0" w:color="auto"/>
              <w:right w:val="nil"/>
            </w:tcBorders>
            <w:shd w:val="clear" w:color="FFFFFF" w:fill="FFFFFF"/>
            <w:noWrap/>
            <w:vAlign w:val="bottom"/>
            <w:hideMark/>
          </w:tcPr>
          <w:p w14:paraId="072CD827" w14:textId="77777777" w:rsidR="00A43992" w:rsidRDefault="00A43992" w:rsidP="007211E3">
            <w:pPr>
              <w:jc w:val="right"/>
              <w:rPr>
                <w:rFonts w:ascii="Arial" w:hAnsi="Arial" w:cs="Arial"/>
                <w:sz w:val="18"/>
                <w:szCs w:val="18"/>
              </w:rPr>
            </w:pPr>
            <w:r>
              <w:rPr>
                <w:rFonts w:ascii="Arial" w:hAnsi="Arial" w:cs="Arial"/>
                <w:sz w:val="18"/>
                <w:szCs w:val="18"/>
              </w:rPr>
              <w:t>205,857</w:t>
            </w:r>
          </w:p>
        </w:tc>
        <w:tc>
          <w:tcPr>
            <w:tcW w:w="236" w:type="dxa"/>
            <w:tcBorders>
              <w:top w:val="nil"/>
              <w:left w:val="nil"/>
              <w:bottom w:val="nil"/>
              <w:right w:val="nil"/>
            </w:tcBorders>
            <w:shd w:val="clear" w:color="FFFFFF" w:fill="FFFFFF"/>
            <w:noWrap/>
            <w:vAlign w:val="bottom"/>
            <w:hideMark/>
          </w:tcPr>
          <w:p w14:paraId="5E6D05E4" w14:textId="77777777" w:rsidR="00A43992" w:rsidRDefault="00A43992" w:rsidP="007211E3">
            <w:pPr>
              <w:rPr>
                <w:rFonts w:ascii="Arial" w:hAnsi="Arial" w:cs="Arial"/>
                <w:sz w:val="18"/>
                <w:szCs w:val="18"/>
              </w:rPr>
            </w:pPr>
            <w:r>
              <w:rPr>
                <w:rFonts w:ascii="Arial" w:hAnsi="Arial" w:cs="Arial"/>
                <w:sz w:val="18"/>
                <w:szCs w:val="18"/>
              </w:rPr>
              <w:t> </w:t>
            </w:r>
          </w:p>
        </w:tc>
        <w:tc>
          <w:tcPr>
            <w:tcW w:w="1069" w:type="dxa"/>
            <w:tcBorders>
              <w:top w:val="single" w:sz="4" w:space="0" w:color="auto"/>
              <w:left w:val="nil"/>
              <w:bottom w:val="single" w:sz="4" w:space="0" w:color="auto"/>
              <w:right w:val="nil"/>
            </w:tcBorders>
            <w:shd w:val="clear" w:color="FFFFFF" w:fill="FFFFFF"/>
            <w:noWrap/>
            <w:vAlign w:val="bottom"/>
            <w:hideMark/>
          </w:tcPr>
          <w:p w14:paraId="1787DEBC" w14:textId="77777777" w:rsidR="00A43992" w:rsidRDefault="00A43992" w:rsidP="007211E3">
            <w:pPr>
              <w:jc w:val="right"/>
              <w:rPr>
                <w:rFonts w:ascii="Arial" w:hAnsi="Arial" w:cs="Arial"/>
                <w:sz w:val="18"/>
                <w:szCs w:val="18"/>
              </w:rPr>
            </w:pPr>
            <w:r>
              <w:rPr>
                <w:rFonts w:ascii="Arial" w:hAnsi="Arial" w:cs="Arial"/>
                <w:sz w:val="18"/>
                <w:szCs w:val="18"/>
              </w:rPr>
              <w:t>138,233</w:t>
            </w:r>
          </w:p>
        </w:tc>
      </w:tr>
      <w:tr w:rsidR="00A43992" w14:paraId="0F32199B" w14:textId="77777777" w:rsidTr="007211E3">
        <w:trPr>
          <w:trHeight w:val="255"/>
        </w:trPr>
        <w:tc>
          <w:tcPr>
            <w:tcW w:w="4280" w:type="dxa"/>
            <w:tcBorders>
              <w:top w:val="nil"/>
              <w:left w:val="nil"/>
              <w:bottom w:val="nil"/>
              <w:right w:val="nil"/>
            </w:tcBorders>
            <w:shd w:val="clear" w:color="FFFFFF" w:fill="FFFFFF"/>
            <w:vAlign w:val="bottom"/>
            <w:hideMark/>
          </w:tcPr>
          <w:p w14:paraId="79179BE7" w14:textId="77777777" w:rsidR="00A43992" w:rsidRDefault="00A43992" w:rsidP="007211E3">
            <w:pPr>
              <w:rPr>
                <w:rFonts w:ascii="Arial" w:hAnsi="Arial" w:cs="Arial"/>
                <w:b/>
                <w:bCs/>
                <w:sz w:val="18"/>
                <w:szCs w:val="18"/>
              </w:rPr>
            </w:pPr>
            <w:r>
              <w:rPr>
                <w:rFonts w:ascii="Arial" w:hAnsi="Arial" w:cs="Arial"/>
                <w:b/>
                <w:bCs/>
                <w:sz w:val="18"/>
                <w:szCs w:val="18"/>
              </w:rPr>
              <w:t>Net assets</w:t>
            </w:r>
          </w:p>
        </w:tc>
        <w:tc>
          <w:tcPr>
            <w:tcW w:w="1083" w:type="dxa"/>
            <w:tcBorders>
              <w:top w:val="nil"/>
              <w:left w:val="nil"/>
              <w:bottom w:val="nil"/>
              <w:right w:val="nil"/>
            </w:tcBorders>
            <w:shd w:val="clear" w:color="FFFFFF" w:fill="FFFFFF"/>
            <w:noWrap/>
            <w:vAlign w:val="bottom"/>
            <w:hideMark/>
          </w:tcPr>
          <w:p w14:paraId="19C4E87A" w14:textId="77777777" w:rsidR="00A43992" w:rsidRDefault="00A43992" w:rsidP="007211E3">
            <w:pPr>
              <w:jc w:val="center"/>
              <w:rPr>
                <w:rFonts w:ascii="Arial" w:hAnsi="Arial" w:cs="Arial"/>
                <w:sz w:val="18"/>
                <w:szCs w:val="18"/>
              </w:rPr>
            </w:pPr>
            <w:r>
              <w:rPr>
                <w:rFonts w:ascii="Arial" w:hAnsi="Arial" w:cs="Arial"/>
                <w:sz w:val="18"/>
                <w:szCs w:val="18"/>
              </w:rPr>
              <w:t> </w:t>
            </w:r>
          </w:p>
        </w:tc>
        <w:tc>
          <w:tcPr>
            <w:tcW w:w="1088" w:type="dxa"/>
            <w:tcBorders>
              <w:top w:val="nil"/>
              <w:left w:val="nil"/>
              <w:bottom w:val="single" w:sz="4" w:space="0" w:color="auto"/>
              <w:right w:val="nil"/>
            </w:tcBorders>
            <w:shd w:val="clear" w:color="FFFFFF" w:fill="FFFFFF"/>
            <w:noWrap/>
            <w:vAlign w:val="bottom"/>
            <w:hideMark/>
          </w:tcPr>
          <w:p w14:paraId="32175807" w14:textId="77777777" w:rsidR="00A43992" w:rsidRPr="00267088" w:rsidRDefault="00A43992" w:rsidP="007211E3">
            <w:pPr>
              <w:jc w:val="right"/>
              <w:rPr>
                <w:rFonts w:ascii="Arial" w:hAnsi="Arial" w:cs="Arial"/>
                <w:b/>
                <w:bCs/>
                <w:sz w:val="18"/>
                <w:szCs w:val="18"/>
              </w:rPr>
            </w:pPr>
            <w:r w:rsidRPr="00267088">
              <w:rPr>
                <w:rFonts w:ascii="Arial" w:hAnsi="Arial" w:cs="Arial"/>
                <w:b/>
                <w:bCs/>
                <w:sz w:val="18"/>
                <w:szCs w:val="18"/>
              </w:rPr>
              <w:t>125,586</w:t>
            </w:r>
          </w:p>
        </w:tc>
        <w:tc>
          <w:tcPr>
            <w:tcW w:w="236" w:type="dxa"/>
            <w:tcBorders>
              <w:top w:val="nil"/>
              <w:left w:val="nil"/>
              <w:bottom w:val="nil"/>
              <w:right w:val="nil"/>
            </w:tcBorders>
            <w:shd w:val="clear" w:color="FFFFFF" w:fill="FFFFFF"/>
            <w:noWrap/>
            <w:vAlign w:val="bottom"/>
            <w:hideMark/>
          </w:tcPr>
          <w:p w14:paraId="4498D7DD" w14:textId="77777777" w:rsidR="00A43992" w:rsidRDefault="00A43992" w:rsidP="007211E3">
            <w:pPr>
              <w:rPr>
                <w:rFonts w:ascii="Arial" w:hAnsi="Arial" w:cs="Arial"/>
                <w:sz w:val="18"/>
                <w:szCs w:val="18"/>
              </w:rPr>
            </w:pPr>
            <w:r>
              <w:rPr>
                <w:rFonts w:ascii="Arial" w:hAnsi="Arial" w:cs="Arial"/>
                <w:sz w:val="18"/>
                <w:szCs w:val="18"/>
              </w:rPr>
              <w:t> </w:t>
            </w:r>
          </w:p>
        </w:tc>
        <w:tc>
          <w:tcPr>
            <w:tcW w:w="1095" w:type="dxa"/>
            <w:tcBorders>
              <w:top w:val="nil"/>
              <w:left w:val="nil"/>
              <w:bottom w:val="single" w:sz="4" w:space="0" w:color="auto"/>
              <w:right w:val="nil"/>
            </w:tcBorders>
            <w:shd w:val="clear" w:color="FFFFFF" w:fill="FFFFFF"/>
            <w:noWrap/>
            <w:vAlign w:val="bottom"/>
            <w:hideMark/>
          </w:tcPr>
          <w:p w14:paraId="369E1287" w14:textId="77777777" w:rsidR="00A43992" w:rsidRDefault="00A43992" w:rsidP="007211E3">
            <w:pPr>
              <w:jc w:val="right"/>
              <w:rPr>
                <w:rFonts w:ascii="Arial" w:hAnsi="Arial" w:cs="Arial"/>
                <w:sz w:val="18"/>
                <w:szCs w:val="18"/>
              </w:rPr>
            </w:pPr>
            <w:r>
              <w:rPr>
                <w:rFonts w:ascii="Arial" w:hAnsi="Arial" w:cs="Arial"/>
                <w:sz w:val="18"/>
                <w:szCs w:val="18"/>
              </w:rPr>
              <w:t>50,167</w:t>
            </w:r>
          </w:p>
        </w:tc>
        <w:tc>
          <w:tcPr>
            <w:tcW w:w="236" w:type="dxa"/>
            <w:tcBorders>
              <w:top w:val="nil"/>
              <w:left w:val="nil"/>
              <w:bottom w:val="nil"/>
              <w:right w:val="nil"/>
            </w:tcBorders>
            <w:shd w:val="clear" w:color="FFFFFF" w:fill="FFFFFF"/>
            <w:noWrap/>
            <w:vAlign w:val="bottom"/>
            <w:hideMark/>
          </w:tcPr>
          <w:p w14:paraId="69398554" w14:textId="77777777" w:rsidR="00A43992" w:rsidRDefault="00A43992" w:rsidP="007211E3">
            <w:pPr>
              <w:rPr>
                <w:rFonts w:ascii="Arial" w:hAnsi="Arial" w:cs="Arial"/>
                <w:sz w:val="18"/>
                <w:szCs w:val="18"/>
              </w:rPr>
            </w:pPr>
            <w:r>
              <w:rPr>
                <w:rFonts w:ascii="Arial" w:hAnsi="Arial" w:cs="Arial"/>
                <w:sz w:val="18"/>
                <w:szCs w:val="18"/>
              </w:rPr>
              <w:t> </w:t>
            </w:r>
          </w:p>
        </w:tc>
        <w:tc>
          <w:tcPr>
            <w:tcW w:w="1069" w:type="dxa"/>
            <w:tcBorders>
              <w:top w:val="nil"/>
              <w:left w:val="nil"/>
              <w:bottom w:val="single" w:sz="4" w:space="0" w:color="auto"/>
              <w:right w:val="nil"/>
            </w:tcBorders>
            <w:shd w:val="clear" w:color="FFFFFF" w:fill="FFFFFF"/>
            <w:noWrap/>
            <w:vAlign w:val="bottom"/>
            <w:hideMark/>
          </w:tcPr>
          <w:p w14:paraId="5EBCE1DF" w14:textId="77777777" w:rsidR="00A43992" w:rsidRDefault="00A43992" w:rsidP="007211E3">
            <w:pPr>
              <w:jc w:val="right"/>
              <w:rPr>
                <w:rFonts w:ascii="Arial" w:hAnsi="Arial" w:cs="Arial"/>
                <w:sz w:val="18"/>
                <w:szCs w:val="18"/>
              </w:rPr>
            </w:pPr>
            <w:r>
              <w:rPr>
                <w:rFonts w:ascii="Arial" w:hAnsi="Arial" w:cs="Arial"/>
                <w:sz w:val="18"/>
                <w:szCs w:val="18"/>
              </w:rPr>
              <w:t>107,514</w:t>
            </w:r>
          </w:p>
        </w:tc>
      </w:tr>
      <w:tr w:rsidR="00A43992" w14:paraId="5229B633" w14:textId="77777777" w:rsidTr="007211E3">
        <w:trPr>
          <w:trHeight w:val="255"/>
        </w:trPr>
        <w:tc>
          <w:tcPr>
            <w:tcW w:w="4280" w:type="dxa"/>
            <w:tcBorders>
              <w:top w:val="nil"/>
              <w:left w:val="nil"/>
              <w:bottom w:val="nil"/>
              <w:right w:val="nil"/>
            </w:tcBorders>
            <w:shd w:val="clear" w:color="FFFFFF" w:fill="FFFFFF"/>
            <w:vAlign w:val="bottom"/>
            <w:hideMark/>
          </w:tcPr>
          <w:p w14:paraId="100D10E0" w14:textId="77777777" w:rsidR="00A43992" w:rsidRDefault="00A43992" w:rsidP="007211E3">
            <w:pPr>
              <w:rPr>
                <w:rFonts w:ascii="Arial" w:hAnsi="Arial" w:cs="Arial"/>
                <w:sz w:val="18"/>
                <w:szCs w:val="18"/>
              </w:rPr>
            </w:pPr>
            <w:r>
              <w:rPr>
                <w:rFonts w:ascii="Arial" w:hAnsi="Arial" w:cs="Arial"/>
                <w:sz w:val="18"/>
                <w:szCs w:val="18"/>
              </w:rPr>
              <w:t> </w:t>
            </w:r>
          </w:p>
        </w:tc>
        <w:tc>
          <w:tcPr>
            <w:tcW w:w="1083" w:type="dxa"/>
            <w:tcBorders>
              <w:top w:val="nil"/>
              <w:left w:val="nil"/>
              <w:bottom w:val="nil"/>
              <w:right w:val="nil"/>
            </w:tcBorders>
            <w:shd w:val="clear" w:color="FFFFFF" w:fill="FFFFFF"/>
            <w:noWrap/>
            <w:vAlign w:val="bottom"/>
            <w:hideMark/>
          </w:tcPr>
          <w:p w14:paraId="604D1260" w14:textId="77777777" w:rsidR="00A43992" w:rsidRDefault="00A43992" w:rsidP="007211E3">
            <w:pPr>
              <w:jc w:val="center"/>
              <w:rPr>
                <w:rFonts w:ascii="Arial" w:hAnsi="Arial" w:cs="Arial"/>
                <w:sz w:val="18"/>
                <w:szCs w:val="18"/>
              </w:rPr>
            </w:pPr>
            <w:r>
              <w:rPr>
                <w:rFonts w:ascii="Arial" w:hAnsi="Arial" w:cs="Arial"/>
                <w:sz w:val="18"/>
                <w:szCs w:val="18"/>
              </w:rPr>
              <w:t> </w:t>
            </w:r>
          </w:p>
        </w:tc>
        <w:tc>
          <w:tcPr>
            <w:tcW w:w="1088" w:type="dxa"/>
            <w:tcBorders>
              <w:top w:val="nil"/>
              <w:left w:val="nil"/>
              <w:bottom w:val="nil"/>
              <w:right w:val="nil"/>
            </w:tcBorders>
            <w:shd w:val="clear" w:color="FFFFFF" w:fill="FFFFFF"/>
            <w:noWrap/>
            <w:vAlign w:val="bottom"/>
            <w:hideMark/>
          </w:tcPr>
          <w:p w14:paraId="07C6E523" w14:textId="77777777" w:rsidR="00A43992" w:rsidRPr="00267088" w:rsidRDefault="00A43992" w:rsidP="007211E3">
            <w:pPr>
              <w:jc w:val="right"/>
              <w:rPr>
                <w:rFonts w:ascii="Arial" w:hAnsi="Arial" w:cs="Arial"/>
                <w:b/>
                <w:bCs/>
                <w:sz w:val="18"/>
                <w:szCs w:val="18"/>
              </w:rPr>
            </w:pPr>
            <w:r w:rsidRPr="00267088">
              <w:rPr>
                <w:rFonts w:ascii="Arial" w:hAnsi="Arial" w:cs="Arial"/>
                <w:b/>
                <w:bCs/>
                <w:sz w:val="18"/>
                <w:szCs w:val="18"/>
              </w:rPr>
              <w:t> </w:t>
            </w:r>
          </w:p>
        </w:tc>
        <w:tc>
          <w:tcPr>
            <w:tcW w:w="236" w:type="dxa"/>
            <w:tcBorders>
              <w:top w:val="nil"/>
              <w:left w:val="nil"/>
              <w:bottom w:val="nil"/>
              <w:right w:val="nil"/>
            </w:tcBorders>
            <w:shd w:val="clear" w:color="FFFFFF" w:fill="FFFFFF"/>
            <w:noWrap/>
            <w:vAlign w:val="bottom"/>
            <w:hideMark/>
          </w:tcPr>
          <w:p w14:paraId="745137A5" w14:textId="77777777" w:rsidR="00A43992" w:rsidRDefault="00A43992" w:rsidP="007211E3">
            <w:pPr>
              <w:rPr>
                <w:rFonts w:ascii="Arial" w:hAnsi="Arial" w:cs="Arial"/>
                <w:sz w:val="18"/>
                <w:szCs w:val="18"/>
              </w:rPr>
            </w:pPr>
            <w:r>
              <w:rPr>
                <w:rFonts w:ascii="Arial" w:hAnsi="Arial" w:cs="Arial"/>
                <w:sz w:val="18"/>
                <w:szCs w:val="18"/>
              </w:rPr>
              <w:t> </w:t>
            </w:r>
          </w:p>
        </w:tc>
        <w:tc>
          <w:tcPr>
            <w:tcW w:w="1095" w:type="dxa"/>
            <w:tcBorders>
              <w:top w:val="nil"/>
              <w:left w:val="nil"/>
              <w:bottom w:val="nil"/>
              <w:right w:val="nil"/>
            </w:tcBorders>
            <w:shd w:val="clear" w:color="FFFFFF" w:fill="FFFFFF"/>
            <w:noWrap/>
            <w:vAlign w:val="bottom"/>
            <w:hideMark/>
          </w:tcPr>
          <w:p w14:paraId="6AD09D2A" w14:textId="77777777" w:rsidR="00A43992" w:rsidRDefault="00A43992" w:rsidP="007211E3">
            <w:pPr>
              <w:jc w:val="right"/>
              <w:rPr>
                <w:rFonts w:ascii="Arial" w:hAnsi="Arial" w:cs="Arial"/>
                <w:sz w:val="18"/>
                <w:szCs w:val="18"/>
              </w:rPr>
            </w:pPr>
            <w:r>
              <w:rPr>
                <w:rFonts w:ascii="Arial" w:hAnsi="Arial" w:cs="Arial"/>
                <w:sz w:val="18"/>
                <w:szCs w:val="18"/>
              </w:rPr>
              <w:t> </w:t>
            </w:r>
          </w:p>
        </w:tc>
        <w:tc>
          <w:tcPr>
            <w:tcW w:w="236" w:type="dxa"/>
            <w:tcBorders>
              <w:top w:val="nil"/>
              <w:left w:val="nil"/>
              <w:bottom w:val="nil"/>
              <w:right w:val="nil"/>
            </w:tcBorders>
            <w:shd w:val="clear" w:color="FFFFFF" w:fill="FFFFFF"/>
            <w:noWrap/>
            <w:vAlign w:val="bottom"/>
            <w:hideMark/>
          </w:tcPr>
          <w:p w14:paraId="602A4792" w14:textId="77777777" w:rsidR="00A43992" w:rsidRDefault="00A43992" w:rsidP="007211E3">
            <w:pPr>
              <w:rPr>
                <w:rFonts w:ascii="Arial" w:hAnsi="Arial" w:cs="Arial"/>
                <w:sz w:val="18"/>
                <w:szCs w:val="18"/>
              </w:rPr>
            </w:pPr>
            <w:r>
              <w:rPr>
                <w:rFonts w:ascii="Arial" w:hAnsi="Arial" w:cs="Arial"/>
                <w:sz w:val="18"/>
                <w:szCs w:val="18"/>
              </w:rPr>
              <w:t> </w:t>
            </w:r>
          </w:p>
        </w:tc>
        <w:tc>
          <w:tcPr>
            <w:tcW w:w="1069" w:type="dxa"/>
            <w:tcBorders>
              <w:top w:val="nil"/>
              <w:left w:val="nil"/>
              <w:bottom w:val="nil"/>
              <w:right w:val="nil"/>
            </w:tcBorders>
            <w:shd w:val="clear" w:color="FFFFFF" w:fill="FFFFFF"/>
            <w:noWrap/>
            <w:vAlign w:val="bottom"/>
            <w:hideMark/>
          </w:tcPr>
          <w:p w14:paraId="51089ADB" w14:textId="77777777" w:rsidR="00A43992" w:rsidRDefault="00A43992" w:rsidP="007211E3">
            <w:pPr>
              <w:jc w:val="right"/>
              <w:rPr>
                <w:rFonts w:ascii="Arial" w:hAnsi="Arial" w:cs="Arial"/>
                <w:sz w:val="18"/>
                <w:szCs w:val="18"/>
              </w:rPr>
            </w:pPr>
            <w:r>
              <w:rPr>
                <w:rFonts w:ascii="Arial" w:hAnsi="Arial" w:cs="Arial"/>
                <w:sz w:val="18"/>
                <w:szCs w:val="18"/>
              </w:rPr>
              <w:t> </w:t>
            </w:r>
          </w:p>
        </w:tc>
      </w:tr>
      <w:tr w:rsidR="00A43992" w14:paraId="37E13A6B" w14:textId="77777777" w:rsidTr="007211E3">
        <w:trPr>
          <w:trHeight w:val="255"/>
        </w:trPr>
        <w:tc>
          <w:tcPr>
            <w:tcW w:w="4280" w:type="dxa"/>
            <w:tcBorders>
              <w:top w:val="nil"/>
              <w:left w:val="nil"/>
              <w:bottom w:val="nil"/>
              <w:right w:val="nil"/>
            </w:tcBorders>
            <w:shd w:val="clear" w:color="FFFFFF" w:fill="FFFFFF"/>
            <w:vAlign w:val="bottom"/>
            <w:hideMark/>
          </w:tcPr>
          <w:p w14:paraId="253F98EC" w14:textId="77777777" w:rsidR="00A43992" w:rsidRDefault="00A43992" w:rsidP="007211E3">
            <w:pPr>
              <w:rPr>
                <w:rFonts w:ascii="Arial" w:hAnsi="Arial" w:cs="Arial"/>
                <w:b/>
                <w:bCs/>
                <w:sz w:val="18"/>
                <w:szCs w:val="18"/>
              </w:rPr>
            </w:pPr>
            <w:r>
              <w:rPr>
                <w:rFonts w:ascii="Arial" w:hAnsi="Arial" w:cs="Arial"/>
                <w:b/>
                <w:bCs/>
                <w:sz w:val="18"/>
                <w:szCs w:val="18"/>
              </w:rPr>
              <w:t>EQUITY</w:t>
            </w:r>
          </w:p>
        </w:tc>
        <w:tc>
          <w:tcPr>
            <w:tcW w:w="1083" w:type="dxa"/>
            <w:tcBorders>
              <w:top w:val="nil"/>
              <w:left w:val="nil"/>
              <w:bottom w:val="nil"/>
              <w:right w:val="nil"/>
            </w:tcBorders>
            <w:shd w:val="clear" w:color="FFFFFF" w:fill="FFFFFF"/>
            <w:noWrap/>
            <w:vAlign w:val="bottom"/>
            <w:hideMark/>
          </w:tcPr>
          <w:p w14:paraId="13DA59C6" w14:textId="77777777" w:rsidR="00A43992" w:rsidRDefault="00A43992" w:rsidP="007211E3">
            <w:pPr>
              <w:jc w:val="center"/>
              <w:rPr>
                <w:rFonts w:ascii="Arial" w:hAnsi="Arial" w:cs="Arial"/>
                <w:sz w:val="18"/>
                <w:szCs w:val="18"/>
              </w:rPr>
            </w:pPr>
            <w:r>
              <w:rPr>
                <w:rFonts w:ascii="Arial" w:hAnsi="Arial" w:cs="Arial"/>
                <w:sz w:val="18"/>
                <w:szCs w:val="18"/>
              </w:rPr>
              <w:t> </w:t>
            </w:r>
          </w:p>
        </w:tc>
        <w:tc>
          <w:tcPr>
            <w:tcW w:w="1088" w:type="dxa"/>
            <w:tcBorders>
              <w:top w:val="nil"/>
              <w:left w:val="nil"/>
              <w:bottom w:val="nil"/>
              <w:right w:val="nil"/>
            </w:tcBorders>
            <w:shd w:val="clear" w:color="FFFFFF" w:fill="FFFFFF"/>
            <w:noWrap/>
            <w:vAlign w:val="bottom"/>
            <w:hideMark/>
          </w:tcPr>
          <w:p w14:paraId="3AB2B1B5" w14:textId="77777777" w:rsidR="00A43992" w:rsidRPr="00267088" w:rsidRDefault="00A43992" w:rsidP="007211E3">
            <w:pPr>
              <w:jc w:val="right"/>
              <w:rPr>
                <w:rFonts w:ascii="Arial" w:hAnsi="Arial" w:cs="Arial"/>
                <w:b/>
                <w:bCs/>
                <w:sz w:val="18"/>
                <w:szCs w:val="18"/>
              </w:rPr>
            </w:pPr>
            <w:r w:rsidRPr="00267088">
              <w:rPr>
                <w:rFonts w:ascii="Arial" w:hAnsi="Arial" w:cs="Arial"/>
                <w:b/>
                <w:bCs/>
                <w:sz w:val="18"/>
                <w:szCs w:val="18"/>
              </w:rPr>
              <w:t> </w:t>
            </w:r>
          </w:p>
        </w:tc>
        <w:tc>
          <w:tcPr>
            <w:tcW w:w="236" w:type="dxa"/>
            <w:tcBorders>
              <w:top w:val="nil"/>
              <w:left w:val="nil"/>
              <w:bottom w:val="nil"/>
              <w:right w:val="nil"/>
            </w:tcBorders>
            <w:shd w:val="clear" w:color="FFFFFF" w:fill="FFFFFF"/>
            <w:noWrap/>
            <w:vAlign w:val="bottom"/>
            <w:hideMark/>
          </w:tcPr>
          <w:p w14:paraId="7458501B" w14:textId="77777777" w:rsidR="00A43992" w:rsidRDefault="00A43992" w:rsidP="007211E3">
            <w:pPr>
              <w:rPr>
                <w:rFonts w:ascii="Arial" w:hAnsi="Arial" w:cs="Arial"/>
                <w:sz w:val="18"/>
                <w:szCs w:val="18"/>
              </w:rPr>
            </w:pPr>
            <w:r>
              <w:rPr>
                <w:rFonts w:ascii="Arial" w:hAnsi="Arial" w:cs="Arial"/>
                <w:sz w:val="18"/>
                <w:szCs w:val="18"/>
              </w:rPr>
              <w:t> </w:t>
            </w:r>
          </w:p>
        </w:tc>
        <w:tc>
          <w:tcPr>
            <w:tcW w:w="1095" w:type="dxa"/>
            <w:tcBorders>
              <w:top w:val="nil"/>
              <w:left w:val="nil"/>
              <w:bottom w:val="nil"/>
              <w:right w:val="nil"/>
            </w:tcBorders>
            <w:shd w:val="clear" w:color="FFFFFF" w:fill="FFFFFF"/>
            <w:noWrap/>
            <w:vAlign w:val="bottom"/>
            <w:hideMark/>
          </w:tcPr>
          <w:p w14:paraId="7B061677" w14:textId="77777777" w:rsidR="00A43992" w:rsidRDefault="00A43992" w:rsidP="007211E3">
            <w:pPr>
              <w:jc w:val="right"/>
              <w:rPr>
                <w:rFonts w:ascii="Arial" w:hAnsi="Arial" w:cs="Arial"/>
                <w:sz w:val="18"/>
                <w:szCs w:val="18"/>
              </w:rPr>
            </w:pPr>
            <w:r>
              <w:rPr>
                <w:rFonts w:ascii="Arial" w:hAnsi="Arial" w:cs="Arial"/>
                <w:sz w:val="18"/>
                <w:szCs w:val="18"/>
              </w:rPr>
              <w:t> </w:t>
            </w:r>
          </w:p>
        </w:tc>
        <w:tc>
          <w:tcPr>
            <w:tcW w:w="236" w:type="dxa"/>
            <w:tcBorders>
              <w:top w:val="nil"/>
              <w:left w:val="nil"/>
              <w:bottom w:val="nil"/>
              <w:right w:val="nil"/>
            </w:tcBorders>
            <w:shd w:val="clear" w:color="FFFFFF" w:fill="FFFFFF"/>
            <w:noWrap/>
            <w:vAlign w:val="bottom"/>
            <w:hideMark/>
          </w:tcPr>
          <w:p w14:paraId="3398BA68" w14:textId="77777777" w:rsidR="00A43992" w:rsidRDefault="00A43992" w:rsidP="007211E3">
            <w:pPr>
              <w:rPr>
                <w:rFonts w:ascii="Arial" w:hAnsi="Arial" w:cs="Arial"/>
                <w:sz w:val="18"/>
                <w:szCs w:val="18"/>
              </w:rPr>
            </w:pPr>
            <w:r>
              <w:rPr>
                <w:rFonts w:ascii="Arial" w:hAnsi="Arial" w:cs="Arial"/>
                <w:sz w:val="18"/>
                <w:szCs w:val="18"/>
              </w:rPr>
              <w:t> </w:t>
            </w:r>
          </w:p>
        </w:tc>
        <w:tc>
          <w:tcPr>
            <w:tcW w:w="1069" w:type="dxa"/>
            <w:tcBorders>
              <w:top w:val="nil"/>
              <w:left w:val="nil"/>
              <w:bottom w:val="nil"/>
              <w:right w:val="nil"/>
            </w:tcBorders>
            <w:shd w:val="clear" w:color="FFFFFF" w:fill="FFFFFF"/>
            <w:noWrap/>
            <w:vAlign w:val="bottom"/>
            <w:hideMark/>
          </w:tcPr>
          <w:p w14:paraId="05340645" w14:textId="77777777" w:rsidR="00A43992" w:rsidRDefault="00A43992" w:rsidP="007211E3">
            <w:pPr>
              <w:jc w:val="right"/>
              <w:rPr>
                <w:rFonts w:ascii="Arial" w:hAnsi="Arial" w:cs="Arial"/>
                <w:sz w:val="18"/>
                <w:szCs w:val="18"/>
              </w:rPr>
            </w:pPr>
            <w:r>
              <w:rPr>
                <w:rFonts w:ascii="Arial" w:hAnsi="Arial" w:cs="Arial"/>
                <w:sz w:val="18"/>
                <w:szCs w:val="18"/>
              </w:rPr>
              <w:t> </w:t>
            </w:r>
          </w:p>
        </w:tc>
      </w:tr>
      <w:tr w:rsidR="00A43992" w14:paraId="78CA0CC9" w14:textId="77777777" w:rsidTr="007211E3">
        <w:trPr>
          <w:trHeight w:val="255"/>
        </w:trPr>
        <w:tc>
          <w:tcPr>
            <w:tcW w:w="4280" w:type="dxa"/>
            <w:tcBorders>
              <w:top w:val="nil"/>
              <w:left w:val="nil"/>
              <w:bottom w:val="nil"/>
              <w:right w:val="nil"/>
            </w:tcBorders>
            <w:shd w:val="clear" w:color="FFFFFF" w:fill="FFFFFF"/>
            <w:vAlign w:val="bottom"/>
            <w:hideMark/>
          </w:tcPr>
          <w:p w14:paraId="568ADAEF" w14:textId="77777777" w:rsidR="00A43992" w:rsidRDefault="00A43992" w:rsidP="007211E3">
            <w:pPr>
              <w:ind w:firstLineChars="100" w:firstLine="180"/>
              <w:rPr>
                <w:rFonts w:ascii="Arial" w:hAnsi="Arial" w:cs="Arial"/>
                <w:sz w:val="18"/>
                <w:szCs w:val="18"/>
              </w:rPr>
            </w:pPr>
            <w:r>
              <w:rPr>
                <w:rFonts w:ascii="Arial" w:hAnsi="Arial" w:cs="Arial"/>
                <w:sz w:val="18"/>
                <w:szCs w:val="18"/>
              </w:rPr>
              <w:t>Contributed equity</w:t>
            </w:r>
          </w:p>
        </w:tc>
        <w:tc>
          <w:tcPr>
            <w:tcW w:w="1083" w:type="dxa"/>
            <w:tcBorders>
              <w:top w:val="nil"/>
              <w:left w:val="nil"/>
              <w:bottom w:val="nil"/>
              <w:right w:val="nil"/>
            </w:tcBorders>
            <w:shd w:val="clear" w:color="FFFFFF" w:fill="FFFFFF"/>
            <w:noWrap/>
            <w:vAlign w:val="bottom"/>
            <w:hideMark/>
          </w:tcPr>
          <w:p w14:paraId="27FDE847" w14:textId="77777777" w:rsidR="00A43992" w:rsidRDefault="00A43992" w:rsidP="007211E3">
            <w:pPr>
              <w:jc w:val="center"/>
              <w:rPr>
                <w:rFonts w:ascii="Arial" w:hAnsi="Arial" w:cs="Arial"/>
                <w:sz w:val="18"/>
                <w:szCs w:val="18"/>
              </w:rPr>
            </w:pPr>
            <w:r>
              <w:rPr>
                <w:rFonts w:ascii="Arial" w:hAnsi="Arial" w:cs="Arial"/>
                <w:sz w:val="18"/>
                <w:szCs w:val="18"/>
              </w:rPr>
              <w:t> </w:t>
            </w:r>
          </w:p>
        </w:tc>
        <w:tc>
          <w:tcPr>
            <w:tcW w:w="1088" w:type="dxa"/>
            <w:tcBorders>
              <w:top w:val="nil"/>
              <w:left w:val="nil"/>
              <w:bottom w:val="nil"/>
              <w:right w:val="nil"/>
            </w:tcBorders>
            <w:shd w:val="clear" w:color="FFFFFF" w:fill="FFFFFF"/>
            <w:noWrap/>
            <w:vAlign w:val="bottom"/>
            <w:hideMark/>
          </w:tcPr>
          <w:p w14:paraId="52C4C362" w14:textId="77777777" w:rsidR="00A43992" w:rsidRPr="00267088" w:rsidRDefault="00A43992" w:rsidP="007211E3">
            <w:pPr>
              <w:jc w:val="right"/>
              <w:rPr>
                <w:rFonts w:ascii="Arial" w:hAnsi="Arial" w:cs="Arial"/>
                <w:b/>
                <w:bCs/>
                <w:sz w:val="18"/>
                <w:szCs w:val="18"/>
              </w:rPr>
            </w:pPr>
            <w:r w:rsidRPr="00267088">
              <w:rPr>
                <w:rFonts w:ascii="Arial" w:hAnsi="Arial" w:cs="Arial"/>
                <w:b/>
                <w:bCs/>
                <w:sz w:val="18"/>
                <w:szCs w:val="18"/>
              </w:rPr>
              <w:t>89,536</w:t>
            </w:r>
          </w:p>
        </w:tc>
        <w:tc>
          <w:tcPr>
            <w:tcW w:w="236" w:type="dxa"/>
            <w:tcBorders>
              <w:top w:val="nil"/>
              <w:left w:val="nil"/>
              <w:bottom w:val="nil"/>
              <w:right w:val="nil"/>
            </w:tcBorders>
            <w:shd w:val="clear" w:color="FFFFFF" w:fill="FFFFFF"/>
            <w:noWrap/>
            <w:vAlign w:val="bottom"/>
            <w:hideMark/>
          </w:tcPr>
          <w:p w14:paraId="61886D67" w14:textId="77777777" w:rsidR="00A43992" w:rsidRDefault="00A43992" w:rsidP="007211E3">
            <w:pPr>
              <w:rPr>
                <w:rFonts w:ascii="Arial" w:hAnsi="Arial" w:cs="Arial"/>
                <w:sz w:val="18"/>
                <w:szCs w:val="18"/>
              </w:rPr>
            </w:pPr>
            <w:r>
              <w:rPr>
                <w:rFonts w:ascii="Arial" w:hAnsi="Arial" w:cs="Arial"/>
                <w:sz w:val="18"/>
                <w:szCs w:val="18"/>
              </w:rPr>
              <w:t> </w:t>
            </w:r>
          </w:p>
        </w:tc>
        <w:tc>
          <w:tcPr>
            <w:tcW w:w="1095" w:type="dxa"/>
            <w:tcBorders>
              <w:top w:val="nil"/>
              <w:left w:val="nil"/>
              <w:bottom w:val="nil"/>
              <w:right w:val="nil"/>
            </w:tcBorders>
            <w:shd w:val="clear" w:color="FFFFFF" w:fill="FFFFFF"/>
            <w:noWrap/>
            <w:vAlign w:val="bottom"/>
            <w:hideMark/>
          </w:tcPr>
          <w:p w14:paraId="49D9EA59" w14:textId="77777777" w:rsidR="00A43992" w:rsidRDefault="00A43992" w:rsidP="007211E3">
            <w:pPr>
              <w:jc w:val="right"/>
              <w:rPr>
                <w:rFonts w:ascii="Arial" w:hAnsi="Arial" w:cs="Arial"/>
                <w:sz w:val="18"/>
                <w:szCs w:val="18"/>
              </w:rPr>
            </w:pPr>
            <w:r>
              <w:rPr>
                <w:rFonts w:ascii="Arial" w:hAnsi="Arial" w:cs="Arial"/>
                <w:sz w:val="18"/>
                <w:szCs w:val="18"/>
              </w:rPr>
              <w:t>31,780</w:t>
            </w:r>
          </w:p>
        </w:tc>
        <w:tc>
          <w:tcPr>
            <w:tcW w:w="236" w:type="dxa"/>
            <w:tcBorders>
              <w:top w:val="nil"/>
              <w:left w:val="nil"/>
              <w:bottom w:val="nil"/>
              <w:right w:val="nil"/>
            </w:tcBorders>
            <w:shd w:val="clear" w:color="FFFFFF" w:fill="FFFFFF"/>
            <w:noWrap/>
            <w:vAlign w:val="bottom"/>
            <w:hideMark/>
          </w:tcPr>
          <w:p w14:paraId="480041AE" w14:textId="77777777" w:rsidR="00A43992" w:rsidRDefault="00A43992" w:rsidP="007211E3">
            <w:pPr>
              <w:rPr>
                <w:rFonts w:ascii="Arial" w:hAnsi="Arial" w:cs="Arial"/>
                <w:sz w:val="18"/>
                <w:szCs w:val="18"/>
              </w:rPr>
            </w:pPr>
            <w:r>
              <w:rPr>
                <w:rFonts w:ascii="Arial" w:hAnsi="Arial" w:cs="Arial"/>
                <w:sz w:val="18"/>
                <w:szCs w:val="18"/>
              </w:rPr>
              <w:t> </w:t>
            </w:r>
          </w:p>
        </w:tc>
        <w:tc>
          <w:tcPr>
            <w:tcW w:w="1069" w:type="dxa"/>
            <w:tcBorders>
              <w:top w:val="nil"/>
              <w:left w:val="nil"/>
              <w:bottom w:val="nil"/>
              <w:right w:val="nil"/>
            </w:tcBorders>
            <w:shd w:val="clear" w:color="FFFFFF" w:fill="FFFFFF"/>
            <w:noWrap/>
            <w:vAlign w:val="bottom"/>
            <w:hideMark/>
          </w:tcPr>
          <w:p w14:paraId="4CE498E3" w14:textId="77777777" w:rsidR="00A43992" w:rsidRDefault="00A43992" w:rsidP="007211E3">
            <w:pPr>
              <w:jc w:val="right"/>
              <w:rPr>
                <w:rFonts w:ascii="Arial" w:hAnsi="Arial" w:cs="Arial"/>
                <w:sz w:val="18"/>
                <w:szCs w:val="18"/>
              </w:rPr>
            </w:pPr>
            <w:r>
              <w:rPr>
                <w:rFonts w:ascii="Arial" w:hAnsi="Arial" w:cs="Arial"/>
                <w:sz w:val="18"/>
                <w:szCs w:val="18"/>
              </w:rPr>
              <w:t xml:space="preserve">89,536 </w:t>
            </w:r>
          </w:p>
        </w:tc>
      </w:tr>
      <w:tr w:rsidR="00A43992" w14:paraId="3D56A883" w14:textId="77777777" w:rsidTr="007211E3">
        <w:trPr>
          <w:trHeight w:val="255"/>
        </w:trPr>
        <w:tc>
          <w:tcPr>
            <w:tcW w:w="4280" w:type="dxa"/>
            <w:tcBorders>
              <w:top w:val="nil"/>
              <w:left w:val="nil"/>
              <w:bottom w:val="nil"/>
              <w:right w:val="nil"/>
            </w:tcBorders>
            <w:shd w:val="clear" w:color="FFFFFF" w:fill="FFFFFF"/>
            <w:vAlign w:val="bottom"/>
            <w:hideMark/>
          </w:tcPr>
          <w:p w14:paraId="7A59706E" w14:textId="77777777" w:rsidR="00A43992" w:rsidRDefault="00A43992" w:rsidP="007211E3">
            <w:pPr>
              <w:ind w:firstLineChars="100" w:firstLine="180"/>
              <w:rPr>
                <w:rFonts w:ascii="Arial" w:hAnsi="Arial" w:cs="Arial"/>
                <w:sz w:val="18"/>
                <w:szCs w:val="18"/>
              </w:rPr>
            </w:pPr>
            <w:r>
              <w:rPr>
                <w:rFonts w:ascii="Arial" w:hAnsi="Arial" w:cs="Arial"/>
                <w:sz w:val="18"/>
                <w:szCs w:val="18"/>
              </w:rPr>
              <w:t>Reserves</w:t>
            </w:r>
          </w:p>
        </w:tc>
        <w:tc>
          <w:tcPr>
            <w:tcW w:w="1083" w:type="dxa"/>
            <w:tcBorders>
              <w:top w:val="nil"/>
              <w:left w:val="nil"/>
              <w:bottom w:val="nil"/>
              <w:right w:val="nil"/>
            </w:tcBorders>
            <w:shd w:val="clear" w:color="FFFFFF" w:fill="FFFFFF"/>
            <w:noWrap/>
            <w:vAlign w:val="bottom"/>
            <w:hideMark/>
          </w:tcPr>
          <w:p w14:paraId="543B1E13" w14:textId="77777777" w:rsidR="00A43992" w:rsidRDefault="00A43992" w:rsidP="007211E3">
            <w:pPr>
              <w:jc w:val="center"/>
              <w:rPr>
                <w:rFonts w:ascii="Arial" w:hAnsi="Arial" w:cs="Arial"/>
                <w:sz w:val="18"/>
                <w:szCs w:val="18"/>
              </w:rPr>
            </w:pPr>
            <w:r>
              <w:rPr>
                <w:rFonts w:ascii="Arial" w:hAnsi="Arial" w:cs="Arial"/>
                <w:sz w:val="18"/>
                <w:szCs w:val="18"/>
              </w:rPr>
              <w:t> </w:t>
            </w:r>
          </w:p>
        </w:tc>
        <w:tc>
          <w:tcPr>
            <w:tcW w:w="1088" w:type="dxa"/>
            <w:tcBorders>
              <w:top w:val="nil"/>
              <w:left w:val="nil"/>
              <w:bottom w:val="nil"/>
              <w:right w:val="nil"/>
            </w:tcBorders>
            <w:shd w:val="clear" w:color="FFFFFF" w:fill="FFFFFF"/>
            <w:noWrap/>
            <w:vAlign w:val="bottom"/>
            <w:hideMark/>
          </w:tcPr>
          <w:p w14:paraId="7AFDB151" w14:textId="77777777" w:rsidR="00A43992" w:rsidRPr="00267088" w:rsidRDefault="00A43992" w:rsidP="007211E3">
            <w:pPr>
              <w:jc w:val="right"/>
              <w:rPr>
                <w:rFonts w:ascii="Arial" w:hAnsi="Arial" w:cs="Arial"/>
                <w:b/>
                <w:bCs/>
                <w:sz w:val="18"/>
                <w:szCs w:val="18"/>
              </w:rPr>
            </w:pPr>
            <w:r w:rsidRPr="00267088">
              <w:rPr>
                <w:rFonts w:ascii="Arial" w:hAnsi="Arial" w:cs="Arial"/>
                <w:b/>
                <w:bCs/>
                <w:sz w:val="18"/>
                <w:szCs w:val="18"/>
              </w:rPr>
              <w:t>1,881</w:t>
            </w:r>
          </w:p>
        </w:tc>
        <w:tc>
          <w:tcPr>
            <w:tcW w:w="236" w:type="dxa"/>
            <w:tcBorders>
              <w:top w:val="nil"/>
              <w:left w:val="nil"/>
              <w:bottom w:val="nil"/>
              <w:right w:val="nil"/>
            </w:tcBorders>
            <w:shd w:val="clear" w:color="FFFFFF" w:fill="FFFFFF"/>
            <w:noWrap/>
            <w:vAlign w:val="bottom"/>
            <w:hideMark/>
          </w:tcPr>
          <w:p w14:paraId="71885846" w14:textId="77777777" w:rsidR="00A43992" w:rsidRDefault="00A43992" w:rsidP="007211E3">
            <w:pPr>
              <w:rPr>
                <w:rFonts w:ascii="Arial" w:hAnsi="Arial" w:cs="Arial"/>
                <w:sz w:val="18"/>
                <w:szCs w:val="18"/>
              </w:rPr>
            </w:pPr>
            <w:r>
              <w:rPr>
                <w:rFonts w:ascii="Arial" w:hAnsi="Arial" w:cs="Arial"/>
                <w:sz w:val="18"/>
                <w:szCs w:val="18"/>
              </w:rPr>
              <w:t> </w:t>
            </w:r>
          </w:p>
        </w:tc>
        <w:tc>
          <w:tcPr>
            <w:tcW w:w="1095" w:type="dxa"/>
            <w:tcBorders>
              <w:top w:val="nil"/>
              <w:left w:val="nil"/>
              <w:bottom w:val="nil"/>
              <w:right w:val="nil"/>
            </w:tcBorders>
            <w:shd w:val="clear" w:color="FFFFFF" w:fill="FFFFFF"/>
            <w:noWrap/>
            <w:vAlign w:val="bottom"/>
            <w:hideMark/>
          </w:tcPr>
          <w:p w14:paraId="16AF6C58" w14:textId="77777777" w:rsidR="00A43992" w:rsidRDefault="00A43992" w:rsidP="007211E3">
            <w:pPr>
              <w:jc w:val="right"/>
              <w:rPr>
                <w:rFonts w:ascii="Arial" w:hAnsi="Arial" w:cs="Arial"/>
                <w:sz w:val="18"/>
                <w:szCs w:val="18"/>
              </w:rPr>
            </w:pPr>
            <w:r>
              <w:rPr>
                <w:rFonts w:ascii="Arial" w:hAnsi="Arial" w:cs="Arial"/>
                <w:sz w:val="18"/>
                <w:szCs w:val="18"/>
              </w:rPr>
              <w:t>-</w:t>
            </w:r>
          </w:p>
        </w:tc>
        <w:tc>
          <w:tcPr>
            <w:tcW w:w="236" w:type="dxa"/>
            <w:tcBorders>
              <w:top w:val="nil"/>
              <w:left w:val="nil"/>
              <w:bottom w:val="nil"/>
              <w:right w:val="nil"/>
            </w:tcBorders>
            <w:shd w:val="clear" w:color="FFFFFF" w:fill="FFFFFF"/>
            <w:noWrap/>
            <w:vAlign w:val="bottom"/>
            <w:hideMark/>
          </w:tcPr>
          <w:p w14:paraId="62DC29A2" w14:textId="77777777" w:rsidR="00A43992" w:rsidRDefault="00A43992" w:rsidP="007211E3">
            <w:pPr>
              <w:rPr>
                <w:rFonts w:ascii="Arial" w:hAnsi="Arial" w:cs="Arial"/>
                <w:sz w:val="18"/>
                <w:szCs w:val="18"/>
              </w:rPr>
            </w:pPr>
            <w:r>
              <w:rPr>
                <w:rFonts w:ascii="Arial" w:hAnsi="Arial" w:cs="Arial"/>
                <w:sz w:val="18"/>
                <w:szCs w:val="18"/>
              </w:rPr>
              <w:t> </w:t>
            </w:r>
          </w:p>
        </w:tc>
        <w:tc>
          <w:tcPr>
            <w:tcW w:w="1069" w:type="dxa"/>
            <w:tcBorders>
              <w:top w:val="nil"/>
              <w:left w:val="nil"/>
              <w:bottom w:val="nil"/>
              <w:right w:val="nil"/>
            </w:tcBorders>
            <w:shd w:val="clear" w:color="FFFFFF" w:fill="FFFFFF"/>
            <w:noWrap/>
            <w:vAlign w:val="bottom"/>
            <w:hideMark/>
          </w:tcPr>
          <w:p w14:paraId="33361880" w14:textId="77777777" w:rsidR="00A43992" w:rsidRDefault="00A43992" w:rsidP="007211E3">
            <w:pPr>
              <w:jc w:val="right"/>
              <w:rPr>
                <w:rFonts w:ascii="Arial" w:hAnsi="Arial" w:cs="Arial"/>
                <w:sz w:val="18"/>
                <w:szCs w:val="18"/>
              </w:rPr>
            </w:pPr>
            <w:r>
              <w:rPr>
                <w:rFonts w:ascii="Arial" w:hAnsi="Arial" w:cs="Arial"/>
                <w:sz w:val="18"/>
                <w:szCs w:val="18"/>
              </w:rPr>
              <w:t xml:space="preserve"> -</w:t>
            </w:r>
          </w:p>
        </w:tc>
      </w:tr>
      <w:tr w:rsidR="00A43992" w14:paraId="57BCAF6E" w14:textId="77777777" w:rsidTr="007211E3">
        <w:trPr>
          <w:trHeight w:val="255"/>
        </w:trPr>
        <w:tc>
          <w:tcPr>
            <w:tcW w:w="4280" w:type="dxa"/>
            <w:tcBorders>
              <w:top w:val="nil"/>
              <w:left w:val="nil"/>
              <w:bottom w:val="nil"/>
              <w:right w:val="nil"/>
            </w:tcBorders>
            <w:shd w:val="clear" w:color="FFFFFF" w:fill="FFFFFF"/>
            <w:vAlign w:val="bottom"/>
            <w:hideMark/>
          </w:tcPr>
          <w:p w14:paraId="408B8467" w14:textId="77777777" w:rsidR="00A43992" w:rsidRDefault="00A43992" w:rsidP="007211E3">
            <w:pPr>
              <w:ind w:firstLineChars="100" w:firstLine="180"/>
              <w:rPr>
                <w:rFonts w:ascii="Arial" w:hAnsi="Arial" w:cs="Arial"/>
                <w:sz w:val="18"/>
                <w:szCs w:val="18"/>
              </w:rPr>
            </w:pPr>
            <w:r>
              <w:rPr>
                <w:rFonts w:ascii="Arial" w:hAnsi="Arial" w:cs="Arial"/>
                <w:sz w:val="18"/>
                <w:szCs w:val="18"/>
              </w:rPr>
              <w:t>Retained surplus</w:t>
            </w:r>
          </w:p>
        </w:tc>
        <w:tc>
          <w:tcPr>
            <w:tcW w:w="1083" w:type="dxa"/>
            <w:tcBorders>
              <w:top w:val="nil"/>
              <w:left w:val="nil"/>
              <w:bottom w:val="nil"/>
              <w:right w:val="nil"/>
            </w:tcBorders>
            <w:shd w:val="clear" w:color="FFFFFF" w:fill="FFFFFF"/>
            <w:noWrap/>
            <w:vAlign w:val="bottom"/>
            <w:hideMark/>
          </w:tcPr>
          <w:p w14:paraId="436342F4" w14:textId="77777777" w:rsidR="00A43992" w:rsidRDefault="00A43992" w:rsidP="007211E3">
            <w:pPr>
              <w:jc w:val="center"/>
              <w:rPr>
                <w:rFonts w:ascii="Arial" w:hAnsi="Arial" w:cs="Arial"/>
                <w:sz w:val="18"/>
                <w:szCs w:val="18"/>
              </w:rPr>
            </w:pPr>
            <w:r>
              <w:rPr>
                <w:rFonts w:ascii="Arial" w:hAnsi="Arial" w:cs="Arial"/>
                <w:sz w:val="18"/>
                <w:szCs w:val="18"/>
              </w:rPr>
              <w:t> </w:t>
            </w:r>
          </w:p>
        </w:tc>
        <w:tc>
          <w:tcPr>
            <w:tcW w:w="1088" w:type="dxa"/>
            <w:tcBorders>
              <w:top w:val="nil"/>
              <w:left w:val="nil"/>
              <w:bottom w:val="nil"/>
              <w:right w:val="nil"/>
            </w:tcBorders>
            <w:shd w:val="clear" w:color="FFFFFF" w:fill="FFFFFF"/>
            <w:noWrap/>
            <w:vAlign w:val="bottom"/>
            <w:hideMark/>
          </w:tcPr>
          <w:p w14:paraId="520C54D2" w14:textId="77777777" w:rsidR="00A43992" w:rsidRPr="00267088" w:rsidRDefault="00A43992" w:rsidP="007211E3">
            <w:pPr>
              <w:jc w:val="right"/>
              <w:rPr>
                <w:rFonts w:ascii="Arial" w:hAnsi="Arial" w:cs="Arial"/>
                <w:b/>
                <w:bCs/>
                <w:sz w:val="18"/>
                <w:szCs w:val="18"/>
              </w:rPr>
            </w:pPr>
            <w:r w:rsidRPr="00267088">
              <w:rPr>
                <w:rFonts w:ascii="Arial" w:hAnsi="Arial" w:cs="Arial"/>
                <w:b/>
                <w:bCs/>
                <w:sz w:val="18"/>
                <w:szCs w:val="18"/>
              </w:rPr>
              <w:t>34,169</w:t>
            </w:r>
          </w:p>
        </w:tc>
        <w:tc>
          <w:tcPr>
            <w:tcW w:w="236" w:type="dxa"/>
            <w:tcBorders>
              <w:top w:val="nil"/>
              <w:left w:val="nil"/>
              <w:bottom w:val="nil"/>
              <w:right w:val="nil"/>
            </w:tcBorders>
            <w:shd w:val="clear" w:color="FFFFFF" w:fill="FFFFFF"/>
            <w:noWrap/>
            <w:vAlign w:val="bottom"/>
            <w:hideMark/>
          </w:tcPr>
          <w:p w14:paraId="3E1ECF63" w14:textId="77777777" w:rsidR="00A43992" w:rsidRDefault="00A43992" w:rsidP="007211E3">
            <w:pPr>
              <w:rPr>
                <w:rFonts w:ascii="Arial" w:hAnsi="Arial" w:cs="Arial"/>
                <w:sz w:val="18"/>
                <w:szCs w:val="18"/>
              </w:rPr>
            </w:pPr>
            <w:r>
              <w:rPr>
                <w:rFonts w:ascii="Arial" w:hAnsi="Arial" w:cs="Arial"/>
                <w:sz w:val="18"/>
                <w:szCs w:val="18"/>
              </w:rPr>
              <w:t> </w:t>
            </w:r>
          </w:p>
        </w:tc>
        <w:tc>
          <w:tcPr>
            <w:tcW w:w="1095" w:type="dxa"/>
            <w:tcBorders>
              <w:top w:val="nil"/>
              <w:left w:val="nil"/>
              <w:bottom w:val="nil"/>
              <w:right w:val="nil"/>
            </w:tcBorders>
            <w:shd w:val="clear" w:color="FFFFFF" w:fill="FFFFFF"/>
            <w:noWrap/>
            <w:vAlign w:val="bottom"/>
            <w:hideMark/>
          </w:tcPr>
          <w:p w14:paraId="3F06CD4D" w14:textId="77777777" w:rsidR="00A43992" w:rsidRDefault="00A43992" w:rsidP="007211E3">
            <w:pPr>
              <w:jc w:val="right"/>
              <w:rPr>
                <w:rFonts w:ascii="Arial" w:hAnsi="Arial" w:cs="Arial"/>
                <w:sz w:val="18"/>
                <w:szCs w:val="18"/>
              </w:rPr>
            </w:pPr>
            <w:r>
              <w:rPr>
                <w:rFonts w:ascii="Arial" w:hAnsi="Arial" w:cs="Arial"/>
                <w:sz w:val="18"/>
                <w:szCs w:val="18"/>
              </w:rPr>
              <w:t>18,387</w:t>
            </w:r>
          </w:p>
        </w:tc>
        <w:tc>
          <w:tcPr>
            <w:tcW w:w="236" w:type="dxa"/>
            <w:tcBorders>
              <w:top w:val="nil"/>
              <w:left w:val="nil"/>
              <w:bottom w:val="nil"/>
              <w:right w:val="nil"/>
            </w:tcBorders>
            <w:shd w:val="clear" w:color="FFFFFF" w:fill="FFFFFF"/>
            <w:noWrap/>
            <w:vAlign w:val="bottom"/>
            <w:hideMark/>
          </w:tcPr>
          <w:p w14:paraId="02FECFA1" w14:textId="77777777" w:rsidR="00A43992" w:rsidRDefault="00A43992" w:rsidP="007211E3">
            <w:pPr>
              <w:rPr>
                <w:rFonts w:ascii="Arial" w:hAnsi="Arial" w:cs="Arial"/>
                <w:sz w:val="18"/>
                <w:szCs w:val="18"/>
              </w:rPr>
            </w:pPr>
            <w:r>
              <w:rPr>
                <w:rFonts w:ascii="Arial" w:hAnsi="Arial" w:cs="Arial"/>
                <w:sz w:val="18"/>
                <w:szCs w:val="18"/>
              </w:rPr>
              <w:t> </w:t>
            </w:r>
          </w:p>
        </w:tc>
        <w:tc>
          <w:tcPr>
            <w:tcW w:w="1069" w:type="dxa"/>
            <w:tcBorders>
              <w:top w:val="nil"/>
              <w:left w:val="nil"/>
              <w:bottom w:val="nil"/>
              <w:right w:val="nil"/>
            </w:tcBorders>
            <w:shd w:val="clear" w:color="FFFFFF" w:fill="FFFFFF"/>
            <w:noWrap/>
            <w:vAlign w:val="bottom"/>
            <w:hideMark/>
          </w:tcPr>
          <w:p w14:paraId="04700000" w14:textId="77777777" w:rsidR="00A43992" w:rsidRDefault="00A43992" w:rsidP="007211E3">
            <w:pPr>
              <w:jc w:val="right"/>
              <w:rPr>
                <w:rFonts w:ascii="Arial" w:hAnsi="Arial" w:cs="Arial"/>
                <w:sz w:val="18"/>
                <w:szCs w:val="18"/>
              </w:rPr>
            </w:pPr>
            <w:r>
              <w:rPr>
                <w:rFonts w:ascii="Arial" w:hAnsi="Arial" w:cs="Arial"/>
                <w:sz w:val="18"/>
                <w:szCs w:val="18"/>
              </w:rPr>
              <w:t xml:space="preserve">17,978 </w:t>
            </w:r>
          </w:p>
        </w:tc>
      </w:tr>
      <w:tr w:rsidR="00A43992" w14:paraId="0807429B" w14:textId="77777777" w:rsidTr="007211E3">
        <w:trPr>
          <w:trHeight w:val="255"/>
        </w:trPr>
        <w:tc>
          <w:tcPr>
            <w:tcW w:w="4280" w:type="dxa"/>
            <w:tcBorders>
              <w:top w:val="nil"/>
              <w:left w:val="nil"/>
              <w:bottom w:val="nil"/>
              <w:right w:val="nil"/>
            </w:tcBorders>
            <w:shd w:val="clear" w:color="FFFFFF" w:fill="FFFFFF"/>
            <w:vAlign w:val="bottom"/>
            <w:hideMark/>
          </w:tcPr>
          <w:p w14:paraId="7CA2FEF7" w14:textId="77777777" w:rsidR="00A43992" w:rsidRDefault="00A43992" w:rsidP="007211E3">
            <w:pPr>
              <w:rPr>
                <w:rFonts w:ascii="Arial" w:hAnsi="Arial" w:cs="Arial"/>
                <w:b/>
                <w:bCs/>
                <w:sz w:val="18"/>
                <w:szCs w:val="18"/>
              </w:rPr>
            </w:pPr>
            <w:r>
              <w:rPr>
                <w:rFonts w:ascii="Arial" w:hAnsi="Arial" w:cs="Arial"/>
                <w:b/>
                <w:bCs/>
                <w:sz w:val="18"/>
                <w:szCs w:val="18"/>
              </w:rPr>
              <w:t>Total equity</w:t>
            </w:r>
          </w:p>
        </w:tc>
        <w:tc>
          <w:tcPr>
            <w:tcW w:w="1083" w:type="dxa"/>
            <w:tcBorders>
              <w:top w:val="nil"/>
              <w:left w:val="nil"/>
              <w:bottom w:val="nil"/>
              <w:right w:val="nil"/>
            </w:tcBorders>
            <w:shd w:val="clear" w:color="FFFFFF" w:fill="FFFFFF"/>
            <w:noWrap/>
            <w:vAlign w:val="bottom"/>
            <w:hideMark/>
          </w:tcPr>
          <w:p w14:paraId="141C4FDB" w14:textId="77777777" w:rsidR="00A43992" w:rsidRDefault="00A43992" w:rsidP="007211E3">
            <w:pPr>
              <w:jc w:val="center"/>
              <w:rPr>
                <w:rFonts w:ascii="Arial" w:hAnsi="Arial" w:cs="Arial"/>
                <w:sz w:val="18"/>
                <w:szCs w:val="18"/>
              </w:rPr>
            </w:pPr>
            <w:r>
              <w:rPr>
                <w:rFonts w:ascii="Arial" w:hAnsi="Arial" w:cs="Arial"/>
                <w:sz w:val="18"/>
                <w:szCs w:val="18"/>
              </w:rPr>
              <w:t> </w:t>
            </w:r>
          </w:p>
        </w:tc>
        <w:tc>
          <w:tcPr>
            <w:tcW w:w="1088" w:type="dxa"/>
            <w:tcBorders>
              <w:top w:val="single" w:sz="4" w:space="0" w:color="auto"/>
              <w:left w:val="nil"/>
              <w:bottom w:val="single" w:sz="4" w:space="0" w:color="auto"/>
              <w:right w:val="nil"/>
            </w:tcBorders>
            <w:shd w:val="clear" w:color="FFFFFF" w:fill="FFFFFF"/>
            <w:noWrap/>
            <w:vAlign w:val="bottom"/>
            <w:hideMark/>
          </w:tcPr>
          <w:p w14:paraId="1D303D6E" w14:textId="77777777" w:rsidR="00A43992" w:rsidRPr="00267088" w:rsidRDefault="00A43992" w:rsidP="007211E3">
            <w:pPr>
              <w:jc w:val="right"/>
              <w:rPr>
                <w:rFonts w:ascii="Arial" w:hAnsi="Arial" w:cs="Arial"/>
                <w:b/>
                <w:bCs/>
                <w:sz w:val="18"/>
                <w:szCs w:val="18"/>
              </w:rPr>
            </w:pPr>
            <w:r w:rsidRPr="00267088">
              <w:rPr>
                <w:rFonts w:ascii="Arial" w:hAnsi="Arial" w:cs="Arial"/>
                <w:b/>
                <w:bCs/>
                <w:sz w:val="18"/>
                <w:szCs w:val="18"/>
              </w:rPr>
              <w:t>125,586</w:t>
            </w:r>
          </w:p>
        </w:tc>
        <w:tc>
          <w:tcPr>
            <w:tcW w:w="236" w:type="dxa"/>
            <w:tcBorders>
              <w:top w:val="nil"/>
              <w:left w:val="nil"/>
              <w:bottom w:val="nil"/>
              <w:right w:val="nil"/>
            </w:tcBorders>
            <w:shd w:val="clear" w:color="FFFFFF" w:fill="FFFFFF"/>
            <w:noWrap/>
            <w:vAlign w:val="bottom"/>
            <w:hideMark/>
          </w:tcPr>
          <w:p w14:paraId="5EB179A1" w14:textId="77777777" w:rsidR="00A43992" w:rsidRDefault="00A43992" w:rsidP="007211E3">
            <w:pPr>
              <w:rPr>
                <w:rFonts w:ascii="Arial" w:hAnsi="Arial" w:cs="Arial"/>
                <w:sz w:val="18"/>
                <w:szCs w:val="18"/>
              </w:rPr>
            </w:pPr>
            <w:r>
              <w:rPr>
                <w:rFonts w:ascii="Arial" w:hAnsi="Arial" w:cs="Arial"/>
                <w:sz w:val="18"/>
                <w:szCs w:val="18"/>
              </w:rPr>
              <w:t> </w:t>
            </w:r>
          </w:p>
        </w:tc>
        <w:tc>
          <w:tcPr>
            <w:tcW w:w="1095" w:type="dxa"/>
            <w:tcBorders>
              <w:top w:val="single" w:sz="4" w:space="0" w:color="auto"/>
              <w:left w:val="nil"/>
              <w:bottom w:val="single" w:sz="4" w:space="0" w:color="auto"/>
              <w:right w:val="nil"/>
            </w:tcBorders>
            <w:shd w:val="clear" w:color="FFFFFF" w:fill="FFFFFF"/>
            <w:noWrap/>
            <w:vAlign w:val="bottom"/>
            <w:hideMark/>
          </w:tcPr>
          <w:p w14:paraId="5993F911" w14:textId="77777777" w:rsidR="00A43992" w:rsidRDefault="00A43992" w:rsidP="007211E3">
            <w:pPr>
              <w:jc w:val="right"/>
              <w:rPr>
                <w:rFonts w:ascii="Arial" w:hAnsi="Arial" w:cs="Arial"/>
                <w:sz w:val="18"/>
                <w:szCs w:val="18"/>
              </w:rPr>
            </w:pPr>
            <w:r>
              <w:rPr>
                <w:rFonts w:ascii="Arial" w:hAnsi="Arial" w:cs="Arial"/>
                <w:sz w:val="18"/>
                <w:szCs w:val="18"/>
              </w:rPr>
              <w:t>50,167</w:t>
            </w:r>
          </w:p>
        </w:tc>
        <w:tc>
          <w:tcPr>
            <w:tcW w:w="236" w:type="dxa"/>
            <w:tcBorders>
              <w:top w:val="nil"/>
              <w:left w:val="nil"/>
              <w:bottom w:val="nil"/>
              <w:right w:val="nil"/>
            </w:tcBorders>
            <w:shd w:val="clear" w:color="FFFFFF" w:fill="FFFFFF"/>
            <w:noWrap/>
            <w:vAlign w:val="bottom"/>
            <w:hideMark/>
          </w:tcPr>
          <w:p w14:paraId="1CC6EA61" w14:textId="77777777" w:rsidR="00A43992" w:rsidRDefault="00A43992" w:rsidP="007211E3">
            <w:pPr>
              <w:rPr>
                <w:rFonts w:ascii="Arial" w:hAnsi="Arial" w:cs="Arial"/>
                <w:sz w:val="18"/>
                <w:szCs w:val="18"/>
              </w:rPr>
            </w:pPr>
            <w:r>
              <w:rPr>
                <w:rFonts w:ascii="Arial" w:hAnsi="Arial" w:cs="Arial"/>
                <w:sz w:val="18"/>
                <w:szCs w:val="18"/>
              </w:rPr>
              <w:t> </w:t>
            </w:r>
          </w:p>
        </w:tc>
        <w:tc>
          <w:tcPr>
            <w:tcW w:w="1069" w:type="dxa"/>
            <w:tcBorders>
              <w:top w:val="single" w:sz="4" w:space="0" w:color="auto"/>
              <w:left w:val="nil"/>
              <w:bottom w:val="single" w:sz="4" w:space="0" w:color="auto"/>
              <w:right w:val="nil"/>
            </w:tcBorders>
            <w:shd w:val="clear" w:color="FFFFFF" w:fill="FFFFFF"/>
            <w:noWrap/>
            <w:vAlign w:val="bottom"/>
            <w:hideMark/>
          </w:tcPr>
          <w:p w14:paraId="161A3F9E" w14:textId="77777777" w:rsidR="00A43992" w:rsidRDefault="00A43992" w:rsidP="007211E3">
            <w:pPr>
              <w:jc w:val="right"/>
              <w:rPr>
                <w:rFonts w:ascii="Arial" w:hAnsi="Arial" w:cs="Arial"/>
                <w:sz w:val="18"/>
                <w:szCs w:val="18"/>
              </w:rPr>
            </w:pPr>
            <w:r>
              <w:rPr>
                <w:rFonts w:ascii="Arial" w:hAnsi="Arial" w:cs="Arial"/>
                <w:sz w:val="18"/>
                <w:szCs w:val="18"/>
              </w:rPr>
              <w:t>107,514</w:t>
            </w:r>
          </w:p>
        </w:tc>
      </w:tr>
    </w:tbl>
    <w:p w14:paraId="1992DC40" w14:textId="77777777" w:rsidR="00A43992" w:rsidRPr="005E5430" w:rsidRDefault="00A43992" w:rsidP="00A43992">
      <w:bookmarkStart w:id="98" w:name="RANGE!D6:H52"/>
      <w:bookmarkStart w:id="99" w:name="RANGE!D6:H53"/>
      <w:bookmarkStart w:id="100" w:name="RANGE!D6:D56"/>
      <w:bookmarkStart w:id="101" w:name="RANGE!D6:D57"/>
      <w:bookmarkStart w:id="102" w:name="RANGE!D6:H57"/>
      <w:bookmarkEnd w:id="98"/>
      <w:bookmarkEnd w:id="99"/>
      <w:bookmarkEnd w:id="100"/>
      <w:bookmarkEnd w:id="101"/>
      <w:bookmarkEnd w:id="102"/>
    </w:p>
    <w:p w14:paraId="32182F9C" w14:textId="77777777" w:rsidR="00A43992" w:rsidRDefault="00A43992" w:rsidP="00A43992">
      <w:pPr>
        <w:pStyle w:val="ReferenceText"/>
      </w:pPr>
      <w:r w:rsidRPr="005E5430">
        <w:t>The above statement should be read in conjunction with the accompanying notes.</w:t>
      </w:r>
    </w:p>
    <w:p w14:paraId="64E73B87" w14:textId="77777777" w:rsidR="00A43992" w:rsidRDefault="00A43992" w:rsidP="00A43992">
      <w:pPr>
        <w:spacing w:line="240" w:lineRule="auto"/>
        <w:rPr>
          <w:rFonts w:ascii="Arial" w:hAnsi="Arial"/>
          <w:sz w:val="18"/>
          <w:lang w:eastAsia="en-AU"/>
        </w:rPr>
      </w:pPr>
      <w:r>
        <w:br w:type="page"/>
      </w:r>
    </w:p>
    <w:p w14:paraId="15E38B4E" w14:textId="0F1C01F3" w:rsidR="00A43992" w:rsidRDefault="00A43992" w:rsidP="00A43992">
      <w:pPr>
        <w:pStyle w:val="PolicyheadingDept"/>
        <w:pBdr>
          <w:top w:val="none" w:sz="0" w:space="0" w:color="auto"/>
          <w:left w:val="none" w:sz="0" w:space="0" w:color="auto"/>
          <w:bottom w:val="none" w:sz="0" w:space="0" w:color="auto"/>
          <w:right w:val="none" w:sz="0" w:space="0" w:color="auto"/>
        </w:pBdr>
        <w:outlineLvl w:val="0"/>
      </w:pPr>
      <w:r w:rsidRPr="00D54E7F">
        <w:lastRenderedPageBreak/>
        <w:t>Budget Variances Commentary</w:t>
      </w:r>
    </w:p>
    <w:p w14:paraId="5563D9F8" w14:textId="6B35F327" w:rsidR="00A43992" w:rsidRPr="00BA6414" w:rsidRDefault="00A43992" w:rsidP="00A43992">
      <w:pPr>
        <w:pStyle w:val="PolicyheadingDept"/>
        <w:pBdr>
          <w:top w:val="none" w:sz="0" w:space="0" w:color="auto"/>
          <w:left w:val="none" w:sz="0" w:space="0" w:color="auto"/>
          <w:bottom w:val="none" w:sz="0" w:space="0" w:color="auto"/>
          <w:right w:val="none" w:sz="0" w:space="0" w:color="auto"/>
        </w:pBdr>
        <w:outlineLvl w:val="0"/>
      </w:pPr>
      <w:r>
        <w:t>Statement of Financial Position</w:t>
      </w:r>
    </w:p>
    <w:tbl>
      <w:tblPr>
        <w:tblW w:w="9356"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6662"/>
      </w:tblGrid>
      <w:tr w:rsidR="00A43992" w14:paraId="369631D0" w14:textId="77777777" w:rsidTr="007211E3">
        <w:trPr>
          <w:cantSplit/>
          <w:trHeight w:val="255"/>
          <w:tblHeader/>
        </w:trPr>
        <w:tc>
          <w:tcPr>
            <w:tcW w:w="2694" w:type="dxa"/>
            <w:tcBorders>
              <w:top w:val="single" w:sz="12" w:space="0" w:color="auto"/>
              <w:left w:val="single" w:sz="12" w:space="0" w:color="auto"/>
              <w:bottom w:val="single" w:sz="12" w:space="0" w:color="auto"/>
              <w:right w:val="single" w:sz="6" w:space="0" w:color="auto"/>
            </w:tcBorders>
            <w:shd w:val="clear" w:color="FFFFFF" w:fill="FFFFFF"/>
            <w:noWrap/>
            <w:vAlign w:val="center"/>
          </w:tcPr>
          <w:p w14:paraId="72ADE67E" w14:textId="77777777" w:rsidR="00A43992" w:rsidRPr="002E4757" w:rsidRDefault="00A43992" w:rsidP="007211E3">
            <w:pPr>
              <w:rPr>
                <w:rFonts w:ascii="Arial" w:hAnsi="Arial" w:cs="Arial"/>
                <w:b/>
                <w:sz w:val="18"/>
                <w:szCs w:val="18"/>
              </w:rPr>
            </w:pPr>
            <w:r>
              <w:rPr>
                <w:rFonts w:ascii="Arial" w:hAnsi="Arial" w:cs="Arial"/>
                <w:b/>
                <w:sz w:val="18"/>
                <w:szCs w:val="18"/>
              </w:rPr>
              <w:t>Affected line items</w:t>
            </w:r>
          </w:p>
        </w:tc>
        <w:tc>
          <w:tcPr>
            <w:tcW w:w="6662" w:type="dxa"/>
            <w:tcBorders>
              <w:top w:val="single" w:sz="12" w:space="0" w:color="auto"/>
              <w:left w:val="single" w:sz="6" w:space="0" w:color="auto"/>
              <w:bottom w:val="single" w:sz="12" w:space="0" w:color="auto"/>
              <w:right w:val="single" w:sz="12" w:space="0" w:color="auto"/>
            </w:tcBorders>
            <w:shd w:val="clear" w:color="FFFFFF" w:fill="FFFFFF"/>
            <w:vAlign w:val="center"/>
          </w:tcPr>
          <w:p w14:paraId="14706317" w14:textId="77777777" w:rsidR="00A43992" w:rsidRPr="002E4757" w:rsidRDefault="00A43992" w:rsidP="007211E3">
            <w:pPr>
              <w:rPr>
                <w:rFonts w:ascii="Arial" w:hAnsi="Arial" w:cs="Arial"/>
                <w:b/>
                <w:sz w:val="18"/>
                <w:szCs w:val="18"/>
              </w:rPr>
            </w:pPr>
            <w:r>
              <w:rPr>
                <w:rFonts w:ascii="Arial" w:hAnsi="Arial" w:cs="Arial"/>
                <w:b/>
                <w:sz w:val="18"/>
                <w:szCs w:val="18"/>
              </w:rPr>
              <w:t>Explanations of major variances</w:t>
            </w:r>
          </w:p>
        </w:tc>
      </w:tr>
      <w:tr w:rsidR="00A43992" w14:paraId="08A8EC8A" w14:textId="77777777" w:rsidTr="007211E3">
        <w:trPr>
          <w:cantSplit/>
          <w:trHeight w:val="255"/>
        </w:trPr>
        <w:tc>
          <w:tcPr>
            <w:tcW w:w="2694" w:type="dxa"/>
            <w:tcBorders>
              <w:top w:val="single" w:sz="6" w:space="0" w:color="auto"/>
              <w:left w:val="single" w:sz="12" w:space="0" w:color="auto"/>
              <w:bottom w:val="single" w:sz="6" w:space="0" w:color="auto"/>
            </w:tcBorders>
            <w:shd w:val="clear" w:color="FFFFFF" w:fill="FFFFFF"/>
            <w:noWrap/>
          </w:tcPr>
          <w:p w14:paraId="3B01C4D7" w14:textId="77777777" w:rsidR="00A43992" w:rsidRPr="00926B5F" w:rsidRDefault="00A43992" w:rsidP="007211E3">
            <w:pPr>
              <w:rPr>
                <w:rFonts w:ascii="Arial" w:hAnsi="Arial" w:cs="Arial"/>
                <w:bCs/>
                <w:i/>
                <w:sz w:val="18"/>
                <w:szCs w:val="18"/>
              </w:rPr>
            </w:pPr>
            <w:r w:rsidRPr="00926B5F">
              <w:rPr>
                <w:rFonts w:ascii="Arial" w:hAnsi="Arial" w:cs="Arial"/>
                <w:bCs/>
                <w:i/>
                <w:sz w:val="18"/>
                <w:szCs w:val="18"/>
              </w:rPr>
              <w:t>Cash and cash equivalents</w:t>
            </w:r>
          </w:p>
        </w:tc>
        <w:tc>
          <w:tcPr>
            <w:tcW w:w="6662" w:type="dxa"/>
            <w:tcBorders>
              <w:top w:val="single" w:sz="6" w:space="0" w:color="auto"/>
              <w:bottom w:val="single" w:sz="6" w:space="0" w:color="auto"/>
              <w:right w:val="single" w:sz="12" w:space="0" w:color="auto"/>
            </w:tcBorders>
            <w:shd w:val="clear" w:color="FFFFFF" w:fill="FFFFFF"/>
            <w:noWrap/>
          </w:tcPr>
          <w:p w14:paraId="4DE9427F" w14:textId="77777777" w:rsidR="00A43992" w:rsidRDefault="00A43992" w:rsidP="007211E3">
            <w:pPr>
              <w:rPr>
                <w:rFonts w:ascii="Arial" w:hAnsi="Arial" w:cs="Arial"/>
                <w:sz w:val="18"/>
                <w:szCs w:val="18"/>
              </w:rPr>
            </w:pPr>
            <w:r>
              <w:rPr>
                <w:rFonts w:ascii="Arial" w:hAnsi="Arial" w:cs="Arial"/>
                <w:sz w:val="18"/>
                <w:szCs w:val="18"/>
              </w:rPr>
              <w:t>Major variances for cash and cash equivalents are detailed in the Budget Variances Commentary for the Cash Flow Statement.</w:t>
            </w:r>
          </w:p>
        </w:tc>
      </w:tr>
      <w:tr w:rsidR="00A43992" w14:paraId="4D44144B" w14:textId="77777777" w:rsidTr="007211E3">
        <w:trPr>
          <w:cantSplit/>
          <w:trHeight w:val="255"/>
        </w:trPr>
        <w:tc>
          <w:tcPr>
            <w:tcW w:w="2694" w:type="dxa"/>
            <w:tcBorders>
              <w:top w:val="single" w:sz="6" w:space="0" w:color="auto"/>
              <w:left w:val="single" w:sz="12" w:space="0" w:color="auto"/>
              <w:bottom w:val="single" w:sz="6" w:space="0" w:color="auto"/>
            </w:tcBorders>
            <w:shd w:val="clear" w:color="FFFFFF" w:fill="FFFFFF"/>
            <w:noWrap/>
          </w:tcPr>
          <w:p w14:paraId="53871AE9" w14:textId="77777777" w:rsidR="00A43992" w:rsidRPr="008E7291" w:rsidRDefault="00A43992" w:rsidP="007211E3">
            <w:pPr>
              <w:rPr>
                <w:rFonts w:ascii="Arial" w:hAnsi="Arial" w:cs="Arial"/>
                <w:bCs/>
                <w:i/>
                <w:sz w:val="18"/>
                <w:szCs w:val="18"/>
              </w:rPr>
            </w:pPr>
            <w:r>
              <w:rPr>
                <w:rFonts w:ascii="Arial" w:hAnsi="Arial" w:cs="Arial"/>
                <w:bCs/>
                <w:i/>
                <w:sz w:val="18"/>
                <w:szCs w:val="18"/>
              </w:rPr>
              <w:t>Trade and other receivables</w:t>
            </w:r>
          </w:p>
        </w:tc>
        <w:tc>
          <w:tcPr>
            <w:tcW w:w="6662" w:type="dxa"/>
            <w:tcBorders>
              <w:top w:val="single" w:sz="6" w:space="0" w:color="auto"/>
              <w:bottom w:val="single" w:sz="6" w:space="0" w:color="auto"/>
              <w:right w:val="single" w:sz="12" w:space="0" w:color="auto"/>
            </w:tcBorders>
            <w:shd w:val="clear" w:color="FFFFFF" w:fill="FFFFFF"/>
            <w:noWrap/>
          </w:tcPr>
          <w:p w14:paraId="01204001" w14:textId="77777777" w:rsidR="00A43992" w:rsidRDefault="00A43992" w:rsidP="007211E3">
            <w:pPr>
              <w:rPr>
                <w:rFonts w:ascii="Arial" w:hAnsi="Arial" w:cs="Arial"/>
                <w:sz w:val="18"/>
                <w:szCs w:val="18"/>
              </w:rPr>
            </w:pPr>
            <w:r>
              <w:rPr>
                <w:rFonts w:ascii="Arial" w:hAnsi="Arial" w:cs="Arial"/>
                <w:sz w:val="18"/>
                <w:szCs w:val="18"/>
              </w:rPr>
              <w:t>The original budget does not anticipate significant timing differences in cash collection from accounts receivable. As at 30 June 2016, the Agency has $9.2 million in state and territory scheme cash contributions outstanding that are recoverable. The Agency is also owed $11.9 million from DSS for services rendered relating to Australian Disability Enterprises</w:t>
            </w:r>
            <w:r w:rsidRPr="008C36D9">
              <w:rPr>
                <w:rFonts w:ascii="Arial" w:hAnsi="Arial" w:cs="Arial"/>
                <w:sz w:val="18"/>
                <w:szCs w:val="18"/>
              </w:rPr>
              <w:t xml:space="preserve"> as at 30 June 2016.  The amount has since been paid in early July 2016.</w:t>
            </w:r>
          </w:p>
        </w:tc>
      </w:tr>
      <w:tr w:rsidR="00A43992" w14:paraId="7A8F5201" w14:textId="77777777" w:rsidTr="007211E3">
        <w:trPr>
          <w:cantSplit/>
          <w:trHeight w:val="255"/>
        </w:trPr>
        <w:tc>
          <w:tcPr>
            <w:tcW w:w="2694" w:type="dxa"/>
            <w:tcBorders>
              <w:top w:val="single" w:sz="6" w:space="0" w:color="auto"/>
              <w:left w:val="single" w:sz="12" w:space="0" w:color="auto"/>
              <w:bottom w:val="single" w:sz="6" w:space="0" w:color="auto"/>
            </w:tcBorders>
            <w:shd w:val="clear" w:color="FFFFFF" w:fill="FFFFFF"/>
            <w:noWrap/>
          </w:tcPr>
          <w:p w14:paraId="47CB6859" w14:textId="77777777" w:rsidR="00A43992" w:rsidRPr="005013FF" w:rsidRDefault="00A43992" w:rsidP="007211E3">
            <w:pPr>
              <w:rPr>
                <w:rFonts w:ascii="Arial" w:hAnsi="Arial" w:cs="Arial"/>
                <w:bCs/>
                <w:sz w:val="18"/>
                <w:szCs w:val="18"/>
              </w:rPr>
            </w:pPr>
            <w:r>
              <w:rPr>
                <w:rFonts w:ascii="Arial" w:hAnsi="Arial" w:cs="Arial"/>
                <w:bCs/>
                <w:i/>
                <w:sz w:val="18"/>
                <w:szCs w:val="18"/>
              </w:rPr>
              <w:t>Other financial assets</w:t>
            </w:r>
          </w:p>
        </w:tc>
        <w:tc>
          <w:tcPr>
            <w:tcW w:w="6662" w:type="dxa"/>
            <w:tcBorders>
              <w:top w:val="single" w:sz="6" w:space="0" w:color="auto"/>
              <w:bottom w:val="single" w:sz="6" w:space="0" w:color="auto"/>
              <w:right w:val="single" w:sz="12" w:space="0" w:color="auto"/>
            </w:tcBorders>
            <w:shd w:val="clear" w:color="FFFFFF" w:fill="FFFFFF"/>
            <w:noWrap/>
          </w:tcPr>
          <w:p w14:paraId="616F013C" w14:textId="77777777" w:rsidR="00A43992" w:rsidRPr="00DD6C40" w:rsidRDefault="00A43992" w:rsidP="007211E3">
            <w:pPr>
              <w:rPr>
                <w:rFonts w:ascii="Arial" w:hAnsi="Arial" w:cs="Arial"/>
                <w:sz w:val="18"/>
                <w:szCs w:val="18"/>
              </w:rPr>
            </w:pPr>
            <w:r>
              <w:rPr>
                <w:rFonts w:ascii="Arial" w:hAnsi="Arial" w:cs="Arial"/>
                <w:sz w:val="18"/>
                <w:szCs w:val="18"/>
              </w:rPr>
              <w:t>Other financial assets reflect the Agency’s cash invested in term deposits with original maturities over 90 days. The original budget does not assume that cash on hand will be in excess to immediate requirements.</w:t>
            </w:r>
          </w:p>
        </w:tc>
      </w:tr>
      <w:tr w:rsidR="00A43992" w14:paraId="2F522A03" w14:textId="77777777" w:rsidTr="007211E3">
        <w:trPr>
          <w:cantSplit/>
          <w:trHeight w:val="255"/>
        </w:trPr>
        <w:tc>
          <w:tcPr>
            <w:tcW w:w="2694" w:type="dxa"/>
            <w:tcBorders>
              <w:top w:val="single" w:sz="6" w:space="0" w:color="auto"/>
              <w:left w:val="single" w:sz="12" w:space="0" w:color="auto"/>
              <w:bottom w:val="single" w:sz="6" w:space="0" w:color="auto"/>
            </w:tcBorders>
            <w:shd w:val="clear" w:color="FFFFFF" w:fill="FFFFFF"/>
            <w:noWrap/>
          </w:tcPr>
          <w:p w14:paraId="6749F030" w14:textId="77777777" w:rsidR="00A43992" w:rsidRPr="00DD6C40" w:rsidRDefault="00A43992" w:rsidP="007211E3">
            <w:pPr>
              <w:rPr>
                <w:rFonts w:ascii="Arial" w:hAnsi="Arial" w:cs="Arial"/>
                <w:bCs/>
                <w:i/>
                <w:sz w:val="18"/>
                <w:szCs w:val="18"/>
              </w:rPr>
            </w:pPr>
            <w:r>
              <w:rPr>
                <w:rFonts w:ascii="Arial" w:hAnsi="Arial" w:cs="Arial"/>
                <w:bCs/>
                <w:i/>
                <w:sz w:val="18"/>
                <w:szCs w:val="18"/>
              </w:rPr>
              <w:t>Buildings, property, plant and equipment and other payables</w:t>
            </w:r>
          </w:p>
        </w:tc>
        <w:tc>
          <w:tcPr>
            <w:tcW w:w="6662" w:type="dxa"/>
            <w:tcBorders>
              <w:top w:val="single" w:sz="6" w:space="0" w:color="auto"/>
              <w:bottom w:val="single" w:sz="6" w:space="0" w:color="auto"/>
              <w:right w:val="single" w:sz="12" w:space="0" w:color="auto"/>
            </w:tcBorders>
            <w:shd w:val="clear" w:color="FFFFFF" w:fill="FFFFFF"/>
            <w:noWrap/>
          </w:tcPr>
          <w:p w14:paraId="1A905D26" w14:textId="77777777" w:rsidR="00A43992" w:rsidRPr="00DD6C40" w:rsidRDefault="00A43992" w:rsidP="007211E3">
            <w:pPr>
              <w:rPr>
                <w:rFonts w:ascii="Arial" w:hAnsi="Arial" w:cs="Arial"/>
                <w:sz w:val="18"/>
                <w:szCs w:val="18"/>
              </w:rPr>
            </w:pPr>
            <w:r>
              <w:rPr>
                <w:rFonts w:ascii="Arial" w:hAnsi="Arial" w:cs="Arial"/>
                <w:sz w:val="18"/>
                <w:szCs w:val="18"/>
              </w:rPr>
              <w:t>T</w:t>
            </w:r>
            <w:r w:rsidRPr="004A0D02">
              <w:rPr>
                <w:rFonts w:ascii="Arial" w:hAnsi="Arial" w:cs="Arial"/>
                <w:sz w:val="18"/>
                <w:szCs w:val="18"/>
              </w:rPr>
              <w:t>he Agency has adopted whole-of-government policies in regard to co-locating service delivery sites within existing Commonwealth property infrastructure</w:t>
            </w:r>
            <w:r>
              <w:rPr>
                <w:rFonts w:ascii="Arial" w:hAnsi="Arial" w:cs="Arial"/>
                <w:sz w:val="18"/>
                <w:szCs w:val="18"/>
              </w:rPr>
              <w:t>, where feasible</w:t>
            </w:r>
            <w:r w:rsidRPr="00DD6C40">
              <w:rPr>
                <w:rFonts w:ascii="Arial" w:hAnsi="Arial" w:cs="Arial"/>
                <w:sz w:val="18"/>
                <w:szCs w:val="18"/>
              </w:rPr>
              <w:t xml:space="preserve">. </w:t>
            </w:r>
            <w:r>
              <w:rPr>
                <w:rFonts w:ascii="Arial" w:hAnsi="Arial" w:cs="Arial"/>
                <w:sz w:val="18"/>
                <w:szCs w:val="18"/>
              </w:rPr>
              <w:t>As a consequence, investment in Property, Plant is less than projected in the original budget, as are lease related incentives and payables.</w:t>
            </w:r>
          </w:p>
        </w:tc>
      </w:tr>
      <w:tr w:rsidR="00A43992" w14:paraId="404A8773" w14:textId="77777777" w:rsidTr="007211E3">
        <w:trPr>
          <w:cantSplit/>
          <w:trHeight w:val="255"/>
        </w:trPr>
        <w:tc>
          <w:tcPr>
            <w:tcW w:w="2694" w:type="dxa"/>
            <w:tcBorders>
              <w:top w:val="single" w:sz="6" w:space="0" w:color="auto"/>
              <w:left w:val="single" w:sz="12" w:space="0" w:color="auto"/>
              <w:bottom w:val="single" w:sz="6" w:space="0" w:color="auto"/>
            </w:tcBorders>
            <w:shd w:val="clear" w:color="FFFFFF" w:fill="FFFFFF"/>
            <w:noWrap/>
          </w:tcPr>
          <w:p w14:paraId="7E227932" w14:textId="77777777" w:rsidR="00A43992" w:rsidRPr="00894731" w:rsidRDefault="00A43992" w:rsidP="007211E3">
            <w:pPr>
              <w:rPr>
                <w:rFonts w:ascii="Arial" w:hAnsi="Arial" w:cs="Arial"/>
                <w:bCs/>
                <w:i/>
                <w:sz w:val="18"/>
                <w:szCs w:val="18"/>
              </w:rPr>
            </w:pPr>
            <w:r w:rsidRPr="00894731">
              <w:rPr>
                <w:rFonts w:ascii="Arial" w:hAnsi="Arial" w:cs="Arial"/>
                <w:bCs/>
                <w:i/>
                <w:sz w:val="18"/>
                <w:szCs w:val="18"/>
              </w:rPr>
              <w:t>Intangibles</w:t>
            </w:r>
          </w:p>
        </w:tc>
        <w:tc>
          <w:tcPr>
            <w:tcW w:w="6662" w:type="dxa"/>
            <w:tcBorders>
              <w:top w:val="single" w:sz="6" w:space="0" w:color="auto"/>
              <w:bottom w:val="single" w:sz="6" w:space="0" w:color="auto"/>
              <w:right w:val="single" w:sz="12" w:space="0" w:color="auto"/>
            </w:tcBorders>
            <w:shd w:val="clear" w:color="FFFFFF" w:fill="FFFFFF"/>
            <w:noWrap/>
          </w:tcPr>
          <w:p w14:paraId="0B9077A4" w14:textId="77777777" w:rsidR="00A43992" w:rsidRPr="00DD6C40" w:rsidRDefault="00A43992" w:rsidP="007211E3">
            <w:pPr>
              <w:rPr>
                <w:rFonts w:ascii="Arial" w:hAnsi="Arial" w:cs="Arial"/>
                <w:sz w:val="18"/>
                <w:szCs w:val="18"/>
              </w:rPr>
            </w:pPr>
            <w:r>
              <w:rPr>
                <w:rFonts w:ascii="Arial" w:hAnsi="Arial" w:cs="Arial"/>
                <w:sz w:val="18"/>
                <w:szCs w:val="18"/>
              </w:rPr>
              <w:t xml:space="preserve">Effective 1 July 2016, </w:t>
            </w:r>
            <w:r w:rsidRPr="00FD1E11">
              <w:rPr>
                <w:rFonts w:ascii="Arial" w:hAnsi="Arial" w:cs="Arial"/>
                <w:sz w:val="18"/>
                <w:szCs w:val="18"/>
              </w:rPr>
              <w:t xml:space="preserve">the delivery of </w:t>
            </w:r>
            <w:r>
              <w:rPr>
                <w:rFonts w:ascii="Arial" w:hAnsi="Arial" w:cs="Arial"/>
                <w:sz w:val="18"/>
                <w:szCs w:val="18"/>
              </w:rPr>
              <w:t xml:space="preserve">corporate </w:t>
            </w:r>
            <w:r w:rsidRPr="00FD1E11">
              <w:rPr>
                <w:rFonts w:ascii="Arial" w:hAnsi="Arial" w:cs="Arial"/>
                <w:sz w:val="18"/>
                <w:szCs w:val="18"/>
              </w:rPr>
              <w:t xml:space="preserve">shared services </w:t>
            </w:r>
            <w:r>
              <w:rPr>
                <w:rFonts w:ascii="Arial" w:hAnsi="Arial" w:cs="Arial"/>
                <w:sz w:val="18"/>
                <w:szCs w:val="18"/>
              </w:rPr>
              <w:t>to</w:t>
            </w:r>
            <w:r w:rsidRPr="00FD1E11">
              <w:rPr>
                <w:rFonts w:ascii="Arial" w:hAnsi="Arial" w:cs="Arial"/>
                <w:sz w:val="18"/>
                <w:szCs w:val="18"/>
              </w:rPr>
              <w:t xml:space="preserve"> the</w:t>
            </w:r>
            <w:r>
              <w:rPr>
                <w:rFonts w:ascii="Arial" w:hAnsi="Arial" w:cs="Arial"/>
                <w:sz w:val="18"/>
                <w:szCs w:val="18"/>
              </w:rPr>
              <w:t xml:space="preserve"> Agency will transition to the</w:t>
            </w:r>
            <w:r w:rsidRPr="00FD1E11">
              <w:rPr>
                <w:rFonts w:ascii="Arial" w:hAnsi="Arial" w:cs="Arial"/>
                <w:sz w:val="18"/>
                <w:szCs w:val="18"/>
              </w:rPr>
              <w:t xml:space="preserve"> Department</w:t>
            </w:r>
            <w:r>
              <w:rPr>
                <w:rFonts w:ascii="Arial" w:hAnsi="Arial" w:cs="Arial"/>
                <w:sz w:val="18"/>
                <w:szCs w:val="18"/>
              </w:rPr>
              <w:t xml:space="preserve"> of Human Services (DHS). As a consequence,</w:t>
            </w:r>
            <w:r w:rsidRPr="00FD1E11">
              <w:rPr>
                <w:rFonts w:ascii="Arial" w:hAnsi="Arial" w:cs="Arial"/>
                <w:sz w:val="18"/>
                <w:szCs w:val="18"/>
              </w:rPr>
              <w:t xml:space="preserve"> the Agency will no longer be </w:t>
            </w:r>
            <w:proofErr w:type="spellStart"/>
            <w:r w:rsidRPr="00FD1E11">
              <w:rPr>
                <w:rFonts w:ascii="Arial" w:hAnsi="Arial" w:cs="Arial"/>
                <w:sz w:val="18"/>
                <w:szCs w:val="18"/>
              </w:rPr>
              <w:t>utilising</w:t>
            </w:r>
            <w:proofErr w:type="spellEnd"/>
            <w:r w:rsidRPr="00FD1E11">
              <w:rPr>
                <w:rFonts w:ascii="Arial" w:hAnsi="Arial" w:cs="Arial"/>
                <w:sz w:val="18"/>
                <w:szCs w:val="18"/>
              </w:rPr>
              <w:t xml:space="preserve"> its</w:t>
            </w:r>
            <w:r>
              <w:rPr>
                <w:rFonts w:ascii="Arial" w:hAnsi="Arial" w:cs="Arial"/>
                <w:sz w:val="18"/>
                <w:szCs w:val="18"/>
              </w:rPr>
              <w:t xml:space="preserve"> internally generated</w:t>
            </w:r>
            <w:r w:rsidRPr="00FD1E11">
              <w:rPr>
                <w:rFonts w:ascii="Arial" w:hAnsi="Arial" w:cs="Arial"/>
                <w:sz w:val="18"/>
                <w:szCs w:val="18"/>
              </w:rPr>
              <w:t xml:space="preserve"> intangible assets</w:t>
            </w:r>
            <w:r>
              <w:rPr>
                <w:rFonts w:ascii="Arial" w:hAnsi="Arial" w:cs="Arial"/>
                <w:sz w:val="18"/>
                <w:szCs w:val="18"/>
              </w:rPr>
              <w:t xml:space="preserve">, which have been written down to nil </w:t>
            </w:r>
            <w:r w:rsidRPr="00FD1E11">
              <w:rPr>
                <w:rFonts w:ascii="Arial" w:hAnsi="Arial" w:cs="Arial"/>
                <w:sz w:val="18"/>
                <w:szCs w:val="18"/>
              </w:rPr>
              <w:t>during the year.</w:t>
            </w:r>
          </w:p>
        </w:tc>
      </w:tr>
      <w:tr w:rsidR="00A43992" w14:paraId="143D447A" w14:textId="77777777" w:rsidTr="007211E3">
        <w:trPr>
          <w:cantSplit/>
          <w:trHeight w:val="255"/>
        </w:trPr>
        <w:tc>
          <w:tcPr>
            <w:tcW w:w="2694" w:type="dxa"/>
            <w:tcBorders>
              <w:top w:val="single" w:sz="6" w:space="0" w:color="auto"/>
              <w:left w:val="single" w:sz="12" w:space="0" w:color="auto"/>
              <w:bottom w:val="single" w:sz="6" w:space="0" w:color="auto"/>
            </w:tcBorders>
            <w:shd w:val="clear" w:color="FFFFFF" w:fill="FFFFFF"/>
            <w:noWrap/>
          </w:tcPr>
          <w:p w14:paraId="063B1B73" w14:textId="77777777" w:rsidR="00A43992" w:rsidRPr="00DD6C40" w:rsidRDefault="00A43992" w:rsidP="007211E3">
            <w:pPr>
              <w:rPr>
                <w:rFonts w:ascii="Arial" w:hAnsi="Arial" w:cs="Arial"/>
                <w:bCs/>
                <w:i/>
                <w:sz w:val="18"/>
                <w:szCs w:val="18"/>
              </w:rPr>
            </w:pPr>
            <w:r>
              <w:rPr>
                <w:rFonts w:ascii="Arial" w:hAnsi="Arial" w:cs="Arial"/>
                <w:bCs/>
                <w:i/>
                <w:sz w:val="18"/>
                <w:szCs w:val="18"/>
              </w:rPr>
              <w:t>Other non-financial assets</w:t>
            </w:r>
          </w:p>
        </w:tc>
        <w:tc>
          <w:tcPr>
            <w:tcW w:w="6662" w:type="dxa"/>
            <w:tcBorders>
              <w:top w:val="single" w:sz="6" w:space="0" w:color="auto"/>
              <w:bottom w:val="single" w:sz="6" w:space="0" w:color="auto"/>
              <w:right w:val="single" w:sz="12" w:space="0" w:color="auto"/>
            </w:tcBorders>
            <w:shd w:val="clear" w:color="FFFFFF" w:fill="FFFFFF"/>
            <w:noWrap/>
          </w:tcPr>
          <w:p w14:paraId="2498C7FF" w14:textId="77777777" w:rsidR="00A43992" w:rsidRPr="00DD6C40" w:rsidRDefault="00A43992" w:rsidP="007211E3">
            <w:pPr>
              <w:rPr>
                <w:rFonts w:ascii="Arial" w:hAnsi="Arial" w:cs="Arial"/>
                <w:sz w:val="18"/>
                <w:szCs w:val="18"/>
              </w:rPr>
            </w:pPr>
            <w:r>
              <w:rPr>
                <w:rFonts w:ascii="Arial" w:hAnsi="Arial" w:cs="Arial"/>
                <w:sz w:val="18"/>
                <w:szCs w:val="18"/>
              </w:rPr>
              <w:t>The primary drivers for other non-financial assets being higher than the original budget were amounts paid to local area coordination providers in advance of services rendered, and advances made to participants that are self-managed, due to the early closure of Agency systems. Systems were closed early so that data could be migrated to DHS systems, in readiness for 1 July 2016.</w:t>
            </w:r>
          </w:p>
        </w:tc>
      </w:tr>
      <w:tr w:rsidR="00A43992" w14:paraId="53E126BC" w14:textId="77777777" w:rsidTr="007211E3">
        <w:trPr>
          <w:cantSplit/>
          <w:trHeight w:val="255"/>
        </w:trPr>
        <w:tc>
          <w:tcPr>
            <w:tcW w:w="2694" w:type="dxa"/>
            <w:tcBorders>
              <w:top w:val="single" w:sz="6" w:space="0" w:color="auto"/>
              <w:left w:val="single" w:sz="12" w:space="0" w:color="auto"/>
              <w:bottom w:val="single" w:sz="6" w:space="0" w:color="auto"/>
            </w:tcBorders>
            <w:shd w:val="clear" w:color="FFFFFF" w:fill="FFFFFF"/>
            <w:noWrap/>
          </w:tcPr>
          <w:p w14:paraId="0D78B0B3" w14:textId="77777777" w:rsidR="00A43992" w:rsidRPr="009A2B3A" w:rsidRDefault="00A43992" w:rsidP="007211E3">
            <w:pPr>
              <w:rPr>
                <w:rFonts w:ascii="Arial" w:hAnsi="Arial" w:cs="Arial"/>
                <w:bCs/>
                <w:i/>
                <w:sz w:val="18"/>
                <w:szCs w:val="18"/>
              </w:rPr>
            </w:pPr>
            <w:r w:rsidRPr="009A2B3A">
              <w:rPr>
                <w:rFonts w:ascii="Arial" w:hAnsi="Arial" w:cs="Arial"/>
                <w:bCs/>
                <w:i/>
                <w:sz w:val="18"/>
                <w:szCs w:val="18"/>
              </w:rPr>
              <w:t>Suppliers</w:t>
            </w:r>
          </w:p>
        </w:tc>
        <w:tc>
          <w:tcPr>
            <w:tcW w:w="6662" w:type="dxa"/>
            <w:tcBorders>
              <w:top w:val="single" w:sz="6" w:space="0" w:color="auto"/>
              <w:bottom w:val="single" w:sz="6" w:space="0" w:color="auto"/>
              <w:right w:val="single" w:sz="12" w:space="0" w:color="auto"/>
            </w:tcBorders>
            <w:shd w:val="clear" w:color="FFFFFF" w:fill="FFFFFF"/>
            <w:noWrap/>
          </w:tcPr>
          <w:p w14:paraId="6A1F753A" w14:textId="77777777" w:rsidR="00A43992" w:rsidRPr="00926B5F" w:rsidRDefault="00A43992" w:rsidP="007211E3">
            <w:pPr>
              <w:rPr>
                <w:rFonts w:ascii="Arial" w:hAnsi="Arial" w:cs="Arial"/>
                <w:sz w:val="18"/>
                <w:szCs w:val="18"/>
              </w:rPr>
            </w:pPr>
            <w:r>
              <w:rPr>
                <w:rFonts w:ascii="Arial" w:hAnsi="Arial" w:cs="Arial"/>
                <w:sz w:val="18"/>
                <w:szCs w:val="18"/>
              </w:rPr>
              <w:t>The adoption of SDOM, as previously mentioned in the Statement of Comprehensive Income b</w:t>
            </w:r>
            <w:r w:rsidRPr="00401B3B">
              <w:rPr>
                <w:rFonts w:ascii="Arial" w:hAnsi="Arial" w:cs="Arial"/>
                <w:sz w:val="18"/>
                <w:szCs w:val="18"/>
              </w:rPr>
              <w:t xml:space="preserve">udget </w:t>
            </w:r>
            <w:r>
              <w:rPr>
                <w:rFonts w:ascii="Arial" w:hAnsi="Arial" w:cs="Arial"/>
                <w:sz w:val="18"/>
                <w:szCs w:val="18"/>
              </w:rPr>
              <w:t>v</w:t>
            </w:r>
            <w:r w:rsidRPr="00401B3B">
              <w:rPr>
                <w:rFonts w:ascii="Arial" w:hAnsi="Arial" w:cs="Arial"/>
                <w:sz w:val="18"/>
                <w:szCs w:val="18"/>
              </w:rPr>
              <w:t xml:space="preserve">ariances </w:t>
            </w:r>
            <w:r>
              <w:rPr>
                <w:rFonts w:ascii="Arial" w:hAnsi="Arial" w:cs="Arial"/>
                <w:sz w:val="18"/>
                <w:szCs w:val="18"/>
              </w:rPr>
              <w:t>c</w:t>
            </w:r>
            <w:r w:rsidRPr="00401B3B">
              <w:rPr>
                <w:rFonts w:ascii="Arial" w:hAnsi="Arial" w:cs="Arial"/>
                <w:sz w:val="18"/>
                <w:szCs w:val="18"/>
              </w:rPr>
              <w:t>ommentary</w:t>
            </w:r>
            <w:r>
              <w:rPr>
                <w:rFonts w:ascii="Arial" w:hAnsi="Arial" w:cs="Arial"/>
                <w:sz w:val="18"/>
                <w:szCs w:val="18"/>
              </w:rPr>
              <w:t xml:space="preserve"> has consequently</w:t>
            </w:r>
            <w:r w:rsidRPr="00DD6C40">
              <w:rPr>
                <w:rFonts w:ascii="Arial" w:hAnsi="Arial" w:cs="Arial"/>
                <w:sz w:val="18"/>
                <w:szCs w:val="18"/>
              </w:rPr>
              <w:t xml:space="preserve"> increase</w:t>
            </w:r>
            <w:r>
              <w:rPr>
                <w:rFonts w:ascii="Arial" w:hAnsi="Arial" w:cs="Arial"/>
                <w:sz w:val="18"/>
                <w:szCs w:val="18"/>
              </w:rPr>
              <w:t>d the Agency’s</w:t>
            </w:r>
            <w:r w:rsidRPr="00DD6C40">
              <w:rPr>
                <w:rFonts w:ascii="Arial" w:hAnsi="Arial" w:cs="Arial"/>
                <w:sz w:val="18"/>
                <w:szCs w:val="18"/>
              </w:rPr>
              <w:t xml:space="preserve"> reliance </w:t>
            </w:r>
            <w:r>
              <w:rPr>
                <w:rFonts w:ascii="Arial" w:hAnsi="Arial" w:cs="Arial"/>
                <w:sz w:val="18"/>
                <w:szCs w:val="18"/>
              </w:rPr>
              <w:t>on contractors and consultants,</w:t>
            </w:r>
            <w:r w:rsidRPr="00DD6C40">
              <w:rPr>
                <w:rFonts w:ascii="Arial" w:hAnsi="Arial" w:cs="Arial"/>
                <w:sz w:val="18"/>
                <w:szCs w:val="18"/>
              </w:rPr>
              <w:t xml:space="preserve"> </w:t>
            </w:r>
            <w:r>
              <w:rPr>
                <w:rFonts w:ascii="Arial" w:hAnsi="Arial" w:cs="Arial"/>
                <w:sz w:val="18"/>
                <w:szCs w:val="18"/>
              </w:rPr>
              <w:t>increasing supplier</w:t>
            </w:r>
            <w:r w:rsidRPr="00DD6C40">
              <w:rPr>
                <w:rFonts w:ascii="Arial" w:hAnsi="Arial" w:cs="Arial"/>
                <w:sz w:val="18"/>
                <w:szCs w:val="18"/>
              </w:rPr>
              <w:t xml:space="preserve"> </w:t>
            </w:r>
            <w:r>
              <w:rPr>
                <w:rFonts w:ascii="Arial" w:hAnsi="Arial" w:cs="Arial"/>
                <w:sz w:val="18"/>
                <w:szCs w:val="18"/>
              </w:rPr>
              <w:t>payables. Supplier payables at 30 June 2016 has also increased due to the additional contractor and consultant effort required for full Scheme launch.</w:t>
            </w:r>
          </w:p>
        </w:tc>
      </w:tr>
      <w:tr w:rsidR="00A43992" w14:paraId="24A3A7D1" w14:textId="77777777" w:rsidTr="007211E3">
        <w:trPr>
          <w:cantSplit/>
          <w:trHeight w:val="255"/>
        </w:trPr>
        <w:tc>
          <w:tcPr>
            <w:tcW w:w="2694" w:type="dxa"/>
            <w:tcBorders>
              <w:top w:val="single" w:sz="6" w:space="0" w:color="auto"/>
              <w:left w:val="single" w:sz="12" w:space="0" w:color="auto"/>
              <w:bottom w:val="single" w:sz="6" w:space="0" w:color="auto"/>
            </w:tcBorders>
            <w:shd w:val="clear" w:color="FFFFFF" w:fill="FFFFFF"/>
            <w:noWrap/>
          </w:tcPr>
          <w:p w14:paraId="7F97CD04" w14:textId="77777777" w:rsidR="00A43992" w:rsidRPr="00A309DC" w:rsidRDefault="00A43992" w:rsidP="007211E3">
            <w:pPr>
              <w:rPr>
                <w:rFonts w:ascii="Arial" w:hAnsi="Arial" w:cs="Arial"/>
                <w:bCs/>
                <w:i/>
                <w:sz w:val="18"/>
                <w:szCs w:val="18"/>
              </w:rPr>
            </w:pPr>
            <w:r w:rsidRPr="00A309DC">
              <w:rPr>
                <w:rFonts w:ascii="Arial" w:hAnsi="Arial" w:cs="Arial"/>
                <w:bCs/>
                <w:i/>
                <w:sz w:val="18"/>
                <w:szCs w:val="18"/>
              </w:rPr>
              <w:t>Employee provisions</w:t>
            </w:r>
          </w:p>
        </w:tc>
        <w:tc>
          <w:tcPr>
            <w:tcW w:w="6662" w:type="dxa"/>
            <w:tcBorders>
              <w:top w:val="single" w:sz="6" w:space="0" w:color="auto"/>
              <w:bottom w:val="single" w:sz="6" w:space="0" w:color="auto"/>
              <w:right w:val="single" w:sz="12" w:space="0" w:color="auto"/>
            </w:tcBorders>
            <w:shd w:val="clear" w:color="FFFFFF" w:fill="FFFFFF"/>
            <w:noWrap/>
          </w:tcPr>
          <w:p w14:paraId="7DA100AB" w14:textId="77777777" w:rsidR="00A43992" w:rsidRPr="00DD6C40" w:rsidRDefault="00A43992" w:rsidP="007211E3">
            <w:pPr>
              <w:rPr>
                <w:rFonts w:ascii="Arial" w:hAnsi="Arial" w:cs="Arial"/>
                <w:sz w:val="18"/>
                <w:szCs w:val="18"/>
              </w:rPr>
            </w:pPr>
            <w:r w:rsidRPr="00926B5F">
              <w:rPr>
                <w:rFonts w:ascii="Arial" w:hAnsi="Arial" w:cs="Arial"/>
                <w:sz w:val="18"/>
                <w:szCs w:val="18"/>
              </w:rPr>
              <w:t>An increase in the number of Agency staff</w:t>
            </w:r>
            <w:r>
              <w:rPr>
                <w:rFonts w:ascii="Arial" w:hAnsi="Arial" w:cs="Arial"/>
                <w:sz w:val="18"/>
                <w:szCs w:val="18"/>
              </w:rPr>
              <w:t>, particularly in the latter half of the year,</w:t>
            </w:r>
            <w:r w:rsidRPr="00926B5F">
              <w:rPr>
                <w:rFonts w:ascii="Arial" w:hAnsi="Arial" w:cs="Arial"/>
                <w:sz w:val="18"/>
                <w:szCs w:val="18"/>
              </w:rPr>
              <w:t xml:space="preserve"> has driven the </w:t>
            </w:r>
            <w:r>
              <w:rPr>
                <w:rFonts w:ascii="Arial" w:hAnsi="Arial" w:cs="Arial"/>
                <w:sz w:val="18"/>
                <w:szCs w:val="18"/>
              </w:rPr>
              <w:t>variance</w:t>
            </w:r>
            <w:r w:rsidRPr="00926B5F">
              <w:rPr>
                <w:rFonts w:ascii="Arial" w:hAnsi="Arial" w:cs="Arial"/>
                <w:sz w:val="18"/>
                <w:szCs w:val="18"/>
              </w:rPr>
              <w:t xml:space="preserve"> in employee </w:t>
            </w:r>
            <w:r>
              <w:rPr>
                <w:rFonts w:ascii="Arial" w:hAnsi="Arial" w:cs="Arial"/>
                <w:sz w:val="18"/>
                <w:szCs w:val="18"/>
              </w:rPr>
              <w:t>leave entitlements. A significant number of these employees had previous experience in the Australian Public Service, therefore transferring any existing leave balances upon commencement.</w:t>
            </w:r>
          </w:p>
        </w:tc>
      </w:tr>
      <w:tr w:rsidR="00A43992" w14:paraId="231EF364" w14:textId="77777777" w:rsidTr="007211E3">
        <w:trPr>
          <w:cantSplit/>
          <w:trHeight w:val="255"/>
        </w:trPr>
        <w:tc>
          <w:tcPr>
            <w:tcW w:w="2694" w:type="dxa"/>
            <w:tcBorders>
              <w:top w:val="single" w:sz="6" w:space="0" w:color="auto"/>
              <w:left w:val="single" w:sz="12" w:space="0" w:color="auto"/>
              <w:bottom w:val="single" w:sz="6" w:space="0" w:color="auto"/>
            </w:tcBorders>
            <w:shd w:val="clear" w:color="FFFFFF" w:fill="FFFFFF"/>
            <w:noWrap/>
          </w:tcPr>
          <w:p w14:paraId="3569D4F8" w14:textId="77777777" w:rsidR="00A43992" w:rsidRPr="0043237F" w:rsidRDefault="00A43992" w:rsidP="007211E3">
            <w:pPr>
              <w:rPr>
                <w:rFonts w:ascii="Arial" w:hAnsi="Arial" w:cs="Arial"/>
                <w:bCs/>
                <w:i/>
                <w:sz w:val="18"/>
                <w:szCs w:val="18"/>
              </w:rPr>
            </w:pPr>
            <w:r w:rsidRPr="0043237F">
              <w:rPr>
                <w:rFonts w:ascii="Arial" w:hAnsi="Arial" w:cs="Arial"/>
                <w:bCs/>
                <w:i/>
                <w:sz w:val="18"/>
                <w:szCs w:val="18"/>
              </w:rPr>
              <w:t>Participant plan provisions</w:t>
            </w:r>
          </w:p>
        </w:tc>
        <w:tc>
          <w:tcPr>
            <w:tcW w:w="6662" w:type="dxa"/>
            <w:tcBorders>
              <w:top w:val="single" w:sz="6" w:space="0" w:color="auto"/>
              <w:bottom w:val="single" w:sz="6" w:space="0" w:color="auto"/>
              <w:right w:val="single" w:sz="12" w:space="0" w:color="auto"/>
            </w:tcBorders>
            <w:shd w:val="clear" w:color="FFFFFF" w:fill="FFFFFF"/>
            <w:noWrap/>
          </w:tcPr>
          <w:p w14:paraId="381BF1FB" w14:textId="77777777" w:rsidR="00A43992" w:rsidRPr="00926B5F" w:rsidRDefault="00A43992" w:rsidP="007211E3">
            <w:pPr>
              <w:rPr>
                <w:rFonts w:ascii="Arial" w:hAnsi="Arial" w:cs="Arial"/>
                <w:sz w:val="18"/>
                <w:szCs w:val="18"/>
              </w:rPr>
            </w:pPr>
            <w:r>
              <w:rPr>
                <w:rFonts w:ascii="Arial" w:hAnsi="Arial" w:cs="Arial"/>
                <w:sz w:val="18"/>
                <w:szCs w:val="18"/>
              </w:rPr>
              <w:t>The participant plan provision was greater than the amount projected in the original budget due to lower than</w:t>
            </w:r>
            <w:r w:rsidRPr="00926B5F">
              <w:rPr>
                <w:rFonts w:ascii="Arial" w:hAnsi="Arial" w:cs="Arial"/>
                <w:sz w:val="18"/>
                <w:szCs w:val="18"/>
              </w:rPr>
              <w:t xml:space="preserve"> forecast</w:t>
            </w:r>
            <w:r w:rsidRPr="00310FB0">
              <w:rPr>
                <w:rFonts w:ascii="Arial" w:hAnsi="Arial" w:cs="Arial"/>
                <w:color w:val="00964C" w:themeColor="accent6"/>
                <w:sz w:val="18"/>
                <w:szCs w:val="18"/>
              </w:rPr>
              <w:t xml:space="preserve"> </w:t>
            </w:r>
            <w:proofErr w:type="spellStart"/>
            <w:r w:rsidRPr="00EE4FBB">
              <w:rPr>
                <w:rFonts w:ascii="Arial" w:hAnsi="Arial" w:cs="Arial"/>
                <w:sz w:val="18"/>
                <w:szCs w:val="18"/>
              </w:rPr>
              <w:t>utilisation</w:t>
            </w:r>
            <w:proofErr w:type="spellEnd"/>
            <w:r w:rsidRPr="00310FB0">
              <w:rPr>
                <w:rFonts w:ascii="Arial" w:hAnsi="Arial" w:cs="Arial"/>
                <w:color w:val="00964C" w:themeColor="accent6"/>
                <w:sz w:val="18"/>
                <w:szCs w:val="18"/>
              </w:rPr>
              <w:t xml:space="preserve"> </w:t>
            </w:r>
            <w:r>
              <w:rPr>
                <w:rFonts w:ascii="Arial" w:hAnsi="Arial" w:cs="Arial"/>
                <w:sz w:val="18"/>
                <w:szCs w:val="18"/>
              </w:rPr>
              <w:t>rates and delays in the timing of cl</w:t>
            </w:r>
            <w:r w:rsidRPr="00926B5F">
              <w:rPr>
                <w:rFonts w:ascii="Arial" w:hAnsi="Arial" w:cs="Arial"/>
                <w:sz w:val="18"/>
                <w:szCs w:val="18"/>
              </w:rPr>
              <w:t>aims</w:t>
            </w:r>
            <w:r>
              <w:rPr>
                <w:rFonts w:ascii="Arial" w:hAnsi="Arial" w:cs="Arial"/>
                <w:sz w:val="18"/>
                <w:szCs w:val="18"/>
              </w:rPr>
              <w:t>.</w:t>
            </w:r>
            <w:r w:rsidRPr="00926B5F">
              <w:rPr>
                <w:rFonts w:ascii="Arial" w:hAnsi="Arial" w:cs="Arial"/>
                <w:sz w:val="18"/>
                <w:szCs w:val="18"/>
              </w:rPr>
              <w:t xml:space="preserve">   </w:t>
            </w:r>
          </w:p>
        </w:tc>
      </w:tr>
      <w:tr w:rsidR="00A43992" w14:paraId="7DB172C6" w14:textId="77777777" w:rsidTr="007211E3">
        <w:trPr>
          <w:cantSplit/>
          <w:trHeight w:val="255"/>
        </w:trPr>
        <w:tc>
          <w:tcPr>
            <w:tcW w:w="2694" w:type="dxa"/>
            <w:tcBorders>
              <w:top w:val="single" w:sz="6" w:space="0" w:color="auto"/>
              <w:left w:val="single" w:sz="12" w:space="0" w:color="auto"/>
              <w:bottom w:val="single" w:sz="6" w:space="0" w:color="auto"/>
            </w:tcBorders>
            <w:shd w:val="clear" w:color="FFFFFF" w:fill="FFFFFF"/>
            <w:noWrap/>
          </w:tcPr>
          <w:p w14:paraId="756C088F" w14:textId="77777777" w:rsidR="00A43992" w:rsidRPr="0043237F" w:rsidRDefault="00A43992" w:rsidP="007211E3">
            <w:pPr>
              <w:rPr>
                <w:rFonts w:ascii="Arial" w:hAnsi="Arial" w:cs="Arial"/>
                <w:bCs/>
                <w:i/>
                <w:sz w:val="18"/>
                <w:szCs w:val="18"/>
              </w:rPr>
            </w:pPr>
            <w:r w:rsidRPr="0043237F">
              <w:rPr>
                <w:rFonts w:ascii="Arial" w:hAnsi="Arial" w:cs="Arial"/>
                <w:bCs/>
                <w:i/>
                <w:sz w:val="18"/>
                <w:szCs w:val="18"/>
              </w:rPr>
              <w:lastRenderedPageBreak/>
              <w:t>Asset revaluation reserve</w:t>
            </w:r>
          </w:p>
        </w:tc>
        <w:tc>
          <w:tcPr>
            <w:tcW w:w="6662" w:type="dxa"/>
            <w:tcBorders>
              <w:top w:val="single" w:sz="6" w:space="0" w:color="auto"/>
              <w:bottom w:val="single" w:sz="6" w:space="0" w:color="auto"/>
              <w:right w:val="single" w:sz="12" w:space="0" w:color="auto"/>
            </w:tcBorders>
            <w:shd w:val="clear" w:color="FFFFFF" w:fill="FFFFFF"/>
            <w:noWrap/>
          </w:tcPr>
          <w:p w14:paraId="4C914FDB" w14:textId="77777777" w:rsidR="00A43992" w:rsidRPr="00926B5F" w:rsidRDefault="00A43992" w:rsidP="007211E3">
            <w:pPr>
              <w:rPr>
                <w:rFonts w:ascii="Arial" w:hAnsi="Arial" w:cs="Arial"/>
                <w:sz w:val="18"/>
                <w:szCs w:val="18"/>
              </w:rPr>
            </w:pPr>
            <w:r>
              <w:rPr>
                <w:rFonts w:ascii="Arial" w:hAnsi="Arial" w:cs="Arial"/>
                <w:sz w:val="18"/>
                <w:szCs w:val="18"/>
              </w:rPr>
              <w:t>For the year ended 30 June 2016, t</w:t>
            </w:r>
            <w:r w:rsidRPr="0043237F">
              <w:rPr>
                <w:rFonts w:ascii="Arial" w:hAnsi="Arial" w:cs="Arial"/>
                <w:sz w:val="18"/>
                <w:szCs w:val="18"/>
              </w:rPr>
              <w:t>he Agency</w:t>
            </w:r>
            <w:r>
              <w:rPr>
                <w:rFonts w:ascii="Arial" w:hAnsi="Arial" w:cs="Arial"/>
                <w:sz w:val="18"/>
                <w:szCs w:val="18"/>
              </w:rPr>
              <w:t>’s leasehold improvement assets</w:t>
            </w:r>
            <w:r w:rsidRPr="0043237F">
              <w:rPr>
                <w:rFonts w:ascii="Arial" w:hAnsi="Arial" w:cs="Arial"/>
                <w:sz w:val="18"/>
                <w:szCs w:val="18"/>
              </w:rPr>
              <w:t xml:space="preserve"> </w:t>
            </w:r>
            <w:r>
              <w:rPr>
                <w:rFonts w:ascii="Arial" w:hAnsi="Arial" w:cs="Arial"/>
                <w:sz w:val="18"/>
                <w:szCs w:val="18"/>
              </w:rPr>
              <w:t xml:space="preserve">were revalued upwards to reflect their estimated fair value, determined by an independent </w:t>
            </w:r>
            <w:proofErr w:type="spellStart"/>
            <w:r>
              <w:rPr>
                <w:rFonts w:ascii="Arial" w:hAnsi="Arial" w:cs="Arial"/>
                <w:sz w:val="18"/>
                <w:szCs w:val="18"/>
              </w:rPr>
              <w:t>valuer</w:t>
            </w:r>
            <w:proofErr w:type="spellEnd"/>
            <w:r>
              <w:rPr>
                <w:rFonts w:ascii="Arial" w:hAnsi="Arial" w:cs="Arial"/>
                <w:sz w:val="18"/>
                <w:szCs w:val="18"/>
              </w:rPr>
              <w:t>. This was not anticipated in the original budget.</w:t>
            </w:r>
          </w:p>
        </w:tc>
      </w:tr>
      <w:tr w:rsidR="00A43992" w14:paraId="7390BA7C" w14:textId="77777777" w:rsidTr="007211E3">
        <w:trPr>
          <w:cantSplit/>
          <w:trHeight w:val="255"/>
        </w:trPr>
        <w:tc>
          <w:tcPr>
            <w:tcW w:w="2694" w:type="dxa"/>
            <w:tcBorders>
              <w:top w:val="single" w:sz="6" w:space="0" w:color="auto"/>
              <w:left w:val="single" w:sz="12" w:space="0" w:color="auto"/>
              <w:bottom w:val="single" w:sz="12" w:space="0" w:color="auto"/>
            </w:tcBorders>
            <w:shd w:val="clear" w:color="FFFFFF" w:fill="FFFFFF"/>
            <w:noWrap/>
          </w:tcPr>
          <w:p w14:paraId="1B8D1D8D" w14:textId="77777777" w:rsidR="00A43992" w:rsidRPr="0043237F" w:rsidRDefault="00A43992" w:rsidP="007211E3">
            <w:pPr>
              <w:rPr>
                <w:rFonts w:ascii="Arial" w:hAnsi="Arial" w:cs="Arial"/>
                <w:bCs/>
                <w:i/>
                <w:sz w:val="18"/>
                <w:szCs w:val="18"/>
              </w:rPr>
            </w:pPr>
            <w:r w:rsidRPr="0043237F">
              <w:rPr>
                <w:rFonts w:ascii="Arial" w:hAnsi="Arial" w:cs="Arial"/>
                <w:bCs/>
                <w:i/>
                <w:sz w:val="18"/>
                <w:szCs w:val="18"/>
              </w:rPr>
              <w:t>Retained surplus</w:t>
            </w:r>
          </w:p>
        </w:tc>
        <w:tc>
          <w:tcPr>
            <w:tcW w:w="6662" w:type="dxa"/>
            <w:tcBorders>
              <w:top w:val="single" w:sz="6" w:space="0" w:color="auto"/>
              <w:bottom w:val="single" w:sz="12" w:space="0" w:color="auto"/>
              <w:right w:val="single" w:sz="12" w:space="0" w:color="auto"/>
            </w:tcBorders>
            <w:shd w:val="clear" w:color="FFFFFF" w:fill="FFFFFF"/>
            <w:noWrap/>
          </w:tcPr>
          <w:p w14:paraId="0FB37B60" w14:textId="77777777" w:rsidR="00A43992" w:rsidRPr="00926B5F" w:rsidRDefault="00A43992" w:rsidP="007211E3">
            <w:pPr>
              <w:rPr>
                <w:rFonts w:ascii="Arial" w:hAnsi="Arial" w:cs="Arial"/>
                <w:sz w:val="18"/>
                <w:szCs w:val="18"/>
              </w:rPr>
            </w:pPr>
            <w:r>
              <w:rPr>
                <w:rFonts w:ascii="Arial" w:hAnsi="Arial" w:cs="Arial"/>
                <w:sz w:val="18"/>
                <w:szCs w:val="18"/>
              </w:rPr>
              <w:t>Major variances for the retained surplus are detailed in the budget variances commentary for the Statement of Comprehensive Income.</w:t>
            </w:r>
          </w:p>
        </w:tc>
      </w:tr>
    </w:tbl>
    <w:p w14:paraId="124F121F" w14:textId="77777777" w:rsidR="00A43992" w:rsidRPr="005E5430" w:rsidRDefault="00A43992" w:rsidP="00A43992">
      <w:pPr>
        <w:pStyle w:val="ReferenceText"/>
        <w:ind w:left="0"/>
        <w:rPr>
          <w:rFonts w:cs="Arial"/>
          <w:sz w:val="16"/>
          <w:szCs w:val="16"/>
        </w:rPr>
        <w:sectPr w:rsidR="00A43992" w:rsidRPr="005E5430" w:rsidSect="007211E3">
          <w:headerReference w:type="even" r:id="rId21"/>
          <w:headerReference w:type="default" r:id="rId22"/>
          <w:headerReference w:type="first" r:id="rId23"/>
          <w:pgSz w:w="11906" w:h="16838" w:code="9"/>
          <w:pgMar w:top="1134" w:right="1700" w:bottom="1134" w:left="1134" w:header="958" w:footer="737" w:gutter="0"/>
          <w:cols w:space="708"/>
          <w:docGrid w:linePitch="360"/>
        </w:sectPr>
      </w:pPr>
      <w:r w:rsidRPr="005E5430">
        <w:br w:type="page"/>
      </w:r>
    </w:p>
    <w:tbl>
      <w:tblPr>
        <w:tblW w:w="9087" w:type="dxa"/>
        <w:tblInd w:w="80" w:type="dxa"/>
        <w:tblLayout w:type="fixed"/>
        <w:tblLook w:val="04A0" w:firstRow="1" w:lastRow="0" w:firstColumn="1" w:lastColumn="0" w:noHBand="0" w:noVBand="1"/>
      </w:tblPr>
      <w:tblGrid>
        <w:gridCol w:w="4831"/>
        <w:gridCol w:w="1317"/>
        <w:gridCol w:w="1317"/>
        <w:gridCol w:w="305"/>
        <w:gridCol w:w="1317"/>
      </w:tblGrid>
      <w:tr w:rsidR="00A43992" w14:paraId="5D3C74D8" w14:textId="77777777" w:rsidTr="007211E3">
        <w:trPr>
          <w:trHeight w:val="480"/>
        </w:trPr>
        <w:tc>
          <w:tcPr>
            <w:tcW w:w="4316" w:type="dxa"/>
            <w:tcBorders>
              <w:top w:val="single" w:sz="4" w:space="0" w:color="6B2976"/>
              <w:left w:val="nil"/>
              <w:bottom w:val="nil"/>
              <w:right w:val="nil"/>
            </w:tcBorders>
            <w:shd w:val="clear" w:color="FFFFFF" w:fill="FFFFFF"/>
            <w:noWrap/>
            <w:vAlign w:val="bottom"/>
            <w:hideMark/>
          </w:tcPr>
          <w:p w14:paraId="7E76F877" w14:textId="77777777" w:rsidR="00A43992" w:rsidRDefault="00A43992" w:rsidP="007211E3">
            <w:pPr>
              <w:rPr>
                <w:rFonts w:ascii="Arial" w:hAnsi="Arial" w:cs="Arial"/>
                <w:sz w:val="18"/>
                <w:szCs w:val="18"/>
              </w:rPr>
            </w:pPr>
            <w:bookmarkStart w:id="103" w:name="Note_CEQTABLE1" w:colFirst="0" w:colLast="0"/>
          </w:p>
        </w:tc>
        <w:tc>
          <w:tcPr>
            <w:tcW w:w="1176" w:type="dxa"/>
            <w:tcBorders>
              <w:top w:val="single" w:sz="4" w:space="0" w:color="6B2976"/>
              <w:left w:val="nil"/>
              <w:bottom w:val="nil"/>
              <w:right w:val="nil"/>
            </w:tcBorders>
            <w:shd w:val="clear" w:color="FFFFFF" w:fill="FFFFFF"/>
            <w:vAlign w:val="center"/>
            <w:hideMark/>
          </w:tcPr>
          <w:p w14:paraId="3526D8D4" w14:textId="77777777" w:rsidR="00A43992" w:rsidRDefault="00A43992" w:rsidP="007211E3">
            <w:pPr>
              <w:rPr>
                <w:rFonts w:ascii="Arial" w:hAnsi="Arial" w:cs="Arial"/>
                <w:b/>
                <w:bCs/>
                <w:sz w:val="18"/>
                <w:szCs w:val="18"/>
              </w:rPr>
            </w:pPr>
            <w:r>
              <w:rPr>
                <w:rFonts w:ascii="Arial" w:hAnsi="Arial" w:cs="Arial"/>
                <w:b/>
                <w:bCs/>
                <w:sz w:val="18"/>
                <w:szCs w:val="18"/>
              </w:rPr>
              <w:t> </w:t>
            </w:r>
          </w:p>
        </w:tc>
        <w:tc>
          <w:tcPr>
            <w:tcW w:w="1176" w:type="dxa"/>
            <w:tcBorders>
              <w:top w:val="single" w:sz="4" w:space="0" w:color="6B2976"/>
              <w:left w:val="nil"/>
              <w:bottom w:val="nil"/>
              <w:right w:val="nil"/>
            </w:tcBorders>
            <w:shd w:val="clear" w:color="FFFFFF" w:fill="FFFFFF"/>
            <w:vAlign w:val="center"/>
            <w:hideMark/>
          </w:tcPr>
          <w:p w14:paraId="2E591090" w14:textId="77777777" w:rsidR="00A43992" w:rsidRDefault="00A43992" w:rsidP="007211E3">
            <w:pPr>
              <w:rPr>
                <w:rFonts w:ascii="Arial" w:hAnsi="Arial" w:cs="Arial"/>
                <w:b/>
                <w:bCs/>
                <w:sz w:val="18"/>
                <w:szCs w:val="18"/>
              </w:rPr>
            </w:pPr>
            <w:r>
              <w:rPr>
                <w:rFonts w:ascii="Arial" w:hAnsi="Arial" w:cs="Arial"/>
                <w:b/>
                <w:bCs/>
                <w:sz w:val="18"/>
                <w:szCs w:val="18"/>
              </w:rPr>
              <w:t> </w:t>
            </w:r>
          </w:p>
        </w:tc>
        <w:tc>
          <w:tcPr>
            <w:tcW w:w="272" w:type="dxa"/>
            <w:tcBorders>
              <w:top w:val="single" w:sz="4" w:space="0" w:color="6B2976"/>
              <w:left w:val="nil"/>
              <w:bottom w:val="nil"/>
              <w:right w:val="nil"/>
            </w:tcBorders>
            <w:shd w:val="clear" w:color="FFFFFF" w:fill="FFFFFF"/>
            <w:vAlign w:val="center"/>
            <w:hideMark/>
          </w:tcPr>
          <w:p w14:paraId="29DD2C18" w14:textId="77777777" w:rsidR="00A43992" w:rsidRDefault="00A43992" w:rsidP="007211E3">
            <w:pPr>
              <w:rPr>
                <w:rFonts w:ascii="Arial" w:hAnsi="Arial" w:cs="Arial"/>
                <w:b/>
                <w:bCs/>
                <w:sz w:val="18"/>
                <w:szCs w:val="18"/>
              </w:rPr>
            </w:pPr>
            <w:r>
              <w:rPr>
                <w:rFonts w:ascii="Arial" w:hAnsi="Arial" w:cs="Arial"/>
                <w:b/>
                <w:bCs/>
                <w:sz w:val="18"/>
                <w:szCs w:val="18"/>
              </w:rPr>
              <w:t> </w:t>
            </w:r>
          </w:p>
        </w:tc>
        <w:tc>
          <w:tcPr>
            <w:tcW w:w="1176" w:type="dxa"/>
            <w:tcBorders>
              <w:top w:val="single" w:sz="4" w:space="0" w:color="6B2976"/>
              <w:left w:val="nil"/>
              <w:bottom w:val="nil"/>
              <w:right w:val="nil"/>
            </w:tcBorders>
            <w:shd w:val="clear" w:color="FFFFFF" w:fill="FFFFFF"/>
            <w:vAlign w:val="bottom"/>
            <w:hideMark/>
          </w:tcPr>
          <w:p w14:paraId="24F16F02" w14:textId="77777777" w:rsidR="00A43992" w:rsidRPr="004B7B6D" w:rsidRDefault="00A43992" w:rsidP="007211E3">
            <w:pPr>
              <w:jc w:val="right"/>
              <w:rPr>
                <w:rFonts w:ascii="Arial" w:hAnsi="Arial" w:cs="Arial"/>
                <w:color w:val="6B2976"/>
                <w:sz w:val="18"/>
                <w:szCs w:val="18"/>
              </w:rPr>
            </w:pPr>
            <w:r w:rsidRPr="004B7B6D">
              <w:rPr>
                <w:rFonts w:ascii="Arial" w:hAnsi="Arial" w:cs="Arial"/>
                <w:color w:val="6B2976"/>
                <w:sz w:val="18"/>
                <w:szCs w:val="18"/>
              </w:rPr>
              <w:t>Original</w:t>
            </w:r>
            <w:r w:rsidRPr="004B7B6D">
              <w:rPr>
                <w:rFonts w:ascii="Arial" w:hAnsi="Arial" w:cs="Arial"/>
                <w:color w:val="6B2976"/>
                <w:sz w:val="18"/>
                <w:szCs w:val="18"/>
              </w:rPr>
              <w:br/>
              <w:t>Budget</w:t>
            </w:r>
          </w:p>
        </w:tc>
      </w:tr>
      <w:bookmarkEnd w:id="103"/>
      <w:tr w:rsidR="00A43992" w14:paraId="5A530E14" w14:textId="77777777" w:rsidTr="007211E3">
        <w:trPr>
          <w:trHeight w:val="255"/>
        </w:trPr>
        <w:tc>
          <w:tcPr>
            <w:tcW w:w="4316" w:type="dxa"/>
            <w:tcBorders>
              <w:top w:val="nil"/>
              <w:left w:val="nil"/>
              <w:bottom w:val="nil"/>
              <w:right w:val="nil"/>
            </w:tcBorders>
            <w:shd w:val="clear" w:color="FFFFFF" w:fill="FFFFFF"/>
            <w:noWrap/>
            <w:vAlign w:val="bottom"/>
            <w:hideMark/>
          </w:tcPr>
          <w:p w14:paraId="735B697E" w14:textId="77777777" w:rsidR="00A43992" w:rsidRDefault="00A43992" w:rsidP="007211E3">
            <w:pPr>
              <w:rPr>
                <w:rFonts w:ascii="Arial" w:hAnsi="Arial" w:cs="Arial"/>
                <w:sz w:val="18"/>
                <w:szCs w:val="18"/>
              </w:rPr>
            </w:pPr>
            <w:r>
              <w:rPr>
                <w:rFonts w:ascii="Arial" w:hAnsi="Arial" w:cs="Arial"/>
                <w:sz w:val="18"/>
                <w:szCs w:val="18"/>
              </w:rPr>
              <w:t> </w:t>
            </w:r>
          </w:p>
        </w:tc>
        <w:tc>
          <w:tcPr>
            <w:tcW w:w="1176" w:type="dxa"/>
            <w:tcBorders>
              <w:top w:val="nil"/>
              <w:left w:val="nil"/>
              <w:bottom w:val="nil"/>
              <w:right w:val="nil"/>
            </w:tcBorders>
            <w:shd w:val="clear" w:color="FFFFFF" w:fill="FFFFFF"/>
            <w:vAlign w:val="bottom"/>
            <w:hideMark/>
          </w:tcPr>
          <w:p w14:paraId="14EAFD9D" w14:textId="77777777" w:rsidR="00A43992" w:rsidRDefault="00A43992" w:rsidP="007211E3">
            <w:pPr>
              <w:jc w:val="right"/>
              <w:rPr>
                <w:rFonts w:ascii="Arial" w:hAnsi="Arial" w:cs="Arial"/>
                <w:b/>
                <w:bCs/>
                <w:sz w:val="18"/>
                <w:szCs w:val="18"/>
              </w:rPr>
            </w:pPr>
            <w:r>
              <w:rPr>
                <w:rFonts w:ascii="Arial" w:hAnsi="Arial" w:cs="Arial"/>
                <w:b/>
                <w:bCs/>
                <w:sz w:val="18"/>
                <w:szCs w:val="18"/>
              </w:rPr>
              <w:t>2016</w:t>
            </w:r>
          </w:p>
        </w:tc>
        <w:tc>
          <w:tcPr>
            <w:tcW w:w="1176" w:type="dxa"/>
            <w:tcBorders>
              <w:top w:val="nil"/>
              <w:left w:val="nil"/>
              <w:bottom w:val="nil"/>
              <w:right w:val="nil"/>
            </w:tcBorders>
            <w:shd w:val="clear" w:color="FFFFFF" w:fill="FFFFFF"/>
            <w:vAlign w:val="bottom"/>
            <w:hideMark/>
          </w:tcPr>
          <w:p w14:paraId="161026D0" w14:textId="77777777" w:rsidR="00A43992" w:rsidRDefault="00A43992" w:rsidP="007211E3">
            <w:pPr>
              <w:jc w:val="right"/>
              <w:rPr>
                <w:rFonts w:ascii="Arial" w:hAnsi="Arial" w:cs="Arial"/>
                <w:sz w:val="18"/>
                <w:szCs w:val="18"/>
              </w:rPr>
            </w:pPr>
            <w:r>
              <w:rPr>
                <w:rFonts w:ascii="Arial" w:hAnsi="Arial" w:cs="Arial"/>
                <w:sz w:val="18"/>
                <w:szCs w:val="18"/>
              </w:rPr>
              <w:t>2015</w:t>
            </w:r>
          </w:p>
        </w:tc>
        <w:tc>
          <w:tcPr>
            <w:tcW w:w="272" w:type="dxa"/>
            <w:tcBorders>
              <w:top w:val="nil"/>
              <w:left w:val="nil"/>
              <w:bottom w:val="nil"/>
              <w:right w:val="nil"/>
            </w:tcBorders>
            <w:shd w:val="clear" w:color="FFFFFF" w:fill="FFFFFF"/>
            <w:vAlign w:val="bottom"/>
            <w:hideMark/>
          </w:tcPr>
          <w:p w14:paraId="04ADA493" w14:textId="77777777" w:rsidR="00A43992" w:rsidRDefault="00A43992" w:rsidP="007211E3">
            <w:pPr>
              <w:jc w:val="right"/>
              <w:rPr>
                <w:rFonts w:ascii="Arial" w:hAnsi="Arial" w:cs="Arial"/>
                <w:sz w:val="18"/>
                <w:szCs w:val="18"/>
              </w:rPr>
            </w:pPr>
            <w:r>
              <w:rPr>
                <w:rFonts w:ascii="Arial" w:hAnsi="Arial" w:cs="Arial"/>
                <w:sz w:val="18"/>
                <w:szCs w:val="18"/>
              </w:rPr>
              <w:t> </w:t>
            </w:r>
          </w:p>
        </w:tc>
        <w:tc>
          <w:tcPr>
            <w:tcW w:w="1176" w:type="dxa"/>
            <w:tcBorders>
              <w:top w:val="nil"/>
              <w:left w:val="nil"/>
              <w:bottom w:val="nil"/>
              <w:right w:val="nil"/>
            </w:tcBorders>
            <w:shd w:val="clear" w:color="FFFFFF" w:fill="FFFFFF"/>
            <w:vAlign w:val="bottom"/>
            <w:hideMark/>
          </w:tcPr>
          <w:p w14:paraId="148F58EC" w14:textId="77777777" w:rsidR="00A43992" w:rsidRPr="004B7B6D" w:rsidRDefault="00A43992" w:rsidP="007211E3">
            <w:pPr>
              <w:jc w:val="right"/>
              <w:rPr>
                <w:rFonts w:ascii="Arial" w:hAnsi="Arial" w:cs="Arial"/>
                <w:color w:val="6B2976"/>
                <w:sz w:val="18"/>
                <w:szCs w:val="18"/>
              </w:rPr>
            </w:pPr>
            <w:r w:rsidRPr="004B7B6D">
              <w:rPr>
                <w:rFonts w:ascii="Arial" w:hAnsi="Arial" w:cs="Arial"/>
                <w:color w:val="6B2976"/>
                <w:sz w:val="18"/>
                <w:szCs w:val="18"/>
              </w:rPr>
              <w:t>2016</w:t>
            </w:r>
          </w:p>
        </w:tc>
      </w:tr>
      <w:tr w:rsidR="00A43992" w14:paraId="7506E251" w14:textId="77777777" w:rsidTr="007211E3">
        <w:trPr>
          <w:trHeight w:val="270"/>
        </w:trPr>
        <w:tc>
          <w:tcPr>
            <w:tcW w:w="4316" w:type="dxa"/>
            <w:tcBorders>
              <w:top w:val="nil"/>
              <w:left w:val="nil"/>
              <w:bottom w:val="single" w:sz="4" w:space="0" w:color="6B2976"/>
              <w:right w:val="nil"/>
            </w:tcBorders>
            <w:shd w:val="clear" w:color="FFFFFF" w:fill="FFFFFF"/>
            <w:noWrap/>
            <w:vAlign w:val="bottom"/>
            <w:hideMark/>
          </w:tcPr>
          <w:p w14:paraId="3F5005E2" w14:textId="77777777" w:rsidR="00A43992" w:rsidRDefault="00A43992" w:rsidP="007211E3">
            <w:pPr>
              <w:rPr>
                <w:rFonts w:ascii="Arial" w:hAnsi="Arial" w:cs="Arial"/>
                <w:sz w:val="18"/>
                <w:szCs w:val="18"/>
              </w:rPr>
            </w:pPr>
            <w:r>
              <w:rPr>
                <w:rFonts w:ascii="Arial" w:hAnsi="Arial" w:cs="Arial"/>
                <w:sz w:val="18"/>
                <w:szCs w:val="18"/>
              </w:rPr>
              <w:t> </w:t>
            </w:r>
          </w:p>
        </w:tc>
        <w:tc>
          <w:tcPr>
            <w:tcW w:w="1176" w:type="dxa"/>
            <w:tcBorders>
              <w:top w:val="nil"/>
              <w:left w:val="nil"/>
              <w:bottom w:val="single" w:sz="4" w:space="0" w:color="6B2976"/>
              <w:right w:val="nil"/>
            </w:tcBorders>
            <w:shd w:val="clear" w:color="FFFFFF" w:fill="FFFFFF"/>
            <w:vAlign w:val="bottom"/>
            <w:hideMark/>
          </w:tcPr>
          <w:p w14:paraId="7BFE8929" w14:textId="77777777" w:rsidR="00A43992" w:rsidRDefault="00A43992" w:rsidP="007211E3">
            <w:pPr>
              <w:jc w:val="right"/>
              <w:rPr>
                <w:rFonts w:ascii="Arial" w:hAnsi="Arial" w:cs="Arial"/>
                <w:b/>
                <w:bCs/>
                <w:sz w:val="18"/>
                <w:szCs w:val="18"/>
              </w:rPr>
            </w:pPr>
            <w:r>
              <w:rPr>
                <w:rFonts w:ascii="Arial" w:hAnsi="Arial" w:cs="Arial"/>
                <w:b/>
                <w:bCs/>
                <w:sz w:val="18"/>
                <w:szCs w:val="18"/>
              </w:rPr>
              <w:t>$'000</w:t>
            </w:r>
          </w:p>
        </w:tc>
        <w:tc>
          <w:tcPr>
            <w:tcW w:w="1176" w:type="dxa"/>
            <w:tcBorders>
              <w:top w:val="nil"/>
              <w:left w:val="nil"/>
              <w:bottom w:val="single" w:sz="4" w:space="0" w:color="6B2976"/>
              <w:right w:val="nil"/>
            </w:tcBorders>
            <w:shd w:val="clear" w:color="FFFFFF" w:fill="FFFFFF"/>
            <w:vAlign w:val="bottom"/>
            <w:hideMark/>
          </w:tcPr>
          <w:p w14:paraId="6EE0F6D5" w14:textId="77777777" w:rsidR="00A43992" w:rsidRDefault="00A43992" w:rsidP="007211E3">
            <w:pPr>
              <w:jc w:val="right"/>
              <w:rPr>
                <w:rFonts w:ascii="Arial" w:hAnsi="Arial" w:cs="Arial"/>
                <w:sz w:val="18"/>
                <w:szCs w:val="18"/>
              </w:rPr>
            </w:pPr>
            <w:r>
              <w:rPr>
                <w:rFonts w:ascii="Arial" w:hAnsi="Arial" w:cs="Arial"/>
                <w:sz w:val="18"/>
                <w:szCs w:val="18"/>
              </w:rPr>
              <w:t>$'000</w:t>
            </w:r>
          </w:p>
        </w:tc>
        <w:tc>
          <w:tcPr>
            <w:tcW w:w="272" w:type="dxa"/>
            <w:tcBorders>
              <w:top w:val="nil"/>
              <w:left w:val="nil"/>
              <w:bottom w:val="single" w:sz="4" w:space="0" w:color="6B2976"/>
              <w:right w:val="nil"/>
            </w:tcBorders>
            <w:shd w:val="clear" w:color="FFFFFF" w:fill="FFFFFF"/>
            <w:vAlign w:val="bottom"/>
            <w:hideMark/>
          </w:tcPr>
          <w:p w14:paraId="476A3CD8" w14:textId="77777777" w:rsidR="00A43992" w:rsidRDefault="00A43992" w:rsidP="007211E3">
            <w:pPr>
              <w:jc w:val="right"/>
              <w:rPr>
                <w:rFonts w:ascii="Arial" w:hAnsi="Arial" w:cs="Arial"/>
                <w:sz w:val="18"/>
                <w:szCs w:val="18"/>
              </w:rPr>
            </w:pPr>
            <w:r>
              <w:rPr>
                <w:rFonts w:ascii="Arial" w:hAnsi="Arial" w:cs="Arial"/>
                <w:sz w:val="18"/>
                <w:szCs w:val="18"/>
              </w:rPr>
              <w:t> </w:t>
            </w:r>
          </w:p>
        </w:tc>
        <w:tc>
          <w:tcPr>
            <w:tcW w:w="1176" w:type="dxa"/>
            <w:tcBorders>
              <w:top w:val="nil"/>
              <w:left w:val="nil"/>
              <w:bottom w:val="single" w:sz="4" w:space="0" w:color="6B2976"/>
              <w:right w:val="nil"/>
            </w:tcBorders>
            <w:shd w:val="clear" w:color="FFFFFF" w:fill="FFFFFF"/>
            <w:vAlign w:val="bottom"/>
            <w:hideMark/>
          </w:tcPr>
          <w:p w14:paraId="51AD00DC" w14:textId="77777777" w:rsidR="00A43992" w:rsidRPr="004B7B6D" w:rsidRDefault="00A43992" w:rsidP="007211E3">
            <w:pPr>
              <w:jc w:val="right"/>
              <w:rPr>
                <w:rFonts w:ascii="Arial" w:hAnsi="Arial" w:cs="Arial"/>
                <w:color w:val="6B2976"/>
                <w:sz w:val="18"/>
                <w:szCs w:val="18"/>
              </w:rPr>
            </w:pPr>
            <w:r w:rsidRPr="004B7B6D">
              <w:rPr>
                <w:rFonts w:ascii="Arial" w:hAnsi="Arial" w:cs="Arial"/>
                <w:color w:val="6B2976"/>
                <w:sz w:val="18"/>
                <w:szCs w:val="18"/>
              </w:rPr>
              <w:t>$'000</w:t>
            </w:r>
          </w:p>
        </w:tc>
      </w:tr>
      <w:tr w:rsidR="00A43992" w14:paraId="49C5ADCB" w14:textId="77777777" w:rsidTr="007211E3">
        <w:trPr>
          <w:trHeight w:val="255"/>
        </w:trPr>
        <w:tc>
          <w:tcPr>
            <w:tcW w:w="4316" w:type="dxa"/>
            <w:tcBorders>
              <w:top w:val="single" w:sz="4" w:space="0" w:color="6B2976"/>
              <w:left w:val="nil"/>
              <w:bottom w:val="nil"/>
              <w:right w:val="nil"/>
            </w:tcBorders>
            <w:shd w:val="clear" w:color="FFFFFF" w:fill="FFFFFF"/>
            <w:vAlign w:val="bottom"/>
            <w:hideMark/>
          </w:tcPr>
          <w:p w14:paraId="24253AEF" w14:textId="77777777" w:rsidR="00A43992" w:rsidRDefault="00A43992" w:rsidP="007211E3">
            <w:pPr>
              <w:rPr>
                <w:rFonts w:ascii="Arial" w:hAnsi="Arial" w:cs="Arial"/>
                <w:b/>
                <w:bCs/>
                <w:sz w:val="18"/>
                <w:szCs w:val="18"/>
              </w:rPr>
            </w:pPr>
            <w:r>
              <w:rPr>
                <w:rFonts w:ascii="Arial" w:hAnsi="Arial" w:cs="Arial"/>
                <w:b/>
                <w:bCs/>
                <w:sz w:val="18"/>
                <w:szCs w:val="18"/>
              </w:rPr>
              <w:t>CONTRIBUTED EQUITY</w:t>
            </w:r>
          </w:p>
        </w:tc>
        <w:tc>
          <w:tcPr>
            <w:tcW w:w="1176" w:type="dxa"/>
            <w:tcBorders>
              <w:top w:val="single" w:sz="4" w:space="0" w:color="6B2976"/>
              <w:left w:val="nil"/>
              <w:bottom w:val="nil"/>
              <w:right w:val="nil"/>
            </w:tcBorders>
            <w:shd w:val="clear" w:color="auto" w:fill="auto"/>
            <w:noWrap/>
            <w:vAlign w:val="bottom"/>
            <w:hideMark/>
          </w:tcPr>
          <w:p w14:paraId="43529FE4" w14:textId="77777777" w:rsidR="00A43992" w:rsidRDefault="00A43992" w:rsidP="007211E3">
            <w:pPr>
              <w:rPr>
                <w:rFonts w:ascii="Arial" w:hAnsi="Arial" w:cs="Arial"/>
                <w:b/>
                <w:bCs/>
                <w:sz w:val="18"/>
                <w:szCs w:val="18"/>
              </w:rPr>
            </w:pPr>
          </w:p>
        </w:tc>
        <w:tc>
          <w:tcPr>
            <w:tcW w:w="1176" w:type="dxa"/>
            <w:tcBorders>
              <w:top w:val="single" w:sz="4" w:space="0" w:color="6B2976"/>
              <w:left w:val="nil"/>
              <w:bottom w:val="nil"/>
              <w:right w:val="nil"/>
            </w:tcBorders>
            <w:shd w:val="clear" w:color="auto" w:fill="auto"/>
            <w:noWrap/>
            <w:vAlign w:val="bottom"/>
            <w:hideMark/>
          </w:tcPr>
          <w:p w14:paraId="53CCC917" w14:textId="77777777" w:rsidR="00A43992" w:rsidRDefault="00A43992" w:rsidP="007211E3"/>
        </w:tc>
        <w:tc>
          <w:tcPr>
            <w:tcW w:w="272" w:type="dxa"/>
            <w:tcBorders>
              <w:top w:val="single" w:sz="4" w:space="0" w:color="6B2976"/>
              <w:left w:val="nil"/>
              <w:bottom w:val="nil"/>
              <w:right w:val="nil"/>
            </w:tcBorders>
            <w:shd w:val="clear" w:color="auto" w:fill="auto"/>
            <w:noWrap/>
            <w:vAlign w:val="bottom"/>
            <w:hideMark/>
          </w:tcPr>
          <w:p w14:paraId="724B5A55" w14:textId="77777777" w:rsidR="00A43992" w:rsidRDefault="00A43992" w:rsidP="007211E3"/>
        </w:tc>
        <w:tc>
          <w:tcPr>
            <w:tcW w:w="1176" w:type="dxa"/>
            <w:tcBorders>
              <w:top w:val="single" w:sz="4" w:space="0" w:color="6B2976"/>
              <w:left w:val="nil"/>
              <w:bottom w:val="nil"/>
              <w:right w:val="nil"/>
            </w:tcBorders>
            <w:shd w:val="clear" w:color="auto" w:fill="auto"/>
            <w:noWrap/>
            <w:vAlign w:val="bottom"/>
            <w:hideMark/>
          </w:tcPr>
          <w:p w14:paraId="4FD56D0F" w14:textId="77777777" w:rsidR="00A43992" w:rsidRDefault="00A43992" w:rsidP="007211E3"/>
        </w:tc>
      </w:tr>
      <w:tr w:rsidR="00A43992" w14:paraId="40928834" w14:textId="77777777" w:rsidTr="007211E3">
        <w:trPr>
          <w:trHeight w:val="255"/>
        </w:trPr>
        <w:tc>
          <w:tcPr>
            <w:tcW w:w="4316" w:type="dxa"/>
            <w:tcBorders>
              <w:top w:val="nil"/>
              <w:left w:val="nil"/>
              <w:bottom w:val="nil"/>
              <w:right w:val="nil"/>
            </w:tcBorders>
            <w:shd w:val="clear" w:color="FFFFFF" w:fill="FFFFFF"/>
            <w:vAlign w:val="bottom"/>
            <w:hideMark/>
          </w:tcPr>
          <w:p w14:paraId="3FA91A51" w14:textId="77777777" w:rsidR="00A43992" w:rsidRDefault="00A43992" w:rsidP="007211E3">
            <w:pPr>
              <w:rPr>
                <w:rFonts w:ascii="Arial" w:hAnsi="Arial" w:cs="Arial"/>
                <w:b/>
                <w:bCs/>
                <w:sz w:val="18"/>
                <w:szCs w:val="18"/>
              </w:rPr>
            </w:pPr>
            <w:r>
              <w:rPr>
                <w:rFonts w:ascii="Arial" w:hAnsi="Arial" w:cs="Arial"/>
                <w:b/>
                <w:bCs/>
                <w:sz w:val="18"/>
                <w:szCs w:val="18"/>
              </w:rPr>
              <w:t>Opening balance</w:t>
            </w:r>
          </w:p>
        </w:tc>
        <w:tc>
          <w:tcPr>
            <w:tcW w:w="1176" w:type="dxa"/>
            <w:tcBorders>
              <w:top w:val="nil"/>
              <w:left w:val="nil"/>
              <w:bottom w:val="nil"/>
              <w:right w:val="nil"/>
            </w:tcBorders>
            <w:shd w:val="clear" w:color="FFFFFF" w:fill="FFFFFF"/>
            <w:noWrap/>
            <w:vAlign w:val="bottom"/>
            <w:hideMark/>
          </w:tcPr>
          <w:p w14:paraId="55635989" w14:textId="77777777" w:rsidR="00A43992" w:rsidRDefault="00A43992" w:rsidP="007211E3">
            <w:pPr>
              <w:jc w:val="right"/>
              <w:rPr>
                <w:rFonts w:ascii="Arial" w:hAnsi="Arial" w:cs="Arial"/>
                <w:b/>
                <w:bCs/>
                <w:sz w:val="18"/>
                <w:szCs w:val="18"/>
              </w:rPr>
            </w:pPr>
            <w:r>
              <w:rPr>
                <w:rFonts w:ascii="Arial" w:hAnsi="Arial" w:cs="Arial"/>
                <w:b/>
                <w:bCs/>
                <w:sz w:val="18"/>
                <w:szCs w:val="18"/>
              </w:rPr>
              <w:t>31,780</w:t>
            </w:r>
          </w:p>
        </w:tc>
        <w:tc>
          <w:tcPr>
            <w:tcW w:w="1176" w:type="dxa"/>
            <w:tcBorders>
              <w:top w:val="nil"/>
              <w:left w:val="nil"/>
              <w:bottom w:val="nil"/>
              <w:right w:val="nil"/>
            </w:tcBorders>
            <w:shd w:val="clear" w:color="FFFFFF" w:fill="FFFFFF"/>
            <w:noWrap/>
            <w:vAlign w:val="bottom"/>
            <w:hideMark/>
          </w:tcPr>
          <w:p w14:paraId="5F6EBAE1" w14:textId="77777777" w:rsidR="00A43992" w:rsidRDefault="00A43992" w:rsidP="007211E3">
            <w:pPr>
              <w:jc w:val="right"/>
              <w:rPr>
                <w:rFonts w:ascii="Arial" w:hAnsi="Arial" w:cs="Arial"/>
                <w:sz w:val="18"/>
                <w:szCs w:val="18"/>
              </w:rPr>
            </w:pPr>
            <w:r>
              <w:rPr>
                <w:rFonts w:ascii="Arial" w:hAnsi="Arial" w:cs="Arial"/>
                <w:sz w:val="18"/>
                <w:szCs w:val="18"/>
              </w:rPr>
              <w:t>38,690</w:t>
            </w:r>
          </w:p>
        </w:tc>
        <w:tc>
          <w:tcPr>
            <w:tcW w:w="272" w:type="dxa"/>
            <w:tcBorders>
              <w:top w:val="nil"/>
              <w:left w:val="nil"/>
              <w:bottom w:val="nil"/>
              <w:right w:val="nil"/>
            </w:tcBorders>
            <w:shd w:val="clear" w:color="FFFFFF" w:fill="FFFFFF"/>
            <w:noWrap/>
            <w:vAlign w:val="bottom"/>
            <w:hideMark/>
          </w:tcPr>
          <w:p w14:paraId="360428F9" w14:textId="77777777" w:rsidR="00A43992" w:rsidRDefault="00A43992" w:rsidP="007211E3">
            <w:pPr>
              <w:jc w:val="right"/>
              <w:rPr>
                <w:rFonts w:ascii="Arial" w:hAnsi="Arial" w:cs="Arial"/>
                <w:sz w:val="18"/>
                <w:szCs w:val="18"/>
              </w:rPr>
            </w:pPr>
            <w:r>
              <w:rPr>
                <w:rFonts w:ascii="Arial" w:hAnsi="Arial" w:cs="Arial"/>
                <w:sz w:val="18"/>
                <w:szCs w:val="18"/>
              </w:rPr>
              <w:t> </w:t>
            </w:r>
          </w:p>
        </w:tc>
        <w:tc>
          <w:tcPr>
            <w:tcW w:w="1176" w:type="dxa"/>
            <w:tcBorders>
              <w:top w:val="nil"/>
              <w:left w:val="nil"/>
              <w:bottom w:val="nil"/>
              <w:right w:val="nil"/>
            </w:tcBorders>
            <w:shd w:val="clear" w:color="FFFFFF" w:fill="FFFFFF"/>
            <w:noWrap/>
            <w:vAlign w:val="bottom"/>
            <w:hideMark/>
          </w:tcPr>
          <w:p w14:paraId="58A4AD20" w14:textId="77777777" w:rsidR="00A43992" w:rsidRDefault="00A43992" w:rsidP="007211E3">
            <w:pPr>
              <w:jc w:val="right"/>
              <w:rPr>
                <w:rFonts w:ascii="Arial" w:hAnsi="Arial" w:cs="Arial"/>
                <w:sz w:val="18"/>
                <w:szCs w:val="18"/>
              </w:rPr>
            </w:pPr>
            <w:r>
              <w:rPr>
                <w:rFonts w:ascii="Arial" w:hAnsi="Arial" w:cs="Arial"/>
                <w:sz w:val="18"/>
                <w:szCs w:val="18"/>
              </w:rPr>
              <w:t>31,780</w:t>
            </w:r>
          </w:p>
        </w:tc>
      </w:tr>
      <w:tr w:rsidR="00A43992" w14:paraId="093EA5F3" w14:textId="77777777" w:rsidTr="007211E3">
        <w:trPr>
          <w:trHeight w:val="255"/>
        </w:trPr>
        <w:tc>
          <w:tcPr>
            <w:tcW w:w="4316" w:type="dxa"/>
            <w:tcBorders>
              <w:top w:val="nil"/>
              <w:left w:val="nil"/>
              <w:bottom w:val="nil"/>
              <w:right w:val="nil"/>
            </w:tcBorders>
            <w:shd w:val="clear" w:color="FFFFFF" w:fill="FFFFFF"/>
            <w:vAlign w:val="bottom"/>
            <w:hideMark/>
          </w:tcPr>
          <w:p w14:paraId="50801C17" w14:textId="77777777" w:rsidR="00A43992" w:rsidRDefault="00A43992" w:rsidP="007211E3">
            <w:pPr>
              <w:rPr>
                <w:rFonts w:ascii="Arial" w:hAnsi="Arial" w:cs="Arial"/>
                <w:b/>
                <w:bCs/>
                <w:sz w:val="18"/>
                <w:szCs w:val="18"/>
              </w:rPr>
            </w:pPr>
            <w:r>
              <w:rPr>
                <w:rFonts w:ascii="Arial" w:hAnsi="Arial" w:cs="Arial"/>
                <w:b/>
                <w:bCs/>
                <w:sz w:val="18"/>
                <w:szCs w:val="18"/>
              </w:rPr>
              <w:t>Contributions by owners</w:t>
            </w:r>
          </w:p>
        </w:tc>
        <w:tc>
          <w:tcPr>
            <w:tcW w:w="1176" w:type="dxa"/>
            <w:tcBorders>
              <w:top w:val="nil"/>
              <w:left w:val="nil"/>
              <w:bottom w:val="nil"/>
              <w:right w:val="nil"/>
            </w:tcBorders>
            <w:shd w:val="clear" w:color="FFFFFF" w:fill="FFFFFF"/>
            <w:noWrap/>
            <w:vAlign w:val="bottom"/>
            <w:hideMark/>
          </w:tcPr>
          <w:p w14:paraId="5DC27918" w14:textId="77777777" w:rsidR="00A43992" w:rsidRDefault="00A43992" w:rsidP="007211E3">
            <w:pPr>
              <w:rPr>
                <w:rFonts w:ascii="Arial" w:hAnsi="Arial" w:cs="Arial"/>
                <w:b/>
                <w:bCs/>
                <w:sz w:val="18"/>
                <w:szCs w:val="18"/>
              </w:rPr>
            </w:pPr>
            <w:r>
              <w:rPr>
                <w:rFonts w:ascii="Arial" w:hAnsi="Arial" w:cs="Arial"/>
                <w:b/>
                <w:bCs/>
                <w:sz w:val="18"/>
                <w:szCs w:val="18"/>
              </w:rPr>
              <w:t> </w:t>
            </w:r>
          </w:p>
        </w:tc>
        <w:tc>
          <w:tcPr>
            <w:tcW w:w="1176" w:type="dxa"/>
            <w:tcBorders>
              <w:top w:val="nil"/>
              <w:left w:val="nil"/>
              <w:bottom w:val="nil"/>
              <w:right w:val="nil"/>
            </w:tcBorders>
            <w:shd w:val="clear" w:color="FFFFFF" w:fill="FFFFFF"/>
            <w:noWrap/>
            <w:vAlign w:val="bottom"/>
            <w:hideMark/>
          </w:tcPr>
          <w:p w14:paraId="08AC664A" w14:textId="77777777" w:rsidR="00A43992" w:rsidRDefault="00A43992" w:rsidP="007211E3">
            <w:pPr>
              <w:rPr>
                <w:rFonts w:ascii="Arial" w:hAnsi="Arial" w:cs="Arial"/>
                <w:sz w:val="18"/>
                <w:szCs w:val="18"/>
              </w:rPr>
            </w:pPr>
            <w:r>
              <w:rPr>
                <w:rFonts w:ascii="Arial" w:hAnsi="Arial" w:cs="Arial"/>
                <w:sz w:val="18"/>
                <w:szCs w:val="18"/>
              </w:rPr>
              <w:t> </w:t>
            </w:r>
          </w:p>
        </w:tc>
        <w:tc>
          <w:tcPr>
            <w:tcW w:w="272" w:type="dxa"/>
            <w:tcBorders>
              <w:top w:val="nil"/>
              <w:left w:val="nil"/>
              <w:bottom w:val="nil"/>
              <w:right w:val="nil"/>
            </w:tcBorders>
            <w:shd w:val="clear" w:color="FFFFFF" w:fill="FFFFFF"/>
            <w:noWrap/>
            <w:vAlign w:val="bottom"/>
            <w:hideMark/>
          </w:tcPr>
          <w:p w14:paraId="58DCCCD2" w14:textId="77777777" w:rsidR="00A43992" w:rsidRDefault="00A43992" w:rsidP="007211E3">
            <w:pPr>
              <w:rPr>
                <w:rFonts w:ascii="Arial" w:hAnsi="Arial" w:cs="Arial"/>
                <w:sz w:val="18"/>
                <w:szCs w:val="18"/>
              </w:rPr>
            </w:pPr>
            <w:r>
              <w:rPr>
                <w:rFonts w:ascii="Arial" w:hAnsi="Arial" w:cs="Arial"/>
                <w:sz w:val="18"/>
                <w:szCs w:val="18"/>
              </w:rPr>
              <w:t> </w:t>
            </w:r>
          </w:p>
        </w:tc>
        <w:tc>
          <w:tcPr>
            <w:tcW w:w="1176" w:type="dxa"/>
            <w:tcBorders>
              <w:top w:val="nil"/>
              <w:left w:val="nil"/>
              <w:bottom w:val="nil"/>
              <w:right w:val="nil"/>
            </w:tcBorders>
            <w:shd w:val="clear" w:color="FFFFFF" w:fill="FFFFFF"/>
            <w:noWrap/>
            <w:vAlign w:val="bottom"/>
            <w:hideMark/>
          </w:tcPr>
          <w:p w14:paraId="29AA6703" w14:textId="77777777" w:rsidR="00A43992" w:rsidRDefault="00A43992" w:rsidP="007211E3">
            <w:pPr>
              <w:rPr>
                <w:rFonts w:ascii="Arial" w:hAnsi="Arial" w:cs="Arial"/>
                <w:b/>
                <w:bCs/>
                <w:sz w:val="18"/>
                <w:szCs w:val="18"/>
              </w:rPr>
            </w:pPr>
            <w:r>
              <w:rPr>
                <w:rFonts w:ascii="Arial" w:hAnsi="Arial" w:cs="Arial"/>
                <w:b/>
                <w:bCs/>
                <w:sz w:val="18"/>
                <w:szCs w:val="18"/>
              </w:rPr>
              <w:t> </w:t>
            </w:r>
          </w:p>
        </w:tc>
      </w:tr>
      <w:tr w:rsidR="00A43992" w14:paraId="5B963991" w14:textId="77777777" w:rsidTr="007211E3">
        <w:trPr>
          <w:trHeight w:val="255"/>
        </w:trPr>
        <w:tc>
          <w:tcPr>
            <w:tcW w:w="4316" w:type="dxa"/>
            <w:tcBorders>
              <w:top w:val="nil"/>
              <w:left w:val="nil"/>
              <w:bottom w:val="nil"/>
              <w:right w:val="nil"/>
            </w:tcBorders>
            <w:shd w:val="clear" w:color="FFFFFF" w:fill="FFFFFF"/>
            <w:vAlign w:val="bottom"/>
            <w:hideMark/>
          </w:tcPr>
          <w:p w14:paraId="4371162C" w14:textId="77777777" w:rsidR="00A43992" w:rsidRDefault="00A43992" w:rsidP="007211E3">
            <w:pPr>
              <w:rPr>
                <w:rFonts w:ascii="Arial" w:hAnsi="Arial" w:cs="Arial"/>
                <w:sz w:val="18"/>
                <w:szCs w:val="18"/>
              </w:rPr>
            </w:pPr>
            <w:r>
              <w:rPr>
                <w:rFonts w:ascii="Arial" w:hAnsi="Arial" w:cs="Arial"/>
                <w:sz w:val="18"/>
                <w:szCs w:val="18"/>
              </w:rPr>
              <w:t>Equity injection</w:t>
            </w:r>
          </w:p>
        </w:tc>
        <w:tc>
          <w:tcPr>
            <w:tcW w:w="1176" w:type="dxa"/>
            <w:tcBorders>
              <w:top w:val="nil"/>
              <w:left w:val="nil"/>
              <w:bottom w:val="nil"/>
              <w:right w:val="nil"/>
            </w:tcBorders>
            <w:shd w:val="clear" w:color="FFFFFF" w:fill="FFFFFF"/>
            <w:noWrap/>
            <w:vAlign w:val="bottom"/>
            <w:hideMark/>
          </w:tcPr>
          <w:p w14:paraId="646C66FB" w14:textId="77777777" w:rsidR="00A43992" w:rsidRDefault="00A43992" w:rsidP="007211E3">
            <w:pPr>
              <w:jc w:val="right"/>
              <w:rPr>
                <w:rFonts w:ascii="Arial" w:hAnsi="Arial" w:cs="Arial"/>
                <w:b/>
                <w:bCs/>
                <w:sz w:val="18"/>
                <w:szCs w:val="18"/>
              </w:rPr>
            </w:pPr>
            <w:r>
              <w:rPr>
                <w:rFonts w:ascii="Arial" w:hAnsi="Arial" w:cs="Arial"/>
                <w:b/>
                <w:bCs/>
                <w:sz w:val="18"/>
                <w:szCs w:val="18"/>
              </w:rPr>
              <w:t> </w:t>
            </w:r>
          </w:p>
        </w:tc>
        <w:tc>
          <w:tcPr>
            <w:tcW w:w="1176" w:type="dxa"/>
            <w:tcBorders>
              <w:top w:val="nil"/>
              <w:left w:val="nil"/>
              <w:bottom w:val="nil"/>
              <w:right w:val="nil"/>
            </w:tcBorders>
            <w:shd w:val="clear" w:color="FFFFFF" w:fill="FFFFFF"/>
            <w:noWrap/>
            <w:vAlign w:val="bottom"/>
            <w:hideMark/>
          </w:tcPr>
          <w:p w14:paraId="2DB79296" w14:textId="77777777" w:rsidR="00A43992" w:rsidRDefault="00A43992" w:rsidP="007211E3">
            <w:pPr>
              <w:jc w:val="right"/>
              <w:rPr>
                <w:rFonts w:ascii="Arial" w:hAnsi="Arial" w:cs="Arial"/>
                <w:sz w:val="18"/>
                <w:szCs w:val="18"/>
              </w:rPr>
            </w:pPr>
            <w:r>
              <w:rPr>
                <w:rFonts w:ascii="Arial" w:hAnsi="Arial" w:cs="Arial"/>
                <w:sz w:val="18"/>
                <w:szCs w:val="18"/>
              </w:rPr>
              <w:t> </w:t>
            </w:r>
          </w:p>
        </w:tc>
        <w:tc>
          <w:tcPr>
            <w:tcW w:w="272" w:type="dxa"/>
            <w:tcBorders>
              <w:top w:val="nil"/>
              <w:left w:val="nil"/>
              <w:bottom w:val="nil"/>
              <w:right w:val="nil"/>
            </w:tcBorders>
            <w:shd w:val="clear" w:color="FFFFFF" w:fill="FFFFFF"/>
            <w:noWrap/>
            <w:vAlign w:val="bottom"/>
            <w:hideMark/>
          </w:tcPr>
          <w:p w14:paraId="767F5171" w14:textId="77777777" w:rsidR="00A43992" w:rsidRDefault="00A43992" w:rsidP="007211E3">
            <w:pPr>
              <w:jc w:val="right"/>
              <w:rPr>
                <w:rFonts w:ascii="Arial" w:hAnsi="Arial" w:cs="Arial"/>
                <w:sz w:val="18"/>
                <w:szCs w:val="18"/>
              </w:rPr>
            </w:pPr>
            <w:r>
              <w:rPr>
                <w:rFonts w:ascii="Arial" w:hAnsi="Arial" w:cs="Arial"/>
                <w:sz w:val="18"/>
                <w:szCs w:val="18"/>
              </w:rPr>
              <w:t> </w:t>
            </w:r>
          </w:p>
        </w:tc>
        <w:tc>
          <w:tcPr>
            <w:tcW w:w="1176" w:type="dxa"/>
            <w:tcBorders>
              <w:top w:val="nil"/>
              <w:left w:val="nil"/>
              <w:bottom w:val="nil"/>
              <w:right w:val="nil"/>
            </w:tcBorders>
            <w:shd w:val="clear" w:color="FFFFFF" w:fill="FFFFFF"/>
            <w:noWrap/>
            <w:vAlign w:val="bottom"/>
            <w:hideMark/>
          </w:tcPr>
          <w:p w14:paraId="0D644ACC" w14:textId="77777777" w:rsidR="00A43992" w:rsidRDefault="00A43992" w:rsidP="007211E3">
            <w:pPr>
              <w:jc w:val="right"/>
              <w:rPr>
                <w:rFonts w:ascii="Arial" w:hAnsi="Arial" w:cs="Arial"/>
                <w:sz w:val="18"/>
                <w:szCs w:val="18"/>
              </w:rPr>
            </w:pPr>
            <w:r>
              <w:rPr>
                <w:rFonts w:ascii="Arial" w:hAnsi="Arial" w:cs="Arial"/>
                <w:sz w:val="18"/>
                <w:szCs w:val="18"/>
              </w:rPr>
              <w:t> </w:t>
            </w:r>
          </w:p>
        </w:tc>
      </w:tr>
      <w:tr w:rsidR="00A43992" w14:paraId="1A08EAF7" w14:textId="77777777" w:rsidTr="007211E3">
        <w:trPr>
          <w:trHeight w:val="270"/>
        </w:trPr>
        <w:tc>
          <w:tcPr>
            <w:tcW w:w="4316" w:type="dxa"/>
            <w:tcBorders>
              <w:top w:val="nil"/>
              <w:left w:val="nil"/>
              <w:bottom w:val="nil"/>
              <w:right w:val="nil"/>
            </w:tcBorders>
            <w:shd w:val="clear" w:color="FFFFFF" w:fill="FFFFFF"/>
            <w:vAlign w:val="bottom"/>
            <w:hideMark/>
          </w:tcPr>
          <w:p w14:paraId="2D2B5821" w14:textId="77777777" w:rsidR="00A43992" w:rsidRDefault="00A43992" w:rsidP="007211E3">
            <w:pPr>
              <w:ind w:firstLineChars="100" w:firstLine="180"/>
              <w:rPr>
                <w:rFonts w:ascii="Arial" w:hAnsi="Arial" w:cs="Arial"/>
                <w:sz w:val="18"/>
                <w:szCs w:val="18"/>
              </w:rPr>
            </w:pPr>
            <w:r>
              <w:rPr>
                <w:rFonts w:ascii="Arial" w:hAnsi="Arial" w:cs="Arial"/>
                <w:sz w:val="18"/>
                <w:szCs w:val="18"/>
              </w:rPr>
              <w:t>Corporate Commonwealth entity payment</w:t>
            </w:r>
          </w:p>
        </w:tc>
        <w:tc>
          <w:tcPr>
            <w:tcW w:w="1176" w:type="dxa"/>
            <w:tcBorders>
              <w:top w:val="nil"/>
              <w:left w:val="nil"/>
              <w:bottom w:val="nil"/>
              <w:right w:val="nil"/>
            </w:tcBorders>
            <w:shd w:val="clear" w:color="FFFFFF" w:fill="FFFFFF"/>
            <w:noWrap/>
            <w:vAlign w:val="bottom"/>
            <w:hideMark/>
          </w:tcPr>
          <w:p w14:paraId="72E0A567" w14:textId="77777777" w:rsidR="00A43992" w:rsidRDefault="00A43992" w:rsidP="007211E3">
            <w:pPr>
              <w:jc w:val="right"/>
              <w:rPr>
                <w:rFonts w:ascii="Arial" w:hAnsi="Arial" w:cs="Arial"/>
                <w:b/>
                <w:bCs/>
                <w:sz w:val="18"/>
                <w:szCs w:val="18"/>
              </w:rPr>
            </w:pPr>
            <w:r>
              <w:rPr>
                <w:rFonts w:ascii="Arial" w:hAnsi="Arial" w:cs="Arial"/>
                <w:b/>
                <w:bCs/>
                <w:sz w:val="18"/>
                <w:szCs w:val="18"/>
              </w:rPr>
              <w:t>57,756</w:t>
            </w:r>
          </w:p>
        </w:tc>
        <w:tc>
          <w:tcPr>
            <w:tcW w:w="1176" w:type="dxa"/>
            <w:tcBorders>
              <w:top w:val="nil"/>
              <w:left w:val="nil"/>
              <w:bottom w:val="nil"/>
              <w:right w:val="nil"/>
            </w:tcBorders>
            <w:shd w:val="clear" w:color="FFFFFF" w:fill="FFFFFF"/>
            <w:noWrap/>
            <w:vAlign w:val="bottom"/>
            <w:hideMark/>
          </w:tcPr>
          <w:p w14:paraId="2F366232" w14:textId="77777777" w:rsidR="00A43992" w:rsidRDefault="00A43992" w:rsidP="007211E3">
            <w:pPr>
              <w:jc w:val="right"/>
              <w:rPr>
                <w:rFonts w:ascii="Arial" w:hAnsi="Arial" w:cs="Arial"/>
                <w:sz w:val="18"/>
                <w:szCs w:val="18"/>
              </w:rPr>
            </w:pPr>
            <w:r>
              <w:rPr>
                <w:rFonts w:ascii="Arial" w:hAnsi="Arial" w:cs="Arial"/>
                <w:sz w:val="18"/>
                <w:szCs w:val="18"/>
              </w:rPr>
              <w:t xml:space="preserve">23,349 </w:t>
            </w:r>
          </w:p>
        </w:tc>
        <w:tc>
          <w:tcPr>
            <w:tcW w:w="272" w:type="dxa"/>
            <w:tcBorders>
              <w:top w:val="nil"/>
              <w:left w:val="nil"/>
              <w:bottom w:val="nil"/>
              <w:right w:val="nil"/>
            </w:tcBorders>
            <w:shd w:val="clear" w:color="FFFFFF" w:fill="FFFFFF"/>
            <w:noWrap/>
            <w:vAlign w:val="bottom"/>
            <w:hideMark/>
          </w:tcPr>
          <w:p w14:paraId="5461E2B7" w14:textId="77777777" w:rsidR="00A43992" w:rsidRDefault="00A43992" w:rsidP="007211E3">
            <w:pPr>
              <w:jc w:val="right"/>
              <w:rPr>
                <w:rFonts w:ascii="Arial" w:hAnsi="Arial" w:cs="Arial"/>
                <w:sz w:val="18"/>
                <w:szCs w:val="18"/>
              </w:rPr>
            </w:pPr>
            <w:r>
              <w:rPr>
                <w:rFonts w:ascii="Arial" w:hAnsi="Arial" w:cs="Arial"/>
                <w:sz w:val="18"/>
                <w:szCs w:val="18"/>
              </w:rPr>
              <w:t> </w:t>
            </w:r>
          </w:p>
        </w:tc>
        <w:tc>
          <w:tcPr>
            <w:tcW w:w="1176" w:type="dxa"/>
            <w:tcBorders>
              <w:top w:val="nil"/>
              <w:left w:val="nil"/>
              <w:bottom w:val="nil"/>
              <w:right w:val="nil"/>
            </w:tcBorders>
            <w:shd w:val="clear" w:color="FFFFFF" w:fill="FFFFFF"/>
            <w:noWrap/>
            <w:vAlign w:val="bottom"/>
            <w:hideMark/>
          </w:tcPr>
          <w:p w14:paraId="4A437C6B" w14:textId="77777777" w:rsidR="00A43992" w:rsidRDefault="00A43992" w:rsidP="007211E3">
            <w:pPr>
              <w:jc w:val="right"/>
              <w:rPr>
                <w:rFonts w:ascii="Arial" w:hAnsi="Arial" w:cs="Arial"/>
                <w:sz w:val="18"/>
                <w:szCs w:val="18"/>
              </w:rPr>
            </w:pPr>
            <w:r>
              <w:rPr>
                <w:rFonts w:ascii="Arial" w:hAnsi="Arial" w:cs="Arial"/>
                <w:sz w:val="18"/>
                <w:szCs w:val="18"/>
              </w:rPr>
              <w:t xml:space="preserve">57,756 </w:t>
            </w:r>
          </w:p>
        </w:tc>
      </w:tr>
      <w:tr w:rsidR="00A43992" w14:paraId="57B66406" w14:textId="77777777" w:rsidTr="007211E3">
        <w:trPr>
          <w:trHeight w:val="270"/>
        </w:trPr>
        <w:tc>
          <w:tcPr>
            <w:tcW w:w="4316" w:type="dxa"/>
            <w:tcBorders>
              <w:top w:val="nil"/>
              <w:left w:val="nil"/>
              <w:bottom w:val="nil"/>
              <w:right w:val="nil"/>
            </w:tcBorders>
            <w:shd w:val="clear" w:color="FFFFFF" w:fill="FFFFFF"/>
            <w:vAlign w:val="bottom"/>
            <w:hideMark/>
          </w:tcPr>
          <w:p w14:paraId="632AD441" w14:textId="77777777" w:rsidR="00A43992" w:rsidRDefault="00A43992" w:rsidP="007211E3">
            <w:pPr>
              <w:ind w:firstLineChars="100" w:firstLine="180"/>
              <w:rPr>
                <w:rFonts w:ascii="Arial" w:hAnsi="Arial" w:cs="Arial"/>
                <w:sz w:val="18"/>
                <w:szCs w:val="18"/>
              </w:rPr>
            </w:pPr>
            <w:r>
              <w:rPr>
                <w:rFonts w:ascii="Arial" w:hAnsi="Arial" w:cs="Arial"/>
                <w:sz w:val="18"/>
                <w:szCs w:val="18"/>
              </w:rPr>
              <w:t>Transfers to/from other entities</w:t>
            </w:r>
            <w:r>
              <w:rPr>
                <w:rFonts w:ascii="Arial" w:hAnsi="Arial" w:cs="Arial"/>
                <w:sz w:val="18"/>
                <w:szCs w:val="18"/>
                <w:vertAlign w:val="superscript"/>
              </w:rPr>
              <w:t>1</w:t>
            </w:r>
          </w:p>
        </w:tc>
        <w:tc>
          <w:tcPr>
            <w:tcW w:w="1176" w:type="dxa"/>
            <w:tcBorders>
              <w:top w:val="nil"/>
              <w:left w:val="nil"/>
              <w:bottom w:val="nil"/>
              <w:right w:val="nil"/>
            </w:tcBorders>
            <w:shd w:val="clear" w:color="FFFFFF" w:fill="FFFFFF"/>
            <w:noWrap/>
            <w:vAlign w:val="bottom"/>
            <w:hideMark/>
          </w:tcPr>
          <w:p w14:paraId="7D1DA93C" w14:textId="77777777" w:rsidR="00A43992" w:rsidRDefault="00A43992" w:rsidP="007211E3">
            <w:pPr>
              <w:jc w:val="right"/>
              <w:rPr>
                <w:rFonts w:ascii="Arial" w:hAnsi="Arial" w:cs="Arial"/>
                <w:b/>
                <w:bCs/>
                <w:sz w:val="18"/>
                <w:szCs w:val="18"/>
              </w:rPr>
            </w:pPr>
            <w:r>
              <w:rPr>
                <w:rFonts w:ascii="Arial" w:hAnsi="Arial" w:cs="Arial"/>
                <w:b/>
                <w:bCs/>
                <w:sz w:val="18"/>
                <w:szCs w:val="18"/>
              </w:rPr>
              <w:t>-</w:t>
            </w:r>
          </w:p>
        </w:tc>
        <w:tc>
          <w:tcPr>
            <w:tcW w:w="1176" w:type="dxa"/>
            <w:tcBorders>
              <w:top w:val="nil"/>
              <w:left w:val="nil"/>
              <w:bottom w:val="nil"/>
              <w:right w:val="nil"/>
            </w:tcBorders>
            <w:shd w:val="clear" w:color="FFFFFF" w:fill="FFFFFF"/>
            <w:noWrap/>
            <w:vAlign w:val="bottom"/>
            <w:hideMark/>
          </w:tcPr>
          <w:p w14:paraId="75F26B03" w14:textId="77777777" w:rsidR="00A43992" w:rsidRDefault="00A43992" w:rsidP="007211E3">
            <w:pPr>
              <w:jc w:val="right"/>
              <w:rPr>
                <w:rFonts w:ascii="Arial" w:hAnsi="Arial" w:cs="Arial"/>
                <w:sz w:val="18"/>
                <w:szCs w:val="18"/>
              </w:rPr>
            </w:pPr>
            <w:r>
              <w:rPr>
                <w:rFonts w:ascii="Arial" w:hAnsi="Arial" w:cs="Arial"/>
                <w:sz w:val="18"/>
                <w:szCs w:val="18"/>
              </w:rPr>
              <w:t>(30,259)</w:t>
            </w:r>
          </w:p>
        </w:tc>
        <w:tc>
          <w:tcPr>
            <w:tcW w:w="272" w:type="dxa"/>
            <w:tcBorders>
              <w:top w:val="nil"/>
              <w:left w:val="nil"/>
              <w:bottom w:val="nil"/>
              <w:right w:val="nil"/>
            </w:tcBorders>
            <w:shd w:val="clear" w:color="FFFFFF" w:fill="FFFFFF"/>
            <w:noWrap/>
            <w:vAlign w:val="bottom"/>
            <w:hideMark/>
          </w:tcPr>
          <w:p w14:paraId="70005AFB" w14:textId="77777777" w:rsidR="00A43992" w:rsidRDefault="00A43992" w:rsidP="007211E3">
            <w:pPr>
              <w:jc w:val="right"/>
              <w:rPr>
                <w:rFonts w:ascii="Arial" w:hAnsi="Arial" w:cs="Arial"/>
                <w:sz w:val="18"/>
                <w:szCs w:val="18"/>
              </w:rPr>
            </w:pPr>
            <w:r>
              <w:rPr>
                <w:rFonts w:ascii="Arial" w:hAnsi="Arial" w:cs="Arial"/>
                <w:sz w:val="18"/>
                <w:szCs w:val="18"/>
              </w:rPr>
              <w:t> </w:t>
            </w:r>
          </w:p>
        </w:tc>
        <w:tc>
          <w:tcPr>
            <w:tcW w:w="1176" w:type="dxa"/>
            <w:tcBorders>
              <w:top w:val="nil"/>
              <w:left w:val="nil"/>
              <w:bottom w:val="nil"/>
              <w:right w:val="nil"/>
            </w:tcBorders>
            <w:shd w:val="clear" w:color="FFFFFF" w:fill="FFFFFF"/>
            <w:noWrap/>
            <w:vAlign w:val="bottom"/>
            <w:hideMark/>
          </w:tcPr>
          <w:p w14:paraId="58AF49FD" w14:textId="77777777" w:rsidR="00A43992" w:rsidRDefault="00A43992" w:rsidP="007211E3">
            <w:pPr>
              <w:jc w:val="right"/>
              <w:rPr>
                <w:rFonts w:ascii="Arial" w:hAnsi="Arial" w:cs="Arial"/>
                <w:sz w:val="18"/>
                <w:szCs w:val="18"/>
              </w:rPr>
            </w:pPr>
            <w:r>
              <w:rPr>
                <w:rFonts w:ascii="Arial" w:hAnsi="Arial" w:cs="Arial"/>
                <w:sz w:val="18"/>
                <w:szCs w:val="18"/>
              </w:rPr>
              <w:t xml:space="preserve"> -</w:t>
            </w:r>
          </w:p>
        </w:tc>
      </w:tr>
      <w:tr w:rsidR="00A43992" w14:paraId="24FD5B5F" w14:textId="77777777" w:rsidTr="007211E3">
        <w:trPr>
          <w:trHeight w:val="255"/>
        </w:trPr>
        <w:tc>
          <w:tcPr>
            <w:tcW w:w="4316" w:type="dxa"/>
            <w:tcBorders>
              <w:top w:val="single" w:sz="4" w:space="0" w:color="auto"/>
              <w:left w:val="nil"/>
              <w:bottom w:val="single" w:sz="4" w:space="0" w:color="auto"/>
              <w:right w:val="nil"/>
            </w:tcBorders>
            <w:shd w:val="clear" w:color="FFFFFF" w:fill="FFFFFF"/>
            <w:vAlign w:val="bottom"/>
            <w:hideMark/>
          </w:tcPr>
          <w:p w14:paraId="0B28105A" w14:textId="77777777" w:rsidR="00A43992" w:rsidRDefault="00A43992" w:rsidP="007211E3">
            <w:pPr>
              <w:rPr>
                <w:rFonts w:ascii="Arial" w:hAnsi="Arial" w:cs="Arial"/>
                <w:b/>
                <w:bCs/>
                <w:sz w:val="18"/>
                <w:szCs w:val="18"/>
              </w:rPr>
            </w:pPr>
            <w:r>
              <w:rPr>
                <w:rFonts w:ascii="Arial" w:hAnsi="Arial" w:cs="Arial"/>
                <w:b/>
                <w:bCs/>
                <w:sz w:val="18"/>
                <w:szCs w:val="18"/>
              </w:rPr>
              <w:t>Sub-total contributions by owners</w:t>
            </w:r>
          </w:p>
        </w:tc>
        <w:tc>
          <w:tcPr>
            <w:tcW w:w="1176" w:type="dxa"/>
            <w:tcBorders>
              <w:top w:val="single" w:sz="4" w:space="0" w:color="auto"/>
              <w:left w:val="nil"/>
              <w:bottom w:val="single" w:sz="4" w:space="0" w:color="auto"/>
              <w:right w:val="nil"/>
            </w:tcBorders>
            <w:shd w:val="clear" w:color="FFFFFF" w:fill="FFFFFF"/>
            <w:noWrap/>
            <w:vAlign w:val="bottom"/>
            <w:hideMark/>
          </w:tcPr>
          <w:p w14:paraId="1B07FBD4" w14:textId="77777777" w:rsidR="00A43992" w:rsidRDefault="00A43992" w:rsidP="007211E3">
            <w:pPr>
              <w:jc w:val="right"/>
              <w:rPr>
                <w:rFonts w:ascii="Arial" w:hAnsi="Arial" w:cs="Arial"/>
                <w:b/>
                <w:bCs/>
                <w:sz w:val="18"/>
                <w:szCs w:val="18"/>
              </w:rPr>
            </w:pPr>
            <w:r>
              <w:rPr>
                <w:rFonts w:ascii="Arial" w:hAnsi="Arial" w:cs="Arial"/>
                <w:b/>
                <w:bCs/>
                <w:sz w:val="18"/>
                <w:szCs w:val="18"/>
              </w:rPr>
              <w:t>57,756</w:t>
            </w:r>
          </w:p>
        </w:tc>
        <w:tc>
          <w:tcPr>
            <w:tcW w:w="1176" w:type="dxa"/>
            <w:tcBorders>
              <w:top w:val="single" w:sz="4" w:space="0" w:color="auto"/>
              <w:left w:val="nil"/>
              <w:bottom w:val="single" w:sz="4" w:space="0" w:color="auto"/>
              <w:right w:val="nil"/>
            </w:tcBorders>
            <w:shd w:val="clear" w:color="FFFFFF" w:fill="FFFFFF"/>
            <w:noWrap/>
            <w:vAlign w:val="bottom"/>
            <w:hideMark/>
          </w:tcPr>
          <w:p w14:paraId="1C54B129" w14:textId="77777777" w:rsidR="00A43992" w:rsidRDefault="00A43992" w:rsidP="007211E3">
            <w:pPr>
              <w:jc w:val="right"/>
              <w:rPr>
                <w:rFonts w:ascii="Arial" w:hAnsi="Arial" w:cs="Arial"/>
                <w:sz w:val="18"/>
                <w:szCs w:val="18"/>
              </w:rPr>
            </w:pPr>
            <w:r>
              <w:rPr>
                <w:rFonts w:ascii="Arial" w:hAnsi="Arial" w:cs="Arial"/>
                <w:sz w:val="18"/>
                <w:szCs w:val="18"/>
              </w:rPr>
              <w:t>(6,910)</w:t>
            </w:r>
          </w:p>
        </w:tc>
        <w:tc>
          <w:tcPr>
            <w:tcW w:w="272" w:type="dxa"/>
            <w:tcBorders>
              <w:top w:val="single" w:sz="4" w:space="0" w:color="auto"/>
              <w:left w:val="nil"/>
              <w:bottom w:val="single" w:sz="4" w:space="0" w:color="auto"/>
              <w:right w:val="nil"/>
            </w:tcBorders>
            <w:shd w:val="clear" w:color="FFFFFF" w:fill="FFFFFF"/>
            <w:noWrap/>
            <w:vAlign w:val="bottom"/>
            <w:hideMark/>
          </w:tcPr>
          <w:p w14:paraId="781D2DC2" w14:textId="77777777" w:rsidR="00A43992" w:rsidRDefault="00A43992" w:rsidP="007211E3">
            <w:pPr>
              <w:jc w:val="right"/>
              <w:rPr>
                <w:rFonts w:ascii="Arial" w:hAnsi="Arial" w:cs="Arial"/>
                <w:sz w:val="18"/>
                <w:szCs w:val="18"/>
              </w:rPr>
            </w:pPr>
            <w:r>
              <w:rPr>
                <w:rFonts w:ascii="Arial" w:hAnsi="Arial" w:cs="Arial"/>
                <w:sz w:val="18"/>
                <w:szCs w:val="18"/>
              </w:rPr>
              <w:t> </w:t>
            </w:r>
          </w:p>
        </w:tc>
        <w:tc>
          <w:tcPr>
            <w:tcW w:w="1176" w:type="dxa"/>
            <w:tcBorders>
              <w:top w:val="single" w:sz="4" w:space="0" w:color="auto"/>
              <w:left w:val="nil"/>
              <w:bottom w:val="single" w:sz="4" w:space="0" w:color="auto"/>
              <w:right w:val="nil"/>
            </w:tcBorders>
            <w:shd w:val="clear" w:color="FFFFFF" w:fill="FFFFFF"/>
            <w:noWrap/>
            <w:vAlign w:val="bottom"/>
            <w:hideMark/>
          </w:tcPr>
          <w:p w14:paraId="127170B4" w14:textId="77777777" w:rsidR="00A43992" w:rsidRDefault="00A43992" w:rsidP="007211E3">
            <w:pPr>
              <w:jc w:val="right"/>
              <w:rPr>
                <w:rFonts w:ascii="Arial" w:hAnsi="Arial" w:cs="Arial"/>
                <w:sz w:val="18"/>
                <w:szCs w:val="18"/>
              </w:rPr>
            </w:pPr>
            <w:r>
              <w:rPr>
                <w:rFonts w:ascii="Arial" w:hAnsi="Arial" w:cs="Arial"/>
                <w:sz w:val="18"/>
                <w:szCs w:val="18"/>
              </w:rPr>
              <w:t>57,756</w:t>
            </w:r>
          </w:p>
        </w:tc>
      </w:tr>
      <w:tr w:rsidR="00A43992" w14:paraId="2DBC76D6" w14:textId="77777777" w:rsidTr="007211E3">
        <w:trPr>
          <w:trHeight w:val="255"/>
        </w:trPr>
        <w:tc>
          <w:tcPr>
            <w:tcW w:w="4316" w:type="dxa"/>
            <w:tcBorders>
              <w:top w:val="nil"/>
              <w:left w:val="nil"/>
              <w:bottom w:val="single" w:sz="4" w:space="0" w:color="auto"/>
              <w:right w:val="nil"/>
            </w:tcBorders>
            <w:shd w:val="clear" w:color="FFFFFF" w:fill="FFFFFF"/>
            <w:vAlign w:val="bottom"/>
            <w:hideMark/>
          </w:tcPr>
          <w:p w14:paraId="26A704E9" w14:textId="77777777" w:rsidR="00A43992" w:rsidRDefault="00A43992" w:rsidP="007211E3">
            <w:pPr>
              <w:rPr>
                <w:rFonts w:ascii="Arial" w:hAnsi="Arial" w:cs="Arial"/>
                <w:b/>
                <w:bCs/>
                <w:sz w:val="18"/>
                <w:szCs w:val="18"/>
              </w:rPr>
            </w:pPr>
            <w:r>
              <w:rPr>
                <w:rFonts w:ascii="Arial" w:hAnsi="Arial" w:cs="Arial"/>
                <w:b/>
                <w:bCs/>
                <w:sz w:val="18"/>
                <w:szCs w:val="18"/>
              </w:rPr>
              <w:t> </w:t>
            </w:r>
          </w:p>
        </w:tc>
        <w:tc>
          <w:tcPr>
            <w:tcW w:w="1176" w:type="dxa"/>
            <w:tcBorders>
              <w:top w:val="nil"/>
              <w:left w:val="nil"/>
              <w:bottom w:val="single" w:sz="4" w:space="0" w:color="auto"/>
              <w:right w:val="nil"/>
            </w:tcBorders>
            <w:shd w:val="clear" w:color="FFFFFF" w:fill="FFFFFF"/>
            <w:noWrap/>
            <w:vAlign w:val="bottom"/>
            <w:hideMark/>
          </w:tcPr>
          <w:p w14:paraId="7074175D" w14:textId="77777777" w:rsidR="00A43992" w:rsidRDefault="00A43992" w:rsidP="007211E3">
            <w:pPr>
              <w:jc w:val="right"/>
              <w:rPr>
                <w:rFonts w:ascii="Arial" w:hAnsi="Arial" w:cs="Arial"/>
                <w:b/>
                <w:bCs/>
                <w:sz w:val="18"/>
                <w:szCs w:val="18"/>
              </w:rPr>
            </w:pPr>
            <w:r>
              <w:rPr>
                <w:rFonts w:ascii="Arial" w:hAnsi="Arial" w:cs="Arial"/>
                <w:b/>
                <w:bCs/>
                <w:sz w:val="18"/>
                <w:szCs w:val="18"/>
              </w:rPr>
              <w:t> </w:t>
            </w:r>
          </w:p>
        </w:tc>
        <w:tc>
          <w:tcPr>
            <w:tcW w:w="1176" w:type="dxa"/>
            <w:tcBorders>
              <w:top w:val="nil"/>
              <w:left w:val="nil"/>
              <w:bottom w:val="single" w:sz="4" w:space="0" w:color="auto"/>
              <w:right w:val="nil"/>
            </w:tcBorders>
            <w:shd w:val="clear" w:color="FFFFFF" w:fill="FFFFFF"/>
            <w:noWrap/>
            <w:vAlign w:val="bottom"/>
            <w:hideMark/>
          </w:tcPr>
          <w:p w14:paraId="30B137E2" w14:textId="77777777" w:rsidR="00A43992" w:rsidRDefault="00A43992" w:rsidP="007211E3">
            <w:pPr>
              <w:jc w:val="right"/>
              <w:rPr>
                <w:rFonts w:ascii="Arial" w:hAnsi="Arial" w:cs="Arial"/>
                <w:sz w:val="18"/>
                <w:szCs w:val="18"/>
              </w:rPr>
            </w:pPr>
            <w:r>
              <w:rPr>
                <w:rFonts w:ascii="Arial" w:hAnsi="Arial" w:cs="Arial"/>
                <w:sz w:val="18"/>
                <w:szCs w:val="18"/>
              </w:rPr>
              <w:t> </w:t>
            </w:r>
          </w:p>
        </w:tc>
        <w:tc>
          <w:tcPr>
            <w:tcW w:w="272" w:type="dxa"/>
            <w:tcBorders>
              <w:top w:val="nil"/>
              <w:left w:val="nil"/>
              <w:bottom w:val="single" w:sz="4" w:space="0" w:color="auto"/>
              <w:right w:val="nil"/>
            </w:tcBorders>
            <w:shd w:val="clear" w:color="FFFFFF" w:fill="FFFFFF"/>
            <w:noWrap/>
            <w:vAlign w:val="bottom"/>
            <w:hideMark/>
          </w:tcPr>
          <w:p w14:paraId="19B99E90" w14:textId="77777777" w:rsidR="00A43992" w:rsidRDefault="00A43992" w:rsidP="007211E3">
            <w:pPr>
              <w:jc w:val="right"/>
              <w:rPr>
                <w:rFonts w:ascii="Arial" w:hAnsi="Arial" w:cs="Arial"/>
                <w:sz w:val="18"/>
                <w:szCs w:val="18"/>
              </w:rPr>
            </w:pPr>
            <w:r>
              <w:rPr>
                <w:rFonts w:ascii="Arial" w:hAnsi="Arial" w:cs="Arial"/>
                <w:sz w:val="18"/>
                <w:szCs w:val="18"/>
              </w:rPr>
              <w:t> </w:t>
            </w:r>
          </w:p>
        </w:tc>
        <w:tc>
          <w:tcPr>
            <w:tcW w:w="1176" w:type="dxa"/>
            <w:tcBorders>
              <w:top w:val="nil"/>
              <w:left w:val="nil"/>
              <w:bottom w:val="single" w:sz="4" w:space="0" w:color="auto"/>
              <w:right w:val="nil"/>
            </w:tcBorders>
            <w:shd w:val="clear" w:color="FFFFFF" w:fill="FFFFFF"/>
            <w:noWrap/>
            <w:vAlign w:val="bottom"/>
            <w:hideMark/>
          </w:tcPr>
          <w:p w14:paraId="0104BC67" w14:textId="77777777" w:rsidR="00A43992" w:rsidRDefault="00A43992" w:rsidP="007211E3">
            <w:pPr>
              <w:jc w:val="right"/>
              <w:rPr>
                <w:rFonts w:ascii="Arial" w:hAnsi="Arial" w:cs="Arial"/>
                <w:b/>
                <w:bCs/>
                <w:sz w:val="18"/>
                <w:szCs w:val="18"/>
              </w:rPr>
            </w:pPr>
            <w:r>
              <w:rPr>
                <w:rFonts w:ascii="Arial" w:hAnsi="Arial" w:cs="Arial"/>
                <w:b/>
                <w:bCs/>
                <w:sz w:val="18"/>
                <w:szCs w:val="18"/>
              </w:rPr>
              <w:t> </w:t>
            </w:r>
          </w:p>
        </w:tc>
      </w:tr>
      <w:tr w:rsidR="00A43992" w14:paraId="0F382AFF" w14:textId="77777777" w:rsidTr="007211E3">
        <w:trPr>
          <w:trHeight w:val="255"/>
        </w:trPr>
        <w:tc>
          <w:tcPr>
            <w:tcW w:w="4316" w:type="dxa"/>
            <w:tcBorders>
              <w:top w:val="nil"/>
              <w:left w:val="nil"/>
              <w:bottom w:val="single" w:sz="4" w:space="0" w:color="auto"/>
              <w:right w:val="nil"/>
            </w:tcBorders>
            <w:shd w:val="clear" w:color="FFFFFF" w:fill="FFFFFF"/>
            <w:vAlign w:val="bottom"/>
            <w:hideMark/>
          </w:tcPr>
          <w:p w14:paraId="3227CB28" w14:textId="77777777" w:rsidR="00A43992" w:rsidRDefault="00A43992" w:rsidP="007211E3">
            <w:pPr>
              <w:rPr>
                <w:rFonts w:ascii="Arial" w:hAnsi="Arial" w:cs="Arial"/>
                <w:b/>
                <w:bCs/>
                <w:sz w:val="18"/>
                <w:szCs w:val="18"/>
              </w:rPr>
            </w:pPr>
            <w:r>
              <w:rPr>
                <w:rFonts w:ascii="Arial" w:hAnsi="Arial" w:cs="Arial"/>
                <w:b/>
                <w:bCs/>
                <w:sz w:val="18"/>
                <w:szCs w:val="18"/>
              </w:rPr>
              <w:t>Closing balance</w:t>
            </w:r>
          </w:p>
        </w:tc>
        <w:tc>
          <w:tcPr>
            <w:tcW w:w="1176" w:type="dxa"/>
            <w:tcBorders>
              <w:top w:val="nil"/>
              <w:left w:val="nil"/>
              <w:bottom w:val="single" w:sz="4" w:space="0" w:color="auto"/>
              <w:right w:val="nil"/>
            </w:tcBorders>
            <w:shd w:val="clear" w:color="FFFFFF" w:fill="FFFFFF"/>
            <w:noWrap/>
            <w:vAlign w:val="bottom"/>
            <w:hideMark/>
          </w:tcPr>
          <w:p w14:paraId="3BA99396" w14:textId="77777777" w:rsidR="00A43992" w:rsidRDefault="00A43992" w:rsidP="007211E3">
            <w:pPr>
              <w:jc w:val="right"/>
              <w:rPr>
                <w:rFonts w:ascii="Arial" w:hAnsi="Arial" w:cs="Arial"/>
                <w:b/>
                <w:bCs/>
                <w:sz w:val="18"/>
                <w:szCs w:val="18"/>
              </w:rPr>
            </w:pPr>
            <w:r>
              <w:rPr>
                <w:rFonts w:ascii="Arial" w:hAnsi="Arial" w:cs="Arial"/>
                <w:b/>
                <w:bCs/>
                <w:sz w:val="18"/>
                <w:szCs w:val="18"/>
              </w:rPr>
              <w:t>89,536</w:t>
            </w:r>
          </w:p>
        </w:tc>
        <w:tc>
          <w:tcPr>
            <w:tcW w:w="1176" w:type="dxa"/>
            <w:tcBorders>
              <w:top w:val="nil"/>
              <w:left w:val="nil"/>
              <w:bottom w:val="single" w:sz="4" w:space="0" w:color="auto"/>
              <w:right w:val="nil"/>
            </w:tcBorders>
            <w:shd w:val="clear" w:color="FFFFFF" w:fill="FFFFFF"/>
            <w:noWrap/>
            <w:vAlign w:val="bottom"/>
            <w:hideMark/>
          </w:tcPr>
          <w:p w14:paraId="738FBFB6" w14:textId="77777777" w:rsidR="00A43992" w:rsidRDefault="00A43992" w:rsidP="007211E3">
            <w:pPr>
              <w:jc w:val="right"/>
              <w:rPr>
                <w:rFonts w:ascii="Arial" w:hAnsi="Arial" w:cs="Arial"/>
                <w:sz w:val="18"/>
                <w:szCs w:val="18"/>
              </w:rPr>
            </w:pPr>
            <w:r>
              <w:rPr>
                <w:rFonts w:ascii="Arial" w:hAnsi="Arial" w:cs="Arial"/>
                <w:sz w:val="18"/>
                <w:szCs w:val="18"/>
              </w:rPr>
              <w:t>31,780</w:t>
            </w:r>
          </w:p>
        </w:tc>
        <w:tc>
          <w:tcPr>
            <w:tcW w:w="272" w:type="dxa"/>
            <w:tcBorders>
              <w:top w:val="nil"/>
              <w:left w:val="nil"/>
              <w:bottom w:val="single" w:sz="4" w:space="0" w:color="auto"/>
              <w:right w:val="nil"/>
            </w:tcBorders>
            <w:shd w:val="clear" w:color="FFFFFF" w:fill="FFFFFF"/>
            <w:noWrap/>
            <w:vAlign w:val="bottom"/>
            <w:hideMark/>
          </w:tcPr>
          <w:p w14:paraId="6CBAA5F2" w14:textId="77777777" w:rsidR="00A43992" w:rsidRDefault="00A43992" w:rsidP="007211E3">
            <w:pPr>
              <w:jc w:val="right"/>
              <w:rPr>
                <w:rFonts w:ascii="Arial" w:hAnsi="Arial" w:cs="Arial"/>
                <w:sz w:val="18"/>
                <w:szCs w:val="18"/>
              </w:rPr>
            </w:pPr>
            <w:r>
              <w:rPr>
                <w:rFonts w:ascii="Arial" w:hAnsi="Arial" w:cs="Arial"/>
                <w:sz w:val="18"/>
                <w:szCs w:val="18"/>
              </w:rPr>
              <w:t> </w:t>
            </w:r>
          </w:p>
        </w:tc>
        <w:tc>
          <w:tcPr>
            <w:tcW w:w="1176" w:type="dxa"/>
            <w:tcBorders>
              <w:top w:val="nil"/>
              <w:left w:val="nil"/>
              <w:bottom w:val="single" w:sz="4" w:space="0" w:color="auto"/>
              <w:right w:val="nil"/>
            </w:tcBorders>
            <w:shd w:val="clear" w:color="FFFFFF" w:fill="FFFFFF"/>
            <w:noWrap/>
            <w:vAlign w:val="bottom"/>
            <w:hideMark/>
          </w:tcPr>
          <w:p w14:paraId="4F7D266E" w14:textId="77777777" w:rsidR="00A43992" w:rsidRDefault="00A43992" w:rsidP="007211E3">
            <w:pPr>
              <w:jc w:val="right"/>
              <w:rPr>
                <w:rFonts w:ascii="Arial" w:hAnsi="Arial" w:cs="Arial"/>
                <w:sz w:val="18"/>
                <w:szCs w:val="18"/>
              </w:rPr>
            </w:pPr>
            <w:r>
              <w:rPr>
                <w:rFonts w:ascii="Arial" w:hAnsi="Arial" w:cs="Arial"/>
                <w:sz w:val="18"/>
                <w:szCs w:val="18"/>
              </w:rPr>
              <w:t>89,536</w:t>
            </w:r>
          </w:p>
        </w:tc>
      </w:tr>
      <w:tr w:rsidR="00A43992" w14:paraId="65FA764B" w14:textId="77777777" w:rsidTr="007211E3">
        <w:trPr>
          <w:trHeight w:val="255"/>
        </w:trPr>
        <w:tc>
          <w:tcPr>
            <w:tcW w:w="4316" w:type="dxa"/>
            <w:tcBorders>
              <w:top w:val="nil"/>
              <w:left w:val="nil"/>
              <w:bottom w:val="nil"/>
              <w:right w:val="nil"/>
            </w:tcBorders>
            <w:shd w:val="clear" w:color="auto" w:fill="auto"/>
            <w:noWrap/>
            <w:vAlign w:val="bottom"/>
            <w:hideMark/>
          </w:tcPr>
          <w:p w14:paraId="78D634BA" w14:textId="77777777" w:rsidR="00A43992" w:rsidRDefault="00A43992" w:rsidP="007211E3">
            <w:pPr>
              <w:jc w:val="right"/>
              <w:rPr>
                <w:rFonts w:ascii="Arial" w:hAnsi="Arial" w:cs="Arial"/>
                <w:sz w:val="18"/>
                <w:szCs w:val="18"/>
              </w:rPr>
            </w:pPr>
          </w:p>
        </w:tc>
        <w:tc>
          <w:tcPr>
            <w:tcW w:w="1176" w:type="dxa"/>
            <w:tcBorders>
              <w:top w:val="nil"/>
              <w:left w:val="nil"/>
              <w:bottom w:val="nil"/>
              <w:right w:val="nil"/>
            </w:tcBorders>
            <w:shd w:val="clear" w:color="auto" w:fill="auto"/>
            <w:noWrap/>
            <w:vAlign w:val="bottom"/>
            <w:hideMark/>
          </w:tcPr>
          <w:p w14:paraId="4CB1B756" w14:textId="77777777" w:rsidR="00A43992" w:rsidRDefault="00A43992" w:rsidP="007211E3"/>
        </w:tc>
        <w:tc>
          <w:tcPr>
            <w:tcW w:w="1176" w:type="dxa"/>
            <w:tcBorders>
              <w:top w:val="nil"/>
              <w:left w:val="nil"/>
              <w:bottom w:val="nil"/>
              <w:right w:val="nil"/>
            </w:tcBorders>
            <w:shd w:val="clear" w:color="auto" w:fill="auto"/>
            <w:noWrap/>
            <w:vAlign w:val="bottom"/>
            <w:hideMark/>
          </w:tcPr>
          <w:p w14:paraId="58D32A25" w14:textId="77777777" w:rsidR="00A43992" w:rsidRDefault="00A43992" w:rsidP="007211E3"/>
        </w:tc>
        <w:tc>
          <w:tcPr>
            <w:tcW w:w="272" w:type="dxa"/>
            <w:tcBorders>
              <w:top w:val="nil"/>
              <w:left w:val="nil"/>
              <w:bottom w:val="nil"/>
              <w:right w:val="nil"/>
            </w:tcBorders>
            <w:shd w:val="clear" w:color="auto" w:fill="auto"/>
            <w:noWrap/>
            <w:vAlign w:val="bottom"/>
            <w:hideMark/>
          </w:tcPr>
          <w:p w14:paraId="3804A75B" w14:textId="77777777" w:rsidR="00A43992" w:rsidRDefault="00A43992" w:rsidP="007211E3"/>
        </w:tc>
        <w:tc>
          <w:tcPr>
            <w:tcW w:w="1176" w:type="dxa"/>
            <w:tcBorders>
              <w:top w:val="nil"/>
              <w:left w:val="nil"/>
              <w:bottom w:val="nil"/>
              <w:right w:val="nil"/>
            </w:tcBorders>
            <w:shd w:val="clear" w:color="auto" w:fill="auto"/>
            <w:noWrap/>
            <w:vAlign w:val="bottom"/>
            <w:hideMark/>
          </w:tcPr>
          <w:p w14:paraId="259526B3" w14:textId="77777777" w:rsidR="00A43992" w:rsidRDefault="00A43992" w:rsidP="007211E3"/>
        </w:tc>
      </w:tr>
      <w:tr w:rsidR="00A43992" w14:paraId="0E819E82" w14:textId="77777777" w:rsidTr="007211E3">
        <w:trPr>
          <w:trHeight w:val="255"/>
        </w:trPr>
        <w:tc>
          <w:tcPr>
            <w:tcW w:w="4316" w:type="dxa"/>
            <w:tcBorders>
              <w:top w:val="nil"/>
              <w:left w:val="nil"/>
              <w:bottom w:val="nil"/>
              <w:right w:val="nil"/>
            </w:tcBorders>
            <w:shd w:val="clear" w:color="FFFFFF" w:fill="FFFFFF"/>
            <w:vAlign w:val="bottom"/>
            <w:hideMark/>
          </w:tcPr>
          <w:p w14:paraId="54991035" w14:textId="77777777" w:rsidR="00A43992" w:rsidRDefault="00A43992" w:rsidP="007211E3">
            <w:pPr>
              <w:rPr>
                <w:rFonts w:ascii="Arial" w:hAnsi="Arial" w:cs="Arial"/>
                <w:b/>
                <w:bCs/>
                <w:sz w:val="18"/>
                <w:szCs w:val="18"/>
              </w:rPr>
            </w:pPr>
            <w:r>
              <w:rPr>
                <w:rFonts w:ascii="Arial" w:hAnsi="Arial" w:cs="Arial"/>
                <w:b/>
                <w:bCs/>
                <w:sz w:val="18"/>
                <w:szCs w:val="18"/>
              </w:rPr>
              <w:t>RETAINED SURPLUS</w:t>
            </w:r>
          </w:p>
        </w:tc>
        <w:tc>
          <w:tcPr>
            <w:tcW w:w="1176" w:type="dxa"/>
            <w:tcBorders>
              <w:top w:val="nil"/>
              <w:left w:val="nil"/>
              <w:bottom w:val="nil"/>
              <w:right w:val="nil"/>
            </w:tcBorders>
            <w:shd w:val="clear" w:color="auto" w:fill="auto"/>
            <w:noWrap/>
            <w:vAlign w:val="bottom"/>
            <w:hideMark/>
          </w:tcPr>
          <w:p w14:paraId="0F0FAFDA" w14:textId="77777777" w:rsidR="00A43992" w:rsidRDefault="00A43992" w:rsidP="007211E3">
            <w:pPr>
              <w:rPr>
                <w:rFonts w:ascii="Arial" w:hAnsi="Arial" w:cs="Arial"/>
                <w:b/>
                <w:bCs/>
                <w:sz w:val="18"/>
                <w:szCs w:val="18"/>
              </w:rPr>
            </w:pPr>
          </w:p>
        </w:tc>
        <w:tc>
          <w:tcPr>
            <w:tcW w:w="1176" w:type="dxa"/>
            <w:tcBorders>
              <w:top w:val="nil"/>
              <w:left w:val="nil"/>
              <w:bottom w:val="nil"/>
              <w:right w:val="nil"/>
            </w:tcBorders>
            <w:shd w:val="clear" w:color="auto" w:fill="auto"/>
            <w:noWrap/>
            <w:vAlign w:val="bottom"/>
            <w:hideMark/>
          </w:tcPr>
          <w:p w14:paraId="67D9F591" w14:textId="77777777" w:rsidR="00A43992" w:rsidRDefault="00A43992" w:rsidP="007211E3"/>
        </w:tc>
        <w:tc>
          <w:tcPr>
            <w:tcW w:w="272" w:type="dxa"/>
            <w:tcBorders>
              <w:top w:val="nil"/>
              <w:left w:val="nil"/>
              <w:bottom w:val="nil"/>
              <w:right w:val="nil"/>
            </w:tcBorders>
            <w:shd w:val="clear" w:color="auto" w:fill="auto"/>
            <w:noWrap/>
            <w:vAlign w:val="bottom"/>
            <w:hideMark/>
          </w:tcPr>
          <w:p w14:paraId="2FAE9E6F" w14:textId="77777777" w:rsidR="00A43992" w:rsidRDefault="00A43992" w:rsidP="007211E3"/>
        </w:tc>
        <w:tc>
          <w:tcPr>
            <w:tcW w:w="1176" w:type="dxa"/>
            <w:tcBorders>
              <w:top w:val="nil"/>
              <w:left w:val="nil"/>
              <w:bottom w:val="nil"/>
              <w:right w:val="nil"/>
            </w:tcBorders>
            <w:shd w:val="clear" w:color="auto" w:fill="auto"/>
            <w:noWrap/>
            <w:vAlign w:val="bottom"/>
            <w:hideMark/>
          </w:tcPr>
          <w:p w14:paraId="5900CB3C" w14:textId="77777777" w:rsidR="00A43992" w:rsidRDefault="00A43992" w:rsidP="007211E3"/>
        </w:tc>
      </w:tr>
      <w:tr w:rsidR="00A43992" w14:paraId="03111563" w14:textId="77777777" w:rsidTr="007211E3">
        <w:trPr>
          <w:trHeight w:val="255"/>
        </w:trPr>
        <w:tc>
          <w:tcPr>
            <w:tcW w:w="4316" w:type="dxa"/>
            <w:tcBorders>
              <w:top w:val="nil"/>
              <w:left w:val="nil"/>
              <w:bottom w:val="nil"/>
              <w:right w:val="nil"/>
            </w:tcBorders>
            <w:shd w:val="clear" w:color="FFFFFF" w:fill="FFFFFF"/>
            <w:vAlign w:val="bottom"/>
            <w:hideMark/>
          </w:tcPr>
          <w:p w14:paraId="1DAA8F4F" w14:textId="77777777" w:rsidR="00A43992" w:rsidRDefault="00A43992" w:rsidP="007211E3">
            <w:pPr>
              <w:rPr>
                <w:rFonts w:ascii="Arial" w:hAnsi="Arial" w:cs="Arial"/>
                <w:b/>
                <w:bCs/>
                <w:sz w:val="18"/>
                <w:szCs w:val="18"/>
              </w:rPr>
            </w:pPr>
            <w:r>
              <w:rPr>
                <w:rFonts w:ascii="Arial" w:hAnsi="Arial" w:cs="Arial"/>
                <w:b/>
                <w:bCs/>
                <w:sz w:val="18"/>
                <w:szCs w:val="18"/>
              </w:rPr>
              <w:t>Opening balance</w:t>
            </w:r>
          </w:p>
        </w:tc>
        <w:tc>
          <w:tcPr>
            <w:tcW w:w="1176" w:type="dxa"/>
            <w:tcBorders>
              <w:top w:val="nil"/>
              <w:left w:val="nil"/>
              <w:bottom w:val="nil"/>
              <w:right w:val="nil"/>
            </w:tcBorders>
            <w:shd w:val="clear" w:color="FFFFFF" w:fill="FFFFFF"/>
            <w:noWrap/>
            <w:vAlign w:val="bottom"/>
            <w:hideMark/>
          </w:tcPr>
          <w:p w14:paraId="33489860" w14:textId="77777777" w:rsidR="00A43992" w:rsidRDefault="00A43992" w:rsidP="007211E3">
            <w:pPr>
              <w:jc w:val="right"/>
              <w:rPr>
                <w:rFonts w:ascii="Arial" w:hAnsi="Arial" w:cs="Arial"/>
                <w:b/>
                <w:bCs/>
                <w:sz w:val="18"/>
                <w:szCs w:val="18"/>
              </w:rPr>
            </w:pPr>
            <w:r>
              <w:rPr>
                <w:rFonts w:ascii="Arial" w:hAnsi="Arial" w:cs="Arial"/>
                <w:b/>
                <w:bCs/>
                <w:sz w:val="18"/>
                <w:szCs w:val="18"/>
              </w:rPr>
              <w:t>18,387</w:t>
            </w:r>
          </w:p>
        </w:tc>
        <w:tc>
          <w:tcPr>
            <w:tcW w:w="1176" w:type="dxa"/>
            <w:tcBorders>
              <w:top w:val="nil"/>
              <w:left w:val="nil"/>
              <w:bottom w:val="nil"/>
              <w:right w:val="nil"/>
            </w:tcBorders>
            <w:shd w:val="clear" w:color="FFFFFF" w:fill="FFFFFF"/>
            <w:noWrap/>
            <w:vAlign w:val="bottom"/>
            <w:hideMark/>
          </w:tcPr>
          <w:p w14:paraId="030A6A14" w14:textId="77777777" w:rsidR="00A43992" w:rsidRDefault="00A43992" w:rsidP="007211E3">
            <w:pPr>
              <w:jc w:val="right"/>
              <w:rPr>
                <w:rFonts w:ascii="Arial" w:hAnsi="Arial" w:cs="Arial"/>
                <w:sz w:val="18"/>
                <w:szCs w:val="18"/>
              </w:rPr>
            </w:pPr>
            <w:r>
              <w:rPr>
                <w:rFonts w:ascii="Arial" w:hAnsi="Arial" w:cs="Arial"/>
                <w:sz w:val="18"/>
                <w:szCs w:val="18"/>
              </w:rPr>
              <w:t>17,978</w:t>
            </w:r>
          </w:p>
        </w:tc>
        <w:tc>
          <w:tcPr>
            <w:tcW w:w="272" w:type="dxa"/>
            <w:tcBorders>
              <w:top w:val="nil"/>
              <w:left w:val="nil"/>
              <w:bottom w:val="nil"/>
              <w:right w:val="nil"/>
            </w:tcBorders>
            <w:shd w:val="clear" w:color="FFFFFF" w:fill="FFFFFF"/>
            <w:noWrap/>
            <w:vAlign w:val="bottom"/>
            <w:hideMark/>
          </w:tcPr>
          <w:p w14:paraId="41943484" w14:textId="77777777" w:rsidR="00A43992" w:rsidRDefault="00A43992" w:rsidP="007211E3">
            <w:pPr>
              <w:jc w:val="right"/>
              <w:rPr>
                <w:rFonts w:ascii="Arial" w:hAnsi="Arial" w:cs="Arial"/>
                <w:sz w:val="18"/>
                <w:szCs w:val="18"/>
              </w:rPr>
            </w:pPr>
            <w:r>
              <w:rPr>
                <w:rFonts w:ascii="Arial" w:hAnsi="Arial" w:cs="Arial"/>
                <w:sz w:val="18"/>
                <w:szCs w:val="18"/>
              </w:rPr>
              <w:t> </w:t>
            </w:r>
          </w:p>
        </w:tc>
        <w:tc>
          <w:tcPr>
            <w:tcW w:w="1176" w:type="dxa"/>
            <w:tcBorders>
              <w:top w:val="nil"/>
              <w:left w:val="nil"/>
              <w:bottom w:val="nil"/>
              <w:right w:val="nil"/>
            </w:tcBorders>
            <w:shd w:val="clear" w:color="FFFFFF" w:fill="FFFFFF"/>
            <w:noWrap/>
            <w:vAlign w:val="bottom"/>
            <w:hideMark/>
          </w:tcPr>
          <w:p w14:paraId="6DAF8F15" w14:textId="77777777" w:rsidR="00A43992" w:rsidRDefault="00A43992" w:rsidP="007211E3">
            <w:pPr>
              <w:jc w:val="right"/>
              <w:rPr>
                <w:rFonts w:ascii="Arial" w:hAnsi="Arial" w:cs="Arial"/>
                <w:sz w:val="18"/>
                <w:szCs w:val="18"/>
              </w:rPr>
            </w:pPr>
            <w:r>
              <w:rPr>
                <w:rFonts w:ascii="Arial" w:hAnsi="Arial" w:cs="Arial"/>
                <w:sz w:val="18"/>
                <w:szCs w:val="18"/>
              </w:rPr>
              <w:t>17,978</w:t>
            </w:r>
          </w:p>
        </w:tc>
      </w:tr>
      <w:tr w:rsidR="00A43992" w14:paraId="1E846F19" w14:textId="77777777" w:rsidTr="007211E3">
        <w:trPr>
          <w:trHeight w:val="255"/>
        </w:trPr>
        <w:tc>
          <w:tcPr>
            <w:tcW w:w="4316" w:type="dxa"/>
            <w:tcBorders>
              <w:top w:val="nil"/>
              <w:left w:val="nil"/>
              <w:bottom w:val="nil"/>
              <w:right w:val="nil"/>
            </w:tcBorders>
            <w:shd w:val="clear" w:color="FFFFFF" w:fill="FFFFFF"/>
            <w:vAlign w:val="bottom"/>
            <w:hideMark/>
          </w:tcPr>
          <w:p w14:paraId="416E3B13" w14:textId="77777777" w:rsidR="00A43992" w:rsidRDefault="00A43992" w:rsidP="007211E3">
            <w:pPr>
              <w:rPr>
                <w:rFonts w:ascii="Arial" w:hAnsi="Arial" w:cs="Arial"/>
                <w:b/>
                <w:bCs/>
                <w:sz w:val="18"/>
                <w:szCs w:val="18"/>
              </w:rPr>
            </w:pPr>
            <w:r>
              <w:rPr>
                <w:rFonts w:ascii="Arial" w:hAnsi="Arial" w:cs="Arial"/>
                <w:b/>
                <w:bCs/>
                <w:sz w:val="18"/>
                <w:szCs w:val="18"/>
              </w:rPr>
              <w:t>Comprehensive income</w:t>
            </w:r>
          </w:p>
        </w:tc>
        <w:tc>
          <w:tcPr>
            <w:tcW w:w="1176" w:type="dxa"/>
            <w:tcBorders>
              <w:top w:val="nil"/>
              <w:left w:val="nil"/>
              <w:bottom w:val="nil"/>
              <w:right w:val="nil"/>
            </w:tcBorders>
            <w:shd w:val="clear" w:color="FFFFFF" w:fill="FFFFFF"/>
            <w:noWrap/>
            <w:vAlign w:val="bottom"/>
            <w:hideMark/>
          </w:tcPr>
          <w:p w14:paraId="3CDD2604" w14:textId="77777777" w:rsidR="00A43992" w:rsidRDefault="00A43992" w:rsidP="007211E3">
            <w:pPr>
              <w:rPr>
                <w:rFonts w:ascii="Arial" w:hAnsi="Arial" w:cs="Arial"/>
                <w:b/>
                <w:bCs/>
                <w:sz w:val="18"/>
                <w:szCs w:val="18"/>
              </w:rPr>
            </w:pPr>
            <w:r>
              <w:rPr>
                <w:rFonts w:ascii="Arial" w:hAnsi="Arial" w:cs="Arial"/>
                <w:b/>
                <w:bCs/>
                <w:sz w:val="18"/>
                <w:szCs w:val="18"/>
              </w:rPr>
              <w:t> </w:t>
            </w:r>
          </w:p>
        </w:tc>
        <w:tc>
          <w:tcPr>
            <w:tcW w:w="1176" w:type="dxa"/>
            <w:tcBorders>
              <w:top w:val="nil"/>
              <w:left w:val="nil"/>
              <w:bottom w:val="nil"/>
              <w:right w:val="nil"/>
            </w:tcBorders>
            <w:shd w:val="clear" w:color="FFFFFF" w:fill="FFFFFF"/>
            <w:noWrap/>
            <w:vAlign w:val="bottom"/>
            <w:hideMark/>
          </w:tcPr>
          <w:p w14:paraId="0B083755" w14:textId="77777777" w:rsidR="00A43992" w:rsidRDefault="00A43992" w:rsidP="007211E3">
            <w:pPr>
              <w:rPr>
                <w:rFonts w:ascii="Arial" w:hAnsi="Arial" w:cs="Arial"/>
              </w:rPr>
            </w:pPr>
            <w:r>
              <w:rPr>
                <w:rFonts w:ascii="Arial" w:hAnsi="Arial" w:cs="Arial"/>
              </w:rPr>
              <w:t> </w:t>
            </w:r>
          </w:p>
        </w:tc>
        <w:tc>
          <w:tcPr>
            <w:tcW w:w="272" w:type="dxa"/>
            <w:tcBorders>
              <w:top w:val="nil"/>
              <w:left w:val="nil"/>
              <w:bottom w:val="nil"/>
              <w:right w:val="nil"/>
            </w:tcBorders>
            <w:shd w:val="clear" w:color="FFFFFF" w:fill="FFFFFF"/>
            <w:noWrap/>
            <w:vAlign w:val="bottom"/>
            <w:hideMark/>
          </w:tcPr>
          <w:p w14:paraId="553F5D1E" w14:textId="77777777" w:rsidR="00A43992" w:rsidRDefault="00A43992" w:rsidP="007211E3">
            <w:pPr>
              <w:rPr>
                <w:rFonts w:ascii="Arial" w:hAnsi="Arial" w:cs="Arial"/>
              </w:rPr>
            </w:pPr>
            <w:r>
              <w:rPr>
                <w:rFonts w:ascii="Arial" w:hAnsi="Arial" w:cs="Arial"/>
              </w:rPr>
              <w:t> </w:t>
            </w:r>
          </w:p>
        </w:tc>
        <w:tc>
          <w:tcPr>
            <w:tcW w:w="1176" w:type="dxa"/>
            <w:tcBorders>
              <w:top w:val="nil"/>
              <w:left w:val="nil"/>
              <w:bottom w:val="nil"/>
              <w:right w:val="nil"/>
            </w:tcBorders>
            <w:shd w:val="clear" w:color="FFFFFF" w:fill="FFFFFF"/>
            <w:noWrap/>
            <w:vAlign w:val="bottom"/>
            <w:hideMark/>
          </w:tcPr>
          <w:p w14:paraId="7AE42C4D" w14:textId="77777777" w:rsidR="00A43992" w:rsidRDefault="00A43992" w:rsidP="007211E3">
            <w:pPr>
              <w:rPr>
                <w:rFonts w:ascii="Arial" w:hAnsi="Arial" w:cs="Arial"/>
                <w:b/>
                <w:bCs/>
                <w:sz w:val="18"/>
                <w:szCs w:val="18"/>
              </w:rPr>
            </w:pPr>
            <w:r>
              <w:rPr>
                <w:rFonts w:ascii="Arial" w:hAnsi="Arial" w:cs="Arial"/>
                <w:b/>
                <w:bCs/>
                <w:sz w:val="18"/>
                <w:szCs w:val="18"/>
              </w:rPr>
              <w:t> </w:t>
            </w:r>
          </w:p>
        </w:tc>
      </w:tr>
      <w:tr w:rsidR="00A43992" w14:paraId="06DF2FDE" w14:textId="77777777" w:rsidTr="007211E3">
        <w:trPr>
          <w:trHeight w:val="255"/>
        </w:trPr>
        <w:tc>
          <w:tcPr>
            <w:tcW w:w="4316" w:type="dxa"/>
            <w:tcBorders>
              <w:top w:val="nil"/>
              <w:left w:val="nil"/>
              <w:bottom w:val="nil"/>
              <w:right w:val="nil"/>
            </w:tcBorders>
            <w:shd w:val="clear" w:color="FFFFFF" w:fill="FFFFFF"/>
            <w:vAlign w:val="bottom"/>
            <w:hideMark/>
          </w:tcPr>
          <w:p w14:paraId="59A6E5ED" w14:textId="77777777" w:rsidR="00A43992" w:rsidRDefault="00A43992" w:rsidP="007211E3">
            <w:pPr>
              <w:rPr>
                <w:rFonts w:ascii="Arial" w:hAnsi="Arial" w:cs="Arial"/>
                <w:sz w:val="18"/>
                <w:szCs w:val="18"/>
              </w:rPr>
            </w:pPr>
            <w:r>
              <w:rPr>
                <w:rFonts w:ascii="Arial" w:hAnsi="Arial" w:cs="Arial"/>
                <w:sz w:val="18"/>
                <w:szCs w:val="18"/>
              </w:rPr>
              <w:t>Surplus/(Deficit) for the period</w:t>
            </w:r>
          </w:p>
        </w:tc>
        <w:tc>
          <w:tcPr>
            <w:tcW w:w="1176" w:type="dxa"/>
            <w:tcBorders>
              <w:top w:val="nil"/>
              <w:left w:val="nil"/>
              <w:bottom w:val="nil"/>
              <w:right w:val="nil"/>
            </w:tcBorders>
            <w:shd w:val="clear" w:color="FFFFFF" w:fill="FFFFFF"/>
            <w:noWrap/>
            <w:vAlign w:val="bottom"/>
            <w:hideMark/>
          </w:tcPr>
          <w:p w14:paraId="72CF98C0" w14:textId="77777777" w:rsidR="00A43992" w:rsidRPr="00267088" w:rsidRDefault="00A43992" w:rsidP="007211E3">
            <w:pPr>
              <w:jc w:val="right"/>
              <w:rPr>
                <w:rFonts w:ascii="Arial" w:hAnsi="Arial" w:cs="Arial"/>
                <w:b/>
                <w:bCs/>
                <w:sz w:val="18"/>
                <w:szCs w:val="18"/>
              </w:rPr>
            </w:pPr>
            <w:r w:rsidRPr="00267088">
              <w:rPr>
                <w:rFonts w:ascii="Arial" w:hAnsi="Arial" w:cs="Arial"/>
                <w:b/>
                <w:bCs/>
                <w:sz w:val="18"/>
                <w:szCs w:val="18"/>
              </w:rPr>
              <w:t>15,782</w:t>
            </w:r>
          </w:p>
        </w:tc>
        <w:tc>
          <w:tcPr>
            <w:tcW w:w="1176" w:type="dxa"/>
            <w:tcBorders>
              <w:top w:val="nil"/>
              <w:left w:val="nil"/>
              <w:bottom w:val="nil"/>
              <w:right w:val="nil"/>
            </w:tcBorders>
            <w:shd w:val="clear" w:color="FFFFFF" w:fill="FFFFFF"/>
            <w:noWrap/>
            <w:vAlign w:val="bottom"/>
            <w:hideMark/>
          </w:tcPr>
          <w:p w14:paraId="2123EDEB" w14:textId="77777777" w:rsidR="00A43992" w:rsidRDefault="00A43992" w:rsidP="007211E3">
            <w:pPr>
              <w:jc w:val="right"/>
              <w:rPr>
                <w:rFonts w:ascii="Arial" w:hAnsi="Arial" w:cs="Arial"/>
                <w:sz w:val="18"/>
                <w:szCs w:val="18"/>
              </w:rPr>
            </w:pPr>
            <w:r>
              <w:rPr>
                <w:rFonts w:ascii="Arial" w:hAnsi="Arial" w:cs="Arial"/>
                <w:sz w:val="18"/>
                <w:szCs w:val="18"/>
              </w:rPr>
              <w:t xml:space="preserve">409 </w:t>
            </w:r>
          </w:p>
        </w:tc>
        <w:tc>
          <w:tcPr>
            <w:tcW w:w="272" w:type="dxa"/>
            <w:tcBorders>
              <w:top w:val="nil"/>
              <w:left w:val="nil"/>
              <w:bottom w:val="nil"/>
              <w:right w:val="nil"/>
            </w:tcBorders>
            <w:shd w:val="clear" w:color="FFFFFF" w:fill="FFFFFF"/>
            <w:noWrap/>
            <w:vAlign w:val="bottom"/>
            <w:hideMark/>
          </w:tcPr>
          <w:p w14:paraId="7A6B270F" w14:textId="77777777" w:rsidR="00A43992" w:rsidRDefault="00A43992" w:rsidP="007211E3">
            <w:pPr>
              <w:jc w:val="right"/>
              <w:rPr>
                <w:rFonts w:ascii="Arial" w:hAnsi="Arial" w:cs="Arial"/>
                <w:sz w:val="18"/>
                <w:szCs w:val="18"/>
              </w:rPr>
            </w:pPr>
            <w:r>
              <w:rPr>
                <w:rFonts w:ascii="Arial" w:hAnsi="Arial" w:cs="Arial"/>
                <w:sz w:val="18"/>
                <w:szCs w:val="18"/>
              </w:rPr>
              <w:t> </w:t>
            </w:r>
          </w:p>
        </w:tc>
        <w:tc>
          <w:tcPr>
            <w:tcW w:w="1176" w:type="dxa"/>
            <w:tcBorders>
              <w:top w:val="nil"/>
              <w:left w:val="nil"/>
              <w:bottom w:val="nil"/>
              <w:right w:val="nil"/>
            </w:tcBorders>
            <w:shd w:val="clear" w:color="FFFFFF" w:fill="FFFFFF"/>
            <w:noWrap/>
            <w:vAlign w:val="bottom"/>
            <w:hideMark/>
          </w:tcPr>
          <w:p w14:paraId="7BC670B8" w14:textId="77777777" w:rsidR="00A43992" w:rsidRDefault="00A43992" w:rsidP="007211E3">
            <w:pPr>
              <w:jc w:val="right"/>
              <w:rPr>
                <w:rFonts w:ascii="Arial" w:hAnsi="Arial" w:cs="Arial"/>
                <w:sz w:val="18"/>
                <w:szCs w:val="18"/>
              </w:rPr>
            </w:pPr>
            <w:r>
              <w:rPr>
                <w:rFonts w:ascii="Arial" w:hAnsi="Arial" w:cs="Arial"/>
                <w:sz w:val="18"/>
                <w:szCs w:val="18"/>
              </w:rPr>
              <w:t xml:space="preserve"> -</w:t>
            </w:r>
          </w:p>
        </w:tc>
      </w:tr>
      <w:tr w:rsidR="00A43992" w14:paraId="56FC6FDB" w14:textId="77777777" w:rsidTr="007211E3">
        <w:trPr>
          <w:trHeight w:val="255"/>
        </w:trPr>
        <w:tc>
          <w:tcPr>
            <w:tcW w:w="4316" w:type="dxa"/>
            <w:tcBorders>
              <w:top w:val="single" w:sz="4" w:space="0" w:color="auto"/>
              <w:left w:val="nil"/>
              <w:bottom w:val="single" w:sz="4" w:space="0" w:color="auto"/>
              <w:right w:val="nil"/>
            </w:tcBorders>
            <w:shd w:val="clear" w:color="FFFFFF" w:fill="FFFFFF"/>
            <w:vAlign w:val="bottom"/>
            <w:hideMark/>
          </w:tcPr>
          <w:p w14:paraId="3B3C1637" w14:textId="77777777" w:rsidR="00A43992" w:rsidRDefault="00A43992" w:rsidP="007211E3">
            <w:pPr>
              <w:rPr>
                <w:rFonts w:ascii="Arial" w:hAnsi="Arial" w:cs="Arial"/>
                <w:b/>
                <w:bCs/>
                <w:sz w:val="18"/>
                <w:szCs w:val="18"/>
              </w:rPr>
            </w:pPr>
            <w:r>
              <w:rPr>
                <w:rFonts w:ascii="Arial" w:hAnsi="Arial" w:cs="Arial"/>
                <w:b/>
                <w:bCs/>
                <w:sz w:val="18"/>
                <w:szCs w:val="18"/>
              </w:rPr>
              <w:t>Total comprehensive income/(loss)</w:t>
            </w:r>
          </w:p>
        </w:tc>
        <w:tc>
          <w:tcPr>
            <w:tcW w:w="1176" w:type="dxa"/>
            <w:tcBorders>
              <w:top w:val="single" w:sz="4" w:space="0" w:color="auto"/>
              <w:left w:val="nil"/>
              <w:bottom w:val="single" w:sz="4" w:space="0" w:color="auto"/>
              <w:right w:val="nil"/>
            </w:tcBorders>
            <w:shd w:val="clear" w:color="FFFFFF" w:fill="FFFFFF"/>
            <w:noWrap/>
            <w:vAlign w:val="bottom"/>
            <w:hideMark/>
          </w:tcPr>
          <w:p w14:paraId="0B2D0929" w14:textId="77777777" w:rsidR="00A43992" w:rsidRPr="00267088" w:rsidRDefault="00A43992" w:rsidP="007211E3">
            <w:pPr>
              <w:jc w:val="right"/>
              <w:rPr>
                <w:rFonts w:ascii="Arial" w:hAnsi="Arial" w:cs="Arial"/>
                <w:b/>
                <w:bCs/>
                <w:sz w:val="18"/>
                <w:szCs w:val="18"/>
              </w:rPr>
            </w:pPr>
            <w:r w:rsidRPr="00267088">
              <w:rPr>
                <w:rFonts w:ascii="Arial" w:hAnsi="Arial" w:cs="Arial"/>
                <w:b/>
                <w:bCs/>
                <w:sz w:val="18"/>
                <w:szCs w:val="18"/>
              </w:rPr>
              <w:t>15,782</w:t>
            </w:r>
          </w:p>
        </w:tc>
        <w:tc>
          <w:tcPr>
            <w:tcW w:w="1176" w:type="dxa"/>
            <w:tcBorders>
              <w:top w:val="single" w:sz="4" w:space="0" w:color="auto"/>
              <w:left w:val="nil"/>
              <w:bottom w:val="single" w:sz="4" w:space="0" w:color="auto"/>
              <w:right w:val="nil"/>
            </w:tcBorders>
            <w:shd w:val="clear" w:color="FFFFFF" w:fill="FFFFFF"/>
            <w:noWrap/>
            <w:vAlign w:val="bottom"/>
            <w:hideMark/>
          </w:tcPr>
          <w:p w14:paraId="59C520D1" w14:textId="77777777" w:rsidR="00A43992" w:rsidRDefault="00A43992" w:rsidP="007211E3">
            <w:pPr>
              <w:jc w:val="right"/>
              <w:rPr>
                <w:rFonts w:ascii="Arial" w:hAnsi="Arial" w:cs="Arial"/>
                <w:sz w:val="18"/>
                <w:szCs w:val="18"/>
              </w:rPr>
            </w:pPr>
            <w:r>
              <w:rPr>
                <w:rFonts w:ascii="Arial" w:hAnsi="Arial" w:cs="Arial"/>
                <w:sz w:val="18"/>
                <w:szCs w:val="18"/>
              </w:rPr>
              <w:t>409</w:t>
            </w:r>
          </w:p>
        </w:tc>
        <w:tc>
          <w:tcPr>
            <w:tcW w:w="272" w:type="dxa"/>
            <w:tcBorders>
              <w:top w:val="single" w:sz="4" w:space="0" w:color="auto"/>
              <w:left w:val="nil"/>
              <w:bottom w:val="single" w:sz="4" w:space="0" w:color="auto"/>
              <w:right w:val="nil"/>
            </w:tcBorders>
            <w:shd w:val="clear" w:color="FFFFFF" w:fill="FFFFFF"/>
            <w:noWrap/>
            <w:vAlign w:val="bottom"/>
            <w:hideMark/>
          </w:tcPr>
          <w:p w14:paraId="7A88D13B" w14:textId="77777777" w:rsidR="00A43992" w:rsidRDefault="00A43992" w:rsidP="007211E3">
            <w:pPr>
              <w:jc w:val="right"/>
              <w:rPr>
                <w:rFonts w:ascii="Arial" w:hAnsi="Arial" w:cs="Arial"/>
                <w:sz w:val="18"/>
                <w:szCs w:val="18"/>
              </w:rPr>
            </w:pPr>
            <w:r>
              <w:rPr>
                <w:rFonts w:ascii="Arial" w:hAnsi="Arial" w:cs="Arial"/>
                <w:sz w:val="18"/>
                <w:szCs w:val="18"/>
              </w:rPr>
              <w:t> </w:t>
            </w:r>
          </w:p>
        </w:tc>
        <w:tc>
          <w:tcPr>
            <w:tcW w:w="1176" w:type="dxa"/>
            <w:tcBorders>
              <w:top w:val="single" w:sz="4" w:space="0" w:color="auto"/>
              <w:left w:val="nil"/>
              <w:bottom w:val="single" w:sz="4" w:space="0" w:color="auto"/>
              <w:right w:val="nil"/>
            </w:tcBorders>
            <w:shd w:val="clear" w:color="FFFFFF" w:fill="FFFFFF"/>
            <w:noWrap/>
            <w:vAlign w:val="bottom"/>
            <w:hideMark/>
          </w:tcPr>
          <w:p w14:paraId="6DCFC66F" w14:textId="77777777" w:rsidR="00A43992" w:rsidRPr="00EE4FBB" w:rsidRDefault="00A43992" w:rsidP="007211E3">
            <w:pPr>
              <w:jc w:val="right"/>
              <w:rPr>
                <w:rFonts w:ascii="Arial" w:hAnsi="Arial" w:cs="Arial"/>
                <w:bCs/>
                <w:sz w:val="18"/>
                <w:szCs w:val="18"/>
              </w:rPr>
            </w:pPr>
            <w:r w:rsidRPr="00EE4FBB">
              <w:rPr>
                <w:rFonts w:ascii="Arial" w:hAnsi="Arial" w:cs="Arial"/>
                <w:bCs/>
                <w:sz w:val="18"/>
                <w:szCs w:val="18"/>
              </w:rPr>
              <w:t>-</w:t>
            </w:r>
          </w:p>
        </w:tc>
      </w:tr>
      <w:tr w:rsidR="00A43992" w14:paraId="331CD511" w14:textId="77777777" w:rsidTr="007211E3">
        <w:trPr>
          <w:trHeight w:val="255"/>
        </w:trPr>
        <w:tc>
          <w:tcPr>
            <w:tcW w:w="4316" w:type="dxa"/>
            <w:tcBorders>
              <w:top w:val="nil"/>
              <w:left w:val="nil"/>
              <w:bottom w:val="nil"/>
              <w:right w:val="nil"/>
            </w:tcBorders>
            <w:shd w:val="clear" w:color="FFFFFF" w:fill="FFFFFF"/>
            <w:vAlign w:val="bottom"/>
            <w:hideMark/>
          </w:tcPr>
          <w:p w14:paraId="2D5C152D" w14:textId="77777777" w:rsidR="00A43992" w:rsidRDefault="00A43992" w:rsidP="007211E3">
            <w:pPr>
              <w:rPr>
                <w:rFonts w:ascii="Arial" w:hAnsi="Arial" w:cs="Arial"/>
                <w:b/>
                <w:bCs/>
                <w:sz w:val="18"/>
                <w:szCs w:val="18"/>
              </w:rPr>
            </w:pPr>
            <w:r>
              <w:rPr>
                <w:rFonts w:ascii="Arial" w:hAnsi="Arial" w:cs="Arial"/>
                <w:b/>
                <w:bCs/>
                <w:sz w:val="18"/>
                <w:szCs w:val="18"/>
              </w:rPr>
              <w:t> </w:t>
            </w:r>
          </w:p>
        </w:tc>
        <w:tc>
          <w:tcPr>
            <w:tcW w:w="1176" w:type="dxa"/>
            <w:tcBorders>
              <w:top w:val="nil"/>
              <w:left w:val="nil"/>
              <w:bottom w:val="nil"/>
              <w:right w:val="nil"/>
            </w:tcBorders>
            <w:shd w:val="clear" w:color="FFFFFF" w:fill="FFFFFF"/>
            <w:noWrap/>
            <w:vAlign w:val="bottom"/>
            <w:hideMark/>
          </w:tcPr>
          <w:p w14:paraId="40A53969" w14:textId="77777777" w:rsidR="00A43992" w:rsidRPr="00267088" w:rsidRDefault="00A43992" w:rsidP="007211E3">
            <w:pPr>
              <w:jc w:val="right"/>
              <w:rPr>
                <w:rFonts w:ascii="Arial" w:hAnsi="Arial" w:cs="Arial"/>
                <w:b/>
                <w:bCs/>
                <w:sz w:val="18"/>
                <w:szCs w:val="18"/>
              </w:rPr>
            </w:pPr>
            <w:r w:rsidRPr="00267088">
              <w:rPr>
                <w:rFonts w:ascii="Arial" w:hAnsi="Arial" w:cs="Arial"/>
                <w:b/>
                <w:bCs/>
                <w:sz w:val="18"/>
                <w:szCs w:val="18"/>
              </w:rPr>
              <w:t> </w:t>
            </w:r>
          </w:p>
        </w:tc>
        <w:tc>
          <w:tcPr>
            <w:tcW w:w="1176" w:type="dxa"/>
            <w:tcBorders>
              <w:top w:val="nil"/>
              <w:left w:val="nil"/>
              <w:bottom w:val="nil"/>
              <w:right w:val="nil"/>
            </w:tcBorders>
            <w:shd w:val="clear" w:color="FFFFFF" w:fill="FFFFFF"/>
            <w:noWrap/>
            <w:vAlign w:val="bottom"/>
            <w:hideMark/>
          </w:tcPr>
          <w:p w14:paraId="1D9857B9" w14:textId="77777777" w:rsidR="00A43992" w:rsidRDefault="00A43992" w:rsidP="007211E3">
            <w:pPr>
              <w:jc w:val="right"/>
              <w:rPr>
                <w:rFonts w:ascii="Arial" w:hAnsi="Arial" w:cs="Arial"/>
                <w:sz w:val="18"/>
                <w:szCs w:val="18"/>
              </w:rPr>
            </w:pPr>
            <w:r>
              <w:rPr>
                <w:rFonts w:ascii="Arial" w:hAnsi="Arial" w:cs="Arial"/>
                <w:sz w:val="18"/>
                <w:szCs w:val="18"/>
              </w:rPr>
              <w:t> </w:t>
            </w:r>
          </w:p>
        </w:tc>
        <w:tc>
          <w:tcPr>
            <w:tcW w:w="272" w:type="dxa"/>
            <w:tcBorders>
              <w:top w:val="nil"/>
              <w:left w:val="nil"/>
              <w:bottom w:val="nil"/>
              <w:right w:val="nil"/>
            </w:tcBorders>
            <w:shd w:val="clear" w:color="FFFFFF" w:fill="FFFFFF"/>
            <w:noWrap/>
            <w:vAlign w:val="bottom"/>
            <w:hideMark/>
          </w:tcPr>
          <w:p w14:paraId="786A213B" w14:textId="77777777" w:rsidR="00A43992" w:rsidRDefault="00A43992" w:rsidP="007211E3">
            <w:pPr>
              <w:jc w:val="right"/>
              <w:rPr>
                <w:rFonts w:ascii="Arial" w:hAnsi="Arial" w:cs="Arial"/>
                <w:sz w:val="18"/>
                <w:szCs w:val="18"/>
              </w:rPr>
            </w:pPr>
            <w:r>
              <w:rPr>
                <w:rFonts w:ascii="Arial" w:hAnsi="Arial" w:cs="Arial"/>
                <w:sz w:val="18"/>
                <w:szCs w:val="18"/>
              </w:rPr>
              <w:t> </w:t>
            </w:r>
          </w:p>
        </w:tc>
        <w:tc>
          <w:tcPr>
            <w:tcW w:w="1176" w:type="dxa"/>
            <w:tcBorders>
              <w:top w:val="nil"/>
              <w:left w:val="nil"/>
              <w:bottom w:val="nil"/>
              <w:right w:val="nil"/>
            </w:tcBorders>
            <w:shd w:val="clear" w:color="FFFFFF" w:fill="FFFFFF"/>
            <w:noWrap/>
            <w:vAlign w:val="bottom"/>
            <w:hideMark/>
          </w:tcPr>
          <w:p w14:paraId="1A89CA26" w14:textId="77777777" w:rsidR="00A43992" w:rsidRDefault="00A43992" w:rsidP="007211E3">
            <w:pPr>
              <w:jc w:val="right"/>
              <w:rPr>
                <w:rFonts w:ascii="Arial" w:hAnsi="Arial" w:cs="Arial"/>
                <w:b/>
                <w:bCs/>
                <w:sz w:val="18"/>
                <w:szCs w:val="18"/>
              </w:rPr>
            </w:pPr>
            <w:r>
              <w:rPr>
                <w:rFonts w:ascii="Arial" w:hAnsi="Arial" w:cs="Arial"/>
                <w:b/>
                <w:bCs/>
                <w:sz w:val="18"/>
                <w:szCs w:val="18"/>
              </w:rPr>
              <w:t> </w:t>
            </w:r>
          </w:p>
        </w:tc>
      </w:tr>
      <w:tr w:rsidR="00A43992" w14:paraId="6E2B6AF9" w14:textId="77777777" w:rsidTr="007211E3">
        <w:trPr>
          <w:trHeight w:val="255"/>
        </w:trPr>
        <w:tc>
          <w:tcPr>
            <w:tcW w:w="4316" w:type="dxa"/>
            <w:tcBorders>
              <w:top w:val="single" w:sz="4" w:space="0" w:color="auto"/>
              <w:left w:val="nil"/>
              <w:bottom w:val="single" w:sz="4" w:space="0" w:color="auto"/>
              <w:right w:val="nil"/>
            </w:tcBorders>
            <w:shd w:val="clear" w:color="FFFFFF" w:fill="FFFFFF"/>
            <w:vAlign w:val="bottom"/>
            <w:hideMark/>
          </w:tcPr>
          <w:p w14:paraId="7426CF07" w14:textId="77777777" w:rsidR="00A43992" w:rsidRDefault="00A43992" w:rsidP="007211E3">
            <w:pPr>
              <w:rPr>
                <w:rFonts w:ascii="Arial" w:hAnsi="Arial" w:cs="Arial"/>
                <w:b/>
                <w:bCs/>
                <w:sz w:val="18"/>
                <w:szCs w:val="18"/>
              </w:rPr>
            </w:pPr>
            <w:r>
              <w:rPr>
                <w:rFonts w:ascii="Arial" w:hAnsi="Arial" w:cs="Arial"/>
                <w:b/>
                <w:bCs/>
                <w:sz w:val="18"/>
                <w:szCs w:val="18"/>
              </w:rPr>
              <w:t>Closing balance</w:t>
            </w:r>
          </w:p>
        </w:tc>
        <w:tc>
          <w:tcPr>
            <w:tcW w:w="1176" w:type="dxa"/>
            <w:tcBorders>
              <w:top w:val="single" w:sz="4" w:space="0" w:color="auto"/>
              <w:left w:val="nil"/>
              <w:bottom w:val="single" w:sz="4" w:space="0" w:color="auto"/>
              <w:right w:val="nil"/>
            </w:tcBorders>
            <w:shd w:val="clear" w:color="FFFFFF" w:fill="FFFFFF"/>
            <w:noWrap/>
            <w:vAlign w:val="bottom"/>
            <w:hideMark/>
          </w:tcPr>
          <w:p w14:paraId="0FE1484A" w14:textId="77777777" w:rsidR="00A43992" w:rsidRPr="00267088" w:rsidRDefault="00A43992" w:rsidP="007211E3">
            <w:pPr>
              <w:jc w:val="right"/>
              <w:rPr>
                <w:rFonts w:ascii="Arial" w:hAnsi="Arial" w:cs="Arial"/>
                <w:b/>
                <w:bCs/>
                <w:sz w:val="18"/>
                <w:szCs w:val="18"/>
              </w:rPr>
            </w:pPr>
            <w:r w:rsidRPr="00267088">
              <w:rPr>
                <w:rFonts w:ascii="Arial" w:hAnsi="Arial" w:cs="Arial"/>
                <w:b/>
                <w:bCs/>
                <w:sz w:val="18"/>
                <w:szCs w:val="18"/>
              </w:rPr>
              <w:t>34,169</w:t>
            </w:r>
          </w:p>
        </w:tc>
        <w:tc>
          <w:tcPr>
            <w:tcW w:w="1176" w:type="dxa"/>
            <w:tcBorders>
              <w:top w:val="single" w:sz="4" w:space="0" w:color="auto"/>
              <w:left w:val="nil"/>
              <w:bottom w:val="single" w:sz="4" w:space="0" w:color="auto"/>
              <w:right w:val="nil"/>
            </w:tcBorders>
            <w:shd w:val="clear" w:color="FFFFFF" w:fill="FFFFFF"/>
            <w:noWrap/>
            <w:vAlign w:val="bottom"/>
            <w:hideMark/>
          </w:tcPr>
          <w:p w14:paraId="509F0564" w14:textId="77777777" w:rsidR="00A43992" w:rsidRDefault="00A43992" w:rsidP="007211E3">
            <w:pPr>
              <w:jc w:val="right"/>
              <w:rPr>
                <w:rFonts w:ascii="Arial" w:hAnsi="Arial" w:cs="Arial"/>
                <w:sz w:val="18"/>
                <w:szCs w:val="18"/>
              </w:rPr>
            </w:pPr>
            <w:r>
              <w:rPr>
                <w:rFonts w:ascii="Arial" w:hAnsi="Arial" w:cs="Arial"/>
                <w:sz w:val="18"/>
                <w:szCs w:val="18"/>
              </w:rPr>
              <w:t>18,387</w:t>
            </w:r>
          </w:p>
        </w:tc>
        <w:tc>
          <w:tcPr>
            <w:tcW w:w="272" w:type="dxa"/>
            <w:tcBorders>
              <w:top w:val="single" w:sz="4" w:space="0" w:color="auto"/>
              <w:left w:val="nil"/>
              <w:bottom w:val="single" w:sz="4" w:space="0" w:color="auto"/>
              <w:right w:val="nil"/>
            </w:tcBorders>
            <w:shd w:val="clear" w:color="FFFFFF" w:fill="FFFFFF"/>
            <w:noWrap/>
            <w:vAlign w:val="bottom"/>
            <w:hideMark/>
          </w:tcPr>
          <w:p w14:paraId="7F9EA43E" w14:textId="77777777" w:rsidR="00A43992" w:rsidRDefault="00A43992" w:rsidP="007211E3">
            <w:pPr>
              <w:jc w:val="right"/>
              <w:rPr>
                <w:rFonts w:ascii="Arial" w:hAnsi="Arial" w:cs="Arial"/>
                <w:sz w:val="18"/>
                <w:szCs w:val="18"/>
              </w:rPr>
            </w:pPr>
            <w:r>
              <w:rPr>
                <w:rFonts w:ascii="Arial" w:hAnsi="Arial" w:cs="Arial"/>
                <w:sz w:val="18"/>
                <w:szCs w:val="18"/>
              </w:rPr>
              <w:t> </w:t>
            </w:r>
          </w:p>
        </w:tc>
        <w:tc>
          <w:tcPr>
            <w:tcW w:w="1176" w:type="dxa"/>
            <w:tcBorders>
              <w:top w:val="single" w:sz="4" w:space="0" w:color="auto"/>
              <w:left w:val="nil"/>
              <w:bottom w:val="single" w:sz="4" w:space="0" w:color="auto"/>
              <w:right w:val="nil"/>
            </w:tcBorders>
            <w:shd w:val="clear" w:color="FFFFFF" w:fill="FFFFFF"/>
            <w:noWrap/>
            <w:vAlign w:val="bottom"/>
            <w:hideMark/>
          </w:tcPr>
          <w:p w14:paraId="040FD357" w14:textId="77777777" w:rsidR="00A43992" w:rsidRDefault="00A43992" w:rsidP="007211E3">
            <w:pPr>
              <w:jc w:val="right"/>
              <w:rPr>
                <w:rFonts w:ascii="Arial" w:hAnsi="Arial" w:cs="Arial"/>
                <w:sz w:val="18"/>
                <w:szCs w:val="18"/>
              </w:rPr>
            </w:pPr>
            <w:r>
              <w:rPr>
                <w:rFonts w:ascii="Arial" w:hAnsi="Arial" w:cs="Arial"/>
                <w:sz w:val="18"/>
                <w:szCs w:val="18"/>
              </w:rPr>
              <w:t>17,978</w:t>
            </w:r>
          </w:p>
        </w:tc>
      </w:tr>
      <w:tr w:rsidR="00A43992" w14:paraId="33009B3F" w14:textId="77777777" w:rsidTr="007211E3">
        <w:trPr>
          <w:trHeight w:val="255"/>
        </w:trPr>
        <w:tc>
          <w:tcPr>
            <w:tcW w:w="4316" w:type="dxa"/>
            <w:tcBorders>
              <w:top w:val="nil"/>
              <w:left w:val="nil"/>
              <w:bottom w:val="nil"/>
              <w:right w:val="nil"/>
            </w:tcBorders>
            <w:shd w:val="clear" w:color="auto" w:fill="auto"/>
            <w:noWrap/>
            <w:vAlign w:val="bottom"/>
            <w:hideMark/>
          </w:tcPr>
          <w:p w14:paraId="12B3BF68" w14:textId="77777777" w:rsidR="00A43992" w:rsidRDefault="00A43992" w:rsidP="007211E3">
            <w:pPr>
              <w:jc w:val="right"/>
              <w:rPr>
                <w:rFonts w:ascii="Arial" w:hAnsi="Arial" w:cs="Arial"/>
                <w:sz w:val="18"/>
                <w:szCs w:val="18"/>
              </w:rPr>
            </w:pPr>
          </w:p>
        </w:tc>
        <w:tc>
          <w:tcPr>
            <w:tcW w:w="1176" w:type="dxa"/>
            <w:tcBorders>
              <w:top w:val="nil"/>
              <w:left w:val="nil"/>
              <w:bottom w:val="nil"/>
              <w:right w:val="nil"/>
            </w:tcBorders>
            <w:shd w:val="clear" w:color="auto" w:fill="auto"/>
            <w:noWrap/>
            <w:vAlign w:val="bottom"/>
            <w:hideMark/>
          </w:tcPr>
          <w:p w14:paraId="14C2B075" w14:textId="77777777" w:rsidR="00A43992" w:rsidRPr="00267088" w:rsidRDefault="00A43992" w:rsidP="007211E3"/>
        </w:tc>
        <w:tc>
          <w:tcPr>
            <w:tcW w:w="1176" w:type="dxa"/>
            <w:tcBorders>
              <w:top w:val="nil"/>
              <w:left w:val="nil"/>
              <w:bottom w:val="nil"/>
              <w:right w:val="nil"/>
            </w:tcBorders>
            <w:shd w:val="clear" w:color="auto" w:fill="auto"/>
            <w:noWrap/>
            <w:vAlign w:val="bottom"/>
            <w:hideMark/>
          </w:tcPr>
          <w:p w14:paraId="0BF82A69" w14:textId="77777777" w:rsidR="00A43992" w:rsidRDefault="00A43992" w:rsidP="007211E3"/>
        </w:tc>
        <w:tc>
          <w:tcPr>
            <w:tcW w:w="272" w:type="dxa"/>
            <w:tcBorders>
              <w:top w:val="nil"/>
              <w:left w:val="nil"/>
              <w:bottom w:val="nil"/>
              <w:right w:val="nil"/>
            </w:tcBorders>
            <w:shd w:val="clear" w:color="auto" w:fill="auto"/>
            <w:noWrap/>
            <w:vAlign w:val="bottom"/>
            <w:hideMark/>
          </w:tcPr>
          <w:p w14:paraId="4A7FB092" w14:textId="77777777" w:rsidR="00A43992" w:rsidRDefault="00A43992" w:rsidP="007211E3"/>
        </w:tc>
        <w:tc>
          <w:tcPr>
            <w:tcW w:w="1176" w:type="dxa"/>
            <w:tcBorders>
              <w:top w:val="nil"/>
              <w:left w:val="nil"/>
              <w:bottom w:val="nil"/>
              <w:right w:val="nil"/>
            </w:tcBorders>
            <w:shd w:val="clear" w:color="auto" w:fill="auto"/>
            <w:noWrap/>
            <w:vAlign w:val="bottom"/>
            <w:hideMark/>
          </w:tcPr>
          <w:p w14:paraId="1FA5B43F" w14:textId="77777777" w:rsidR="00A43992" w:rsidRDefault="00A43992" w:rsidP="007211E3"/>
        </w:tc>
      </w:tr>
      <w:tr w:rsidR="00A43992" w14:paraId="326A1067" w14:textId="77777777" w:rsidTr="007211E3">
        <w:trPr>
          <w:trHeight w:val="255"/>
        </w:trPr>
        <w:tc>
          <w:tcPr>
            <w:tcW w:w="4316" w:type="dxa"/>
            <w:tcBorders>
              <w:top w:val="nil"/>
              <w:left w:val="nil"/>
              <w:bottom w:val="nil"/>
              <w:right w:val="nil"/>
            </w:tcBorders>
            <w:shd w:val="clear" w:color="FFFFFF" w:fill="FFFFFF"/>
            <w:vAlign w:val="bottom"/>
            <w:hideMark/>
          </w:tcPr>
          <w:p w14:paraId="395088DE" w14:textId="77777777" w:rsidR="00A43992" w:rsidRDefault="00A43992" w:rsidP="007211E3">
            <w:pPr>
              <w:rPr>
                <w:rFonts w:ascii="Arial" w:hAnsi="Arial" w:cs="Arial"/>
                <w:b/>
                <w:bCs/>
                <w:sz w:val="18"/>
                <w:szCs w:val="18"/>
              </w:rPr>
            </w:pPr>
            <w:r>
              <w:rPr>
                <w:rFonts w:ascii="Arial" w:hAnsi="Arial" w:cs="Arial"/>
                <w:b/>
                <w:bCs/>
                <w:sz w:val="18"/>
                <w:szCs w:val="18"/>
              </w:rPr>
              <w:t>ASSET REVALUATION RESERVE</w:t>
            </w:r>
          </w:p>
        </w:tc>
        <w:tc>
          <w:tcPr>
            <w:tcW w:w="1176" w:type="dxa"/>
            <w:tcBorders>
              <w:top w:val="nil"/>
              <w:left w:val="nil"/>
              <w:bottom w:val="nil"/>
              <w:right w:val="nil"/>
            </w:tcBorders>
            <w:shd w:val="clear" w:color="auto" w:fill="auto"/>
            <w:noWrap/>
            <w:vAlign w:val="bottom"/>
            <w:hideMark/>
          </w:tcPr>
          <w:p w14:paraId="619F8357" w14:textId="77777777" w:rsidR="00A43992" w:rsidRPr="00267088" w:rsidRDefault="00A43992" w:rsidP="007211E3">
            <w:pPr>
              <w:rPr>
                <w:rFonts w:ascii="Arial" w:hAnsi="Arial" w:cs="Arial"/>
                <w:b/>
                <w:bCs/>
                <w:sz w:val="18"/>
                <w:szCs w:val="18"/>
              </w:rPr>
            </w:pPr>
          </w:p>
        </w:tc>
        <w:tc>
          <w:tcPr>
            <w:tcW w:w="1176" w:type="dxa"/>
            <w:tcBorders>
              <w:top w:val="nil"/>
              <w:left w:val="nil"/>
              <w:bottom w:val="nil"/>
              <w:right w:val="nil"/>
            </w:tcBorders>
            <w:shd w:val="clear" w:color="auto" w:fill="auto"/>
            <w:noWrap/>
            <w:vAlign w:val="bottom"/>
            <w:hideMark/>
          </w:tcPr>
          <w:p w14:paraId="3F7E8084" w14:textId="77777777" w:rsidR="00A43992" w:rsidRDefault="00A43992" w:rsidP="007211E3"/>
        </w:tc>
        <w:tc>
          <w:tcPr>
            <w:tcW w:w="272" w:type="dxa"/>
            <w:tcBorders>
              <w:top w:val="nil"/>
              <w:left w:val="nil"/>
              <w:bottom w:val="nil"/>
              <w:right w:val="nil"/>
            </w:tcBorders>
            <w:shd w:val="clear" w:color="auto" w:fill="auto"/>
            <w:noWrap/>
            <w:vAlign w:val="bottom"/>
            <w:hideMark/>
          </w:tcPr>
          <w:p w14:paraId="73150E9C" w14:textId="77777777" w:rsidR="00A43992" w:rsidRDefault="00A43992" w:rsidP="007211E3"/>
        </w:tc>
        <w:tc>
          <w:tcPr>
            <w:tcW w:w="1176" w:type="dxa"/>
            <w:tcBorders>
              <w:top w:val="nil"/>
              <w:left w:val="nil"/>
              <w:bottom w:val="nil"/>
              <w:right w:val="nil"/>
            </w:tcBorders>
            <w:shd w:val="clear" w:color="auto" w:fill="auto"/>
            <w:noWrap/>
            <w:vAlign w:val="bottom"/>
            <w:hideMark/>
          </w:tcPr>
          <w:p w14:paraId="09DE5B87" w14:textId="77777777" w:rsidR="00A43992" w:rsidRDefault="00A43992" w:rsidP="007211E3"/>
        </w:tc>
      </w:tr>
      <w:tr w:rsidR="00A43992" w14:paraId="10AF0129" w14:textId="77777777" w:rsidTr="007211E3">
        <w:trPr>
          <w:trHeight w:val="255"/>
        </w:trPr>
        <w:tc>
          <w:tcPr>
            <w:tcW w:w="4316" w:type="dxa"/>
            <w:tcBorders>
              <w:top w:val="nil"/>
              <w:left w:val="nil"/>
              <w:bottom w:val="nil"/>
              <w:right w:val="nil"/>
            </w:tcBorders>
            <w:shd w:val="clear" w:color="FFFFFF" w:fill="FFFFFF"/>
            <w:vAlign w:val="bottom"/>
            <w:hideMark/>
          </w:tcPr>
          <w:p w14:paraId="2A040866" w14:textId="77777777" w:rsidR="00A43992" w:rsidRDefault="00A43992" w:rsidP="007211E3">
            <w:pPr>
              <w:rPr>
                <w:rFonts w:ascii="Arial" w:hAnsi="Arial" w:cs="Arial"/>
                <w:b/>
                <w:bCs/>
                <w:sz w:val="18"/>
                <w:szCs w:val="18"/>
              </w:rPr>
            </w:pPr>
            <w:r>
              <w:rPr>
                <w:rFonts w:ascii="Arial" w:hAnsi="Arial" w:cs="Arial"/>
                <w:b/>
                <w:bCs/>
                <w:sz w:val="18"/>
                <w:szCs w:val="18"/>
              </w:rPr>
              <w:t>Opening balance</w:t>
            </w:r>
          </w:p>
        </w:tc>
        <w:tc>
          <w:tcPr>
            <w:tcW w:w="1176" w:type="dxa"/>
            <w:tcBorders>
              <w:top w:val="nil"/>
              <w:left w:val="nil"/>
              <w:bottom w:val="nil"/>
              <w:right w:val="nil"/>
            </w:tcBorders>
            <w:shd w:val="clear" w:color="FFFFFF" w:fill="FFFFFF"/>
            <w:noWrap/>
            <w:vAlign w:val="bottom"/>
            <w:hideMark/>
          </w:tcPr>
          <w:p w14:paraId="77C307BE" w14:textId="77777777" w:rsidR="00A43992" w:rsidRPr="00267088" w:rsidRDefault="00A43992" w:rsidP="007211E3">
            <w:pPr>
              <w:jc w:val="right"/>
              <w:rPr>
                <w:rFonts w:ascii="Arial" w:hAnsi="Arial" w:cs="Arial"/>
                <w:b/>
                <w:bCs/>
                <w:sz w:val="18"/>
                <w:szCs w:val="18"/>
              </w:rPr>
            </w:pPr>
            <w:r w:rsidRPr="00267088">
              <w:rPr>
                <w:rFonts w:ascii="Arial" w:hAnsi="Arial" w:cs="Arial"/>
                <w:b/>
                <w:bCs/>
                <w:sz w:val="18"/>
                <w:szCs w:val="18"/>
              </w:rPr>
              <w:t>-</w:t>
            </w:r>
          </w:p>
        </w:tc>
        <w:tc>
          <w:tcPr>
            <w:tcW w:w="1176" w:type="dxa"/>
            <w:tcBorders>
              <w:top w:val="nil"/>
              <w:left w:val="nil"/>
              <w:bottom w:val="nil"/>
              <w:right w:val="nil"/>
            </w:tcBorders>
            <w:shd w:val="clear" w:color="FFFFFF" w:fill="FFFFFF"/>
            <w:noWrap/>
            <w:vAlign w:val="bottom"/>
            <w:hideMark/>
          </w:tcPr>
          <w:p w14:paraId="100D0A4C" w14:textId="77777777" w:rsidR="00A43992" w:rsidRDefault="00A43992" w:rsidP="007211E3">
            <w:pPr>
              <w:jc w:val="right"/>
              <w:rPr>
                <w:rFonts w:ascii="Arial" w:hAnsi="Arial" w:cs="Arial"/>
                <w:sz w:val="18"/>
                <w:szCs w:val="18"/>
              </w:rPr>
            </w:pPr>
            <w:r>
              <w:rPr>
                <w:rFonts w:ascii="Arial" w:hAnsi="Arial" w:cs="Arial"/>
                <w:sz w:val="18"/>
                <w:szCs w:val="18"/>
              </w:rPr>
              <w:t>-</w:t>
            </w:r>
          </w:p>
        </w:tc>
        <w:tc>
          <w:tcPr>
            <w:tcW w:w="272" w:type="dxa"/>
            <w:tcBorders>
              <w:top w:val="nil"/>
              <w:left w:val="nil"/>
              <w:bottom w:val="nil"/>
              <w:right w:val="nil"/>
            </w:tcBorders>
            <w:shd w:val="clear" w:color="FFFFFF" w:fill="FFFFFF"/>
            <w:noWrap/>
            <w:vAlign w:val="bottom"/>
            <w:hideMark/>
          </w:tcPr>
          <w:p w14:paraId="5F50CC44" w14:textId="77777777" w:rsidR="00A43992" w:rsidRDefault="00A43992" w:rsidP="007211E3">
            <w:pPr>
              <w:jc w:val="right"/>
              <w:rPr>
                <w:rFonts w:ascii="Arial" w:hAnsi="Arial" w:cs="Arial"/>
                <w:sz w:val="18"/>
                <w:szCs w:val="18"/>
              </w:rPr>
            </w:pPr>
            <w:r>
              <w:rPr>
                <w:rFonts w:ascii="Arial" w:hAnsi="Arial" w:cs="Arial"/>
                <w:sz w:val="18"/>
                <w:szCs w:val="18"/>
              </w:rPr>
              <w:t> </w:t>
            </w:r>
          </w:p>
        </w:tc>
        <w:tc>
          <w:tcPr>
            <w:tcW w:w="1176" w:type="dxa"/>
            <w:tcBorders>
              <w:top w:val="nil"/>
              <w:left w:val="nil"/>
              <w:bottom w:val="nil"/>
              <w:right w:val="nil"/>
            </w:tcBorders>
            <w:shd w:val="clear" w:color="FFFFFF" w:fill="FFFFFF"/>
            <w:noWrap/>
            <w:vAlign w:val="bottom"/>
            <w:hideMark/>
          </w:tcPr>
          <w:p w14:paraId="39B9318F" w14:textId="77777777" w:rsidR="00A43992" w:rsidRDefault="00A43992" w:rsidP="007211E3">
            <w:pPr>
              <w:jc w:val="right"/>
              <w:rPr>
                <w:rFonts w:ascii="Arial" w:hAnsi="Arial" w:cs="Arial"/>
                <w:sz w:val="18"/>
                <w:szCs w:val="18"/>
              </w:rPr>
            </w:pPr>
            <w:r>
              <w:rPr>
                <w:rFonts w:ascii="Arial" w:hAnsi="Arial" w:cs="Arial"/>
                <w:sz w:val="18"/>
                <w:szCs w:val="18"/>
              </w:rPr>
              <w:t>-</w:t>
            </w:r>
          </w:p>
        </w:tc>
      </w:tr>
      <w:tr w:rsidR="00A43992" w14:paraId="5B858781" w14:textId="77777777" w:rsidTr="007211E3">
        <w:trPr>
          <w:trHeight w:val="255"/>
        </w:trPr>
        <w:tc>
          <w:tcPr>
            <w:tcW w:w="4316" w:type="dxa"/>
            <w:tcBorders>
              <w:top w:val="nil"/>
              <w:left w:val="nil"/>
              <w:bottom w:val="nil"/>
              <w:right w:val="nil"/>
            </w:tcBorders>
            <w:shd w:val="clear" w:color="FFFFFF" w:fill="FFFFFF"/>
            <w:vAlign w:val="bottom"/>
            <w:hideMark/>
          </w:tcPr>
          <w:p w14:paraId="24CC3CF1" w14:textId="77777777" w:rsidR="00A43992" w:rsidRDefault="00A43992" w:rsidP="007211E3">
            <w:pPr>
              <w:rPr>
                <w:rFonts w:ascii="Arial" w:hAnsi="Arial" w:cs="Arial"/>
                <w:b/>
                <w:bCs/>
                <w:sz w:val="18"/>
                <w:szCs w:val="18"/>
              </w:rPr>
            </w:pPr>
            <w:r>
              <w:rPr>
                <w:rFonts w:ascii="Arial" w:hAnsi="Arial" w:cs="Arial"/>
                <w:b/>
                <w:bCs/>
                <w:sz w:val="18"/>
                <w:szCs w:val="18"/>
              </w:rPr>
              <w:t>Comprehensive income</w:t>
            </w:r>
          </w:p>
        </w:tc>
        <w:tc>
          <w:tcPr>
            <w:tcW w:w="1176" w:type="dxa"/>
            <w:tcBorders>
              <w:top w:val="nil"/>
              <w:left w:val="nil"/>
              <w:bottom w:val="nil"/>
              <w:right w:val="nil"/>
            </w:tcBorders>
            <w:shd w:val="clear" w:color="FFFFFF" w:fill="FFFFFF"/>
            <w:noWrap/>
            <w:vAlign w:val="bottom"/>
            <w:hideMark/>
          </w:tcPr>
          <w:p w14:paraId="4A4AA21F" w14:textId="77777777" w:rsidR="00A43992" w:rsidRPr="00267088" w:rsidRDefault="00A43992" w:rsidP="007211E3">
            <w:pPr>
              <w:rPr>
                <w:rFonts w:ascii="Arial" w:hAnsi="Arial" w:cs="Arial"/>
                <w:b/>
                <w:bCs/>
                <w:sz w:val="18"/>
                <w:szCs w:val="18"/>
              </w:rPr>
            </w:pPr>
            <w:r w:rsidRPr="00267088">
              <w:rPr>
                <w:rFonts w:ascii="Arial" w:hAnsi="Arial" w:cs="Arial"/>
                <w:b/>
                <w:bCs/>
                <w:sz w:val="18"/>
                <w:szCs w:val="18"/>
              </w:rPr>
              <w:t> </w:t>
            </w:r>
          </w:p>
        </w:tc>
        <w:tc>
          <w:tcPr>
            <w:tcW w:w="1176" w:type="dxa"/>
            <w:tcBorders>
              <w:top w:val="nil"/>
              <w:left w:val="nil"/>
              <w:bottom w:val="nil"/>
              <w:right w:val="nil"/>
            </w:tcBorders>
            <w:shd w:val="clear" w:color="FFFFFF" w:fill="FFFFFF"/>
            <w:noWrap/>
            <w:vAlign w:val="bottom"/>
            <w:hideMark/>
          </w:tcPr>
          <w:p w14:paraId="2C3A5E6C" w14:textId="77777777" w:rsidR="00A43992" w:rsidRDefault="00A43992" w:rsidP="007211E3">
            <w:pPr>
              <w:rPr>
                <w:rFonts w:ascii="Arial" w:hAnsi="Arial" w:cs="Arial"/>
              </w:rPr>
            </w:pPr>
            <w:r>
              <w:rPr>
                <w:rFonts w:ascii="Arial" w:hAnsi="Arial" w:cs="Arial"/>
              </w:rPr>
              <w:t> </w:t>
            </w:r>
          </w:p>
        </w:tc>
        <w:tc>
          <w:tcPr>
            <w:tcW w:w="272" w:type="dxa"/>
            <w:tcBorders>
              <w:top w:val="nil"/>
              <w:left w:val="nil"/>
              <w:bottom w:val="nil"/>
              <w:right w:val="nil"/>
            </w:tcBorders>
            <w:shd w:val="clear" w:color="FFFFFF" w:fill="FFFFFF"/>
            <w:noWrap/>
            <w:vAlign w:val="bottom"/>
            <w:hideMark/>
          </w:tcPr>
          <w:p w14:paraId="564522EF" w14:textId="77777777" w:rsidR="00A43992" w:rsidRDefault="00A43992" w:rsidP="007211E3">
            <w:pPr>
              <w:rPr>
                <w:rFonts w:ascii="Arial" w:hAnsi="Arial" w:cs="Arial"/>
              </w:rPr>
            </w:pPr>
            <w:r>
              <w:rPr>
                <w:rFonts w:ascii="Arial" w:hAnsi="Arial" w:cs="Arial"/>
              </w:rPr>
              <w:t> </w:t>
            </w:r>
          </w:p>
        </w:tc>
        <w:tc>
          <w:tcPr>
            <w:tcW w:w="1176" w:type="dxa"/>
            <w:tcBorders>
              <w:top w:val="nil"/>
              <w:left w:val="nil"/>
              <w:bottom w:val="nil"/>
              <w:right w:val="nil"/>
            </w:tcBorders>
            <w:shd w:val="clear" w:color="FFFFFF" w:fill="FFFFFF"/>
            <w:noWrap/>
            <w:vAlign w:val="bottom"/>
            <w:hideMark/>
          </w:tcPr>
          <w:p w14:paraId="355A1287" w14:textId="77777777" w:rsidR="00A43992" w:rsidRDefault="00A43992" w:rsidP="007211E3">
            <w:pPr>
              <w:rPr>
                <w:rFonts w:ascii="Arial" w:hAnsi="Arial" w:cs="Arial"/>
                <w:b/>
                <w:bCs/>
                <w:sz w:val="18"/>
                <w:szCs w:val="18"/>
              </w:rPr>
            </w:pPr>
            <w:r>
              <w:rPr>
                <w:rFonts w:ascii="Arial" w:hAnsi="Arial" w:cs="Arial"/>
                <w:b/>
                <w:bCs/>
                <w:sz w:val="18"/>
                <w:szCs w:val="18"/>
              </w:rPr>
              <w:t> </w:t>
            </w:r>
          </w:p>
        </w:tc>
      </w:tr>
      <w:tr w:rsidR="00A43992" w14:paraId="4F16FC20" w14:textId="77777777" w:rsidTr="007211E3">
        <w:trPr>
          <w:trHeight w:val="255"/>
        </w:trPr>
        <w:tc>
          <w:tcPr>
            <w:tcW w:w="4316" w:type="dxa"/>
            <w:tcBorders>
              <w:top w:val="nil"/>
              <w:left w:val="nil"/>
              <w:bottom w:val="nil"/>
              <w:right w:val="nil"/>
            </w:tcBorders>
            <w:shd w:val="clear" w:color="FFFFFF" w:fill="FFFFFF"/>
            <w:vAlign w:val="bottom"/>
            <w:hideMark/>
          </w:tcPr>
          <w:p w14:paraId="2CAC3E20" w14:textId="77777777" w:rsidR="00A43992" w:rsidRDefault="00A43992" w:rsidP="007211E3">
            <w:pPr>
              <w:rPr>
                <w:rFonts w:ascii="Arial" w:hAnsi="Arial" w:cs="Arial"/>
                <w:sz w:val="18"/>
                <w:szCs w:val="18"/>
              </w:rPr>
            </w:pPr>
            <w:r>
              <w:rPr>
                <w:rFonts w:ascii="Arial" w:hAnsi="Arial" w:cs="Arial"/>
                <w:sz w:val="18"/>
                <w:szCs w:val="18"/>
              </w:rPr>
              <w:t>Other comprehensive income</w:t>
            </w:r>
          </w:p>
        </w:tc>
        <w:tc>
          <w:tcPr>
            <w:tcW w:w="1176" w:type="dxa"/>
            <w:tcBorders>
              <w:top w:val="nil"/>
              <w:left w:val="nil"/>
              <w:bottom w:val="nil"/>
              <w:right w:val="nil"/>
            </w:tcBorders>
            <w:shd w:val="clear" w:color="FFFFFF" w:fill="FFFFFF"/>
            <w:noWrap/>
            <w:vAlign w:val="bottom"/>
            <w:hideMark/>
          </w:tcPr>
          <w:p w14:paraId="66D8186E" w14:textId="77777777" w:rsidR="00A43992" w:rsidRPr="00267088" w:rsidRDefault="00A43992" w:rsidP="007211E3">
            <w:pPr>
              <w:jc w:val="right"/>
              <w:rPr>
                <w:rFonts w:ascii="Arial" w:hAnsi="Arial" w:cs="Arial"/>
                <w:b/>
                <w:bCs/>
                <w:sz w:val="18"/>
                <w:szCs w:val="18"/>
              </w:rPr>
            </w:pPr>
            <w:r w:rsidRPr="00267088">
              <w:rPr>
                <w:rFonts w:ascii="Arial" w:hAnsi="Arial" w:cs="Arial"/>
                <w:b/>
                <w:bCs/>
                <w:sz w:val="18"/>
                <w:szCs w:val="18"/>
              </w:rPr>
              <w:t>1,881</w:t>
            </w:r>
          </w:p>
        </w:tc>
        <w:tc>
          <w:tcPr>
            <w:tcW w:w="1176" w:type="dxa"/>
            <w:tcBorders>
              <w:top w:val="nil"/>
              <w:left w:val="nil"/>
              <w:bottom w:val="nil"/>
              <w:right w:val="nil"/>
            </w:tcBorders>
            <w:shd w:val="clear" w:color="FFFFFF" w:fill="FFFFFF"/>
            <w:noWrap/>
            <w:vAlign w:val="bottom"/>
            <w:hideMark/>
          </w:tcPr>
          <w:p w14:paraId="0B2E26C1" w14:textId="77777777" w:rsidR="00A43992" w:rsidRDefault="00A43992" w:rsidP="007211E3">
            <w:pPr>
              <w:jc w:val="right"/>
              <w:rPr>
                <w:rFonts w:ascii="Arial" w:hAnsi="Arial" w:cs="Arial"/>
                <w:sz w:val="18"/>
                <w:szCs w:val="18"/>
              </w:rPr>
            </w:pPr>
            <w:r>
              <w:rPr>
                <w:rFonts w:ascii="Arial" w:hAnsi="Arial" w:cs="Arial"/>
                <w:sz w:val="18"/>
                <w:szCs w:val="18"/>
              </w:rPr>
              <w:t xml:space="preserve"> -</w:t>
            </w:r>
          </w:p>
        </w:tc>
        <w:tc>
          <w:tcPr>
            <w:tcW w:w="272" w:type="dxa"/>
            <w:tcBorders>
              <w:top w:val="nil"/>
              <w:left w:val="nil"/>
              <w:bottom w:val="nil"/>
              <w:right w:val="nil"/>
            </w:tcBorders>
            <w:shd w:val="clear" w:color="FFFFFF" w:fill="FFFFFF"/>
            <w:noWrap/>
            <w:vAlign w:val="bottom"/>
            <w:hideMark/>
          </w:tcPr>
          <w:p w14:paraId="04917815" w14:textId="77777777" w:rsidR="00A43992" w:rsidRDefault="00A43992" w:rsidP="007211E3">
            <w:pPr>
              <w:jc w:val="right"/>
              <w:rPr>
                <w:rFonts w:ascii="Arial" w:hAnsi="Arial" w:cs="Arial"/>
                <w:sz w:val="18"/>
                <w:szCs w:val="18"/>
              </w:rPr>
            </w:pPr>
            <w:r>
              <w:rPr>
                <w:rFonts w:ascii="Arial" w:hAnsi="Arial" w:cs="Arial"/>
                <w:sz w:val="18"/>
                <w:szCs w:val="18"/>
              </w:rPr>
              <w:t> </w:t>
            </w:r>
          </w:p>
        </w:tc>
        <w:tc>
          <w:tcPr>
            <w:tcW w:w="1176" w:type="dxa"/>
            <w:tcBorders>
              <w:top w:val="nil"/>
              <w:left w:val="nil"/>
              <w:bottom w:val="nil"/>
              <w:right w:val="nil"/>
            </w:tcBorders>
            <w:shd w:val="clear" w:color="FFFFFF" w:fill="FFFFFF"/>
            <w:noWrap/>
            <w:vAlign w:val="bottom"/>
            <w:hideMark/>
          </w:tcPr>
          <w:p w14:paraId="5BB8796C" w14:textId="77777777" w:rsidR="00A43992" w:rsidRDefault="00A43992" w:rsidP="007211E3">
            <w:pPr>
              <w:jc w:val="right"/>
              <w:rPr>
                <w:rFonts w:ascii="Arial" w:hAnsi="Arial" w:cs="Arial"/>
                <w:sz w:val="18"/>
                <w:szCs w:val="18"/>
              </w:rPr>
            </w:pPr>
            <w:r>
              <w:rPr>
                <w:rFonts w:ascii="Arial" w:hAnsi="Arial" w:cs="Arial"/>
                <w:sz w:val="18"/>
                <w:szCs w:val="18"/>
              </w:rPr>
              <w:t xml:space="preserve"> -</w:t>
            </w:r>
          </w:p>
        </w:tc>
      </w:tr>
      <w:tr w:rsidR="00A43992" w14:paraId="3744C416" w14:textId="77777777" w:rsidTr="007211E3">
        <w:trPr>
          <w:trHeight w:val="255"/>
        </w:trPr>
        <w:tc>
          <w:tcPr>
            <w:tcW w:w="4316" w:type="dxa"/>
            <w:tcBorders>
              <w:top w:val="single" w:sz="4" w:space="0" w:color="auto"/>
              <w:left w:val="nil"/>
              <w:bottom w:val="single" w:sz="4" w:space="0" w:color="auto"/>
              <w:right w:val="nil"/>
            </w:tcBorders>
            <w:shd w:val="clear" w:color="FFFFFF" w:fill="FFFFFF"/>
            <w:vAlign w:val="bottom"/>
            <w:hideMark/>
          </w:tcPr>
          <w:p w14:paraId="3FD333F0" w14:textId="77777777" w:rsidR="00A43992" w:rsidRDefault="00A43992" w:rsidP="007211E3">
            <w:pPr>
              <w:rPr>
                <w:rFonts w:ascii="Arial" w:hAnsi="Arial" w:cs="Arial"/>
                <w:b/>
                <w:bCs/>
                <w:sz w:val="18"/>
                <w:szCs w:val="18"/>
              </w:rPr>
            </w:pPr>
            <w:r>
              <w:rPr>
                <w:rFonts w:ascii="Arial" w:hAnsi="Arial" w:cs="Arial"/>
                <w:b/>
                <w:bCs/>
                <w:sz w:val="18"/>
                <w:szCs w:val="18"/>
              </w:rPr>
              <w:t>Total comprehensive income/(loss)</w:t>
            </w:r>
          </w:p>
        </w:tc>
        <w:tc>
          <w:tcPr>
            <w:tcW w:w="1176" w:type="dxa"/>
            <w:tcBorders>
              <w:top w:val="single" w:sz="4" w:space="0" w:color="auto"/>
              <w:left w:val="nil"/>
              <w:bottom w:val="single" w:sz="4" w:space="0" w:color="auto"/>
              <w:right w:val="nil"/>
            </w:tcBorders>
            <w:shd w:val="clear" w:color="FFFFFF" w:fill="FFFFFF"/>
            <w:noWrap/>
            <w:vAlign w:val="bottom"/>
            <w:hideMark/>
          </w:tcPr>
          <w:p w14:paraId="247C4FA3" w14:textId="77777777" w:rsidR="00A43992" w:rsidRPr="00267088" w:rsidRDefault="00A43992" w:rsidP="007211E3">
            <w:pPr>
              <w:jc w:val="right"/>
              <w:rPr>
                <w:rFonts w:ascii="Arial" w:hAnsi="Arial" w:cs="Arial"/>
                <w:b/>
                <w:bCs/>
                <w:sz w:val="18"/>
                <w:szCs w:val="18"/>
              </w:rPr>
            </w:pPr>
            <w:r w:rsidRPr="00267088">
              <w:rPr>
                <w:rFonts w:ascii="Arial" w:hAnsi="Arial" w:cs="Arial"/>
                <w:b/>
                <w:bCs/>
                <w:sz w:val="18"/>
                <w:szCs w:val="18"/>
              </w:rPr>
              <w:t>1,881</w:t>
            </w:r>
          </w:p>
        </w:tc>
        <w:tc>
          <w:tcPr>
            <w:tcW w:w="1176" w:type="dxa"/>
            <w:tcBorders>
              <w:top w:val="single" w:sz="4" w:space="0" w:color="auto"/>
              <w:left w:val="nil"/>
              <w:bottom w:val="single" w:sz="4" w:space="0" w:color="auto"/>
              <w:right w:val="nil"/>
            </w:tcBorders>
            <w:shd w:val="clear" w:color="FFFFFF" w:fill="FFFFFF"/>
            <w:noWrap/>
            <w:vAlign w:val="bottom"/>
            <w:hideMark/>
          </w:tcPr>
          <w:p w14:paraId="5007E4B3" w14:textId="77777777" w:rsidR="00A43992" w:rsidRDefault="00A43992" w:rsidP="007211E3">
            <w:pPr>
              <w:jc w:val="right"/>
              <w:rPr>
                <w:rFonts w:ascii="Arial" w:hAnsi="Arial" w:cs="Arial"/>
                <w:sz w:val="18"/>
                <w:szCs w:val="18"/>
              </w:rPr>
            </w:pPr>
            <w:r>
              <w:rPr>
                <w:rFonts w:ascii="Arial" w:hAnsi="Arial" w:cs="Arial"/>
                <w:sz w:val="18"/>
                <w:szCs w:val="18"/>
              </w:rPr>
              <w:t>-</w:t>
            </w:r>
          </w:p>
        </w:tc>
        <w:tc>
          <w:tcPr>
            <w:tcW w:w="272" w:type="dxa"/>
            <w:tcBorders>
              <w:top w:val="single" w:sz="4" w:space="0" w:color="auto"/>
              <w:left w:val="nil"/>
              <w:bottom w:val="single" w:sz="4" w:space="0" w:color="auto"/>
              <w:right w:val="nil"/>
            </w:tcBorders>
            <w:shd w:val="clear" w:color="FFFFFF" w:fill="FFFFFF"/>
            <w:noWrap/>
            <w:vAlign w:val="bottom"/>
            <w:hideMark/>
          </w:tcPr>
          <w:p w14:paraId="59DD819D" w14:textId="77777777" w:rsidR="00A43992" w:rsidRDefault="00A43992" w:rsidP="007211E3">
            <w:pPr>
              <w:jc w:val="right"/>
              <w:rPr>
                <w:rFonts w:ascii="Arial" w:hAnsi="Arial" w:cs="Arial"/>
                <w:sz w:val="18"/>
                <w:szCs w:val="18"/>
              </w:rPr>
            </w:pPr>
            <w:r>
              <w:rPr>
                <w:rFonts w:ascii="Arial" w:hAnsi="Arial" w:cs="Arial"/>
                <w:sz w:val="18"/>
                <w:szCs w:val="18"/>
              </w:rPr>
              <w:t> </w:t>
            </w:r>
          </w:p>
        </w:tc>
        <w:tc>
          <w:tcPr>
            <w:tcW w:w="1176" w:type="dxa"/>
            <w:tcBorders>
              <w:top w:val="single" w:sz="4" w:space="0" w:color="auto"/>
              <w:left w:val="nil"/>
              <w:bottom w:val="single" w:sz="4" w:space="0" w:color="auto"/>
              <w:right w:val="nil"/>
            </w:tcBorders>
            <w:shd w:val="clear" w:color="FFFFFF" w:fill="FFFFFF"/>
            <w:noWrap/>
            <w:vAlign w:val="bottom"/>
            <w:hideMark/>
          </w:tcPr>
          <w:p w14:paraId="21C25507" w14:textId="77777777" w:rsidR="00A43992" w:rsidRPr="00EE4FBB" w:rsidRDefault="00A43992" w:rsidP="007211E3">
            <w:pPr>
              <w:jc w:val="right"/>
              <w:rPr>
                <w:rFonts w:ascii="Arial" w:hAnsi="Arial" w:cs="Arial"/>
                <w:bCs/>
                <w:sz w:val="18"/>
                <w:szCs w:val="18"/>
              </w:rPr>
            </w:pPr>
            <w:r w:rsidRPr="00EE4FBB">
              <w:rPr>
                <w:rFonts w:ascii="Arial" w:hAnsi="Arial" w:cs="Arial"/>
                <w:bCs/>
                <w:sz w:val="18"/>
                <w:szCs w:val="18"/>
              </w:rPr>
              <w:t>-</w:t>
            </w:r>
          </w:p>
        </w:tc>
      </w:tr>
      <w:tr w:rsidR="00A43992" w14:paraId="79E33105" w14:textId="77777777" w:rsidTr="007211E3">
        <w:trPr>
          <w:trHeight w:val="255"/>
        </w:trPr>
        <w:tc>
          <w:tcPr>
            <w:tcW w:w="4316" w:type="dxa"/>
            <w:tcBorders>
              <w:top w:val="nil"/>
              <w:left w:val="nil"/>
              <w:bottom w:val="nil"/>
              <w:right w:val="nil"/>
            </w:tcBorders>
            <w:shd w:val="clear" w:color="FFFFFF" w:fill="FFFFFF"/>
            <w:vAlign w:val="bottom"/>
            <w:hideMark/>
          </w:tcPr>
          <w:p w14:paraId="642351F6" w14:textId="77777777" w:rsidR="00A43992" w:rsidRDefault="00A43992" w:rsidP="007211E3">
            <w:pPr>
              <w:rPr>
                <w:rFonts w:ascii="Arial" w:hAnsi="Arial" w:cs="Arial"/>
                <w:b/>
                <w:bCs/>
                <w:sz w:val="18"/>
                <w:szCs w:val="18"/>
              </w:rPr>
            </w:pPr>
            <w:r>
              <w:rPr>
                <w:rFonts w:ascii="Arial" w:hAnsi="Arial" w:cs="Arial"/>
                <w:b/>
                <w:bCs/>
                <w:sz w:val="18"/>
                <w:szCs w:val="18"/>
              </w:rPr>
              <w:lastRenderedPageBreak/>
              <w:t> </w:t>
            </w:r>
          </w:p>
        </w:tc>
        <w:tc>
          <w:tcPr>
            <w:tcW w:w="1176" w:type="dxa"/>
            <w:tcBorders>
              <w:top w:val="nil"/>
              <w:left w:val="nil"/>
              <w:bottom w:val="nil"/>
              <w:right w:val="nil"/>
            </w:tcBorders>
            <w:shd w:val="clear" w:color="FFFFFF" w:fill="FFFFFF"/>
            <w:noWrap/>
            <w:vAlign w:val="bottom"/>
            <w:hideMark/>
          </w:tcPr>
          <w:p w14:paraId="3A0C3FA1" w14:textId="77777777" w:rsidR="00A43992" w:rsidRPr="00267088" w:rsidRDefault="00A43992" w:rsidP="007211E3">
            <w:pPr>
              <w:jc w:val="right"/>
              <w:rPr>
                <w:rFonts w:ascii="Arial" w:hAnsi="Arial" w:cs="Arial"/>
                <w:b/>
                <w:bCs/>
                <w:sz w:val="18"/>
                <w:szCs w:val="18"/>
              </w:rPr>
            </w:pPr>
            <w:r w:rsidRPr="00267088">
              <w:rPr>
                <w:rFonts w:ascii="Arial" w:hAnsi="Arial" w:cs="Arial"/>
                <w:b/>
                <w:bCs/>
                <w:sz w:val="18"/>
                <w:szCs w:val="18"/>
              </w:rPr>
              <w:t> </w:t>
            </w:r>
          </w:p>
        </w:tc>
        <w:tc>
          <w:tcPr>
            <w:tcW w:w="1176" w:type="dxa"/>
            <w:tcBorders>
              <w:top w:val="nil"/>
              <w:left w:val="nil"/>
              <w:bottom w:val="nil"/>
              <w:right w:val="nil"/>
            </w:tcBorders>
            <w:shd w:val="clear" w:color="FFFFFF" w:fill="FFFFFF"/>
            <w:noWrap/>
            <w:vAlign w:val="bottom"/>
            <w:hideMark/>
          </w:tcPr>
          <w:p w14:paraId="02F1E799" w14:textId="77777777" w:rsidR="00A43992" w:rsidRDefault="00A43992" w:rsidP="007211E3">
            <w:pPr>
              <w:jc w:val="right"/>
              <w:rPr>
                <w:rFonts w:ascii="Arial" w:hAnsi="Arial" w:cs="Arial"/>
                <w:sz w:val="18"/>
                <w:szCs w:val="18"/>
              </w:rPr>
            </w:pPr>
            <w:r>
              <w:rPr>
                <w:rFonts w:ascii="Arial" w:hAnsi="Arial" w:cs="Arial"/>
                <w:sz w:val="18"/>
                <w:szCs w:val="18"/>
              </w:rPr>
              <w:t> </w:t>
            </w:r>
          </w:p>
        </w:tc>
        <w:tc>
          <w:tcPr>
            <w:tcW w:w="272" w:type="dxa"/>
            <w:tcBorders>
              <w:top w:val="nil"/>
              <w:left w:val="nil"/>
              <w:bottom w:val="nil"/>
              <w:right w:val="nil"/>
            </w:tcBorders>
            <w:shd w:val="clear" w:color="FFFFFF" w:fill="FFFFFF"/>
            <w:noWrap/>
            <w:vAlign w:val="bottom"/>
            <w:hideMark/>
          </w:tcPr>
          <w:p w14:paraId="154E7F79" w14:textId="77777777" w:rsidR="00A43992" w:rsidRDefault="00A43992" w:rsidP="007211E3">
            <w:pPr>
              <w:jc w:val="right"/>
              <w:rPr>
                <w:rFonts w:ascii="Arial" w:hAnsi="Arial" w:cs="Arial"/>
                <w:sz w:val="18"/>
                <w:szCs w:val="18"/>
              </w:rPr>
            </w:pPr>
            <w:r>
              <w:rPr>
                <w:rFonts w:ascii="Arial" w:hAnsi="Arial" w:cs="Arial"/>
                <w:sz w:val="18"/>
                <w:szCs w:val="18"/>
              </w:rPr>
              <w:t> </w:t>
            </w:r>
          </w:p>
        </w:tc>
        <w:tc>
          <w:tcPr>
            <w:tcW w:w="1176" w:type="dxa"/>
            <w:tcBorders>
              <w:top w:val="nil"/>
              <w:left w:val="nil"/>
              <w:bottom w:val="nil"/>
              <w:right w:val="nil"/>
            </w:tcBorders>
            <w:shd w:val="clear" w:color="FFFFFF" w:fill="FFFFFF"/>
            <w:noWrap/>
            <w:vAlign w:val="bottom"/>
            <w:hideMark/>
          </w:tcPr>
          <w:p w14:paraId="7F7D02D9" w14:textId="77777777" w:rsidR="00A43992" w:rsidRPr="00EE4FBB" w:rsidRDefault="00A43992" w:rsidP="007211E3">
            <w:pPr>
              <w:jc w:val="right"/>
              <w:rPr>
                <w:rFonts w:ascii="Arial" w:hAnsi="Arial" w:cs="Arial"/>
                <w:bCs/>
                <w:sz w:val="18"/>
                <w:szCs w:val="18"/>
              </w:rPr>
            </w:pPr>
            <w:r>
              <w:rPr>
                <w:rFonts w:ascii="Arial" w:hAnsi="Arial" w:cs="Arial"/>
                <w:b/>
                <w:bCs/>
                <w:sz w:val="18"/>
                <w:szCs w:val="18"/>
              </w:rPr>
              <w:t> </w:t>
            </w:r>
          </w:p>
        </w:tc>
      </w:tr>
      <w:tr w:rsidR="00A43992" w14:paraId="1CEDCE65" w14:textId="77777777" w:rsidTr="007211E3">
        <w:trPr>
          <w:trHeight w:val="255"/>
        </w:trPr>
        <w:tc>
          <w:tcPr>
            <w:tcW w:w="4316" w:type="dxa"/>
            <w:tcBorders>
              <w:top w:val="single" w:sz="4" w:space="0" w:color="auto"/>
              <w:left w:val="nil"/>
              <w:bottom w:val="single" w:sz="4" w:space="0" w:color="auto"/>
              <w:right w:val="nil"/>
            </w:tcBorders>
            <w:shd w:val="clear" w:color="FFFFFF" w:fill="FFFFFF"/>
            <w:vAlign w:val="bottom"/>
            <w:hideMark/>
          </w:tcPr>
          <w:p w14:paraId="1BDC8621" w14:textId="77777777" w:rsidR="00A43992" w:rsidRDefault="00A43992" w:rsidP="007211E3">
            <w:pPr>
              <w:rPr>
                <w:rFonts w:ascii="Arial" w:hAnsi="Arial" w:cs="Arial"/>
                <w:b/>
                <w:bCs/>
                <w:sz w:val="18"/>
                <w:szCs w:val="18"/>
              </w:rPr>
            </w:pPr>
            <w:r>
              <w:rPr>
                <w:rFonts w:ascii="Arial" w:hAnsi="Arial" w:cs="Arial"/>
                <w:b/>
                <w:bCs/>
                <w:sz w:val="18"/>
                <w:szCs w:val="18"/>
              </w:rPr>
              <w:t>Closing balance</w:t>
            </w:r>
          </w:p>
        </w:tc>
        <w:tc>
          <w:tcPr>
            <w:tcW w:w="1176" w:type="dxa"/>
            <w:tcBorders>
              <w:top w:val="single" w:sz="4" w:space="0" w:color="auto"/>
              <w:left w:val="nil"/>
              <w:bottom w:val="single" w:sz="4" w:space="0" w:color="auto"/>
              <w:right w:val="nil"/>
            </w:tcBorders>
            <w:shd w:val="clear" w:color="FFFFFF" w:fill="FFFFFF"/>
            <w:noWrap/>
            <w:vAlign w:val="bottom"/>
            <w:hideMark/>
          </w:tcPr>
          <w:p w14:paraId="76125675" w14:textId="77777777" w:rsidR="00A43992" w:rsidRPr="00267088" w:rsidRDefault="00A43992" w:rsidP="007211E3">
            <w:pPr>
              <w:jc w:val="right"/>
              <w:rPr>
                <w:rFonts w:ascii="Arial" w:hAnsi="Arial" w:cs="Arial"/>
                <w:b/>
                <w:bCs/>
                <w:sz w:val="18"/>
                <w:szCs w:val="18"/>
              </w:rPr>
            </w:pPr>
            <w:r w:rsidRPr="00267088">
              <w:rPr>
                <w:rFonts w:ascii="Arial" w:hAnsi="Arial" w:cs="Arial"/>
                <w:b/>
                <w:bCs/>
                <w:sz w:val="18"/>
                <w:szCs w:val="18"/>
              </w:rPr>
              <w:t>1,881</w:t>
            </w:r>
          </w:p>
        </w:tc>
        <w:tc>
          <w:tcPr>
            <w:tcW w:w="1176" w:type="dxa"/>
            <w:tcBorders>
              <w:top w:val="single" w:sz="4" w:space="0" w:color="auto"/>
              <w:left w:val="nil"/>
              <w:bottom w:val="single" w:sz="4" w:space="0" w:color="auto"/>
              <w:right w:val="nil"/>
            </w:tcBorders>
            <w:shd w:val="clear" w:color="FFFFFF" w:fill="FFFFFF"/>
            <w:noWrap/>
            <w:vAlign w:val="bottom"/>
            <w:hideMark/>
          </w:tcPr>
          <w:p w14:paraId="388BC8BB" w14:textId="77777777" w:rsidR="00A43992" w:rsidRDefault="00A43992" w:rsidP="007211E3">
            <w:pPr>
              <w:jc w:val="right"/>
              <w:rPr>
                <w:rFonts w:ascii="Arial" w:hAnsi="Arial" w:cs="Arial"/>
                <w:sz w:val="18"/>
                <w:szCs w:val="18"/>
              </w:rPr>
            </w:pPr>
            <w:r>
              <w:rPr>
                <w:rFonts w:ascii="Arial" w:hAnsi="Arial" w:cs="Arial"/>
                <w:sz w:val="18"/>
                <w:szCs w:val="18"/>
              </w:rPr>
              <w:t>-</w:t>
            </w:r>
          </w:p>
        </w:tc>
        <w:tc>
          <w:tcPr>
            <w:tcW w:w="272" w:type="dxa"/>
            <w:tcBorders>
              <w:top w:val="single" w:sz="4" w:space="0" w:color="auto"/>
              <w:left w:val="nil"/>
              <w:bottom w:val="single" w:sz="4" w:space="0" w:color="auto"/>
              <w:right w:val="nil"/>
            </w:tcBorders>
            <w:shd w:val="clear" w:color="FFFFFF" w:fill="FFFFFF"/>
            <w:noWrap/>
            <w:vAlign w:val="bottom"/>
            <w:hideMark/>
          </w:tcPr>
          <w:p w14:paraId="65A07C15" w14:textId="77777777" w:rsidR="00A43992" w:rsidRDefault="00A43992" w:rsidP="007211E3">
            <w:pPr>
              <w:jc w:val="right"/>
              <w:rPr>
                <w:rFonts w:ascii="Arial" w:hAnsi="Arial" w:cs="Arial"/>
                <w:sz w:val="18"/>
                <w:szCs w:val="18"/>
              </w:rPr>
            </w:pPr>
            <w:r>
              <w:rPr>
                <w:rFonts w:ascii="Arial" w:hAnsi="Arial" w:cs="Arial"/>
                <w:sz w:val="18"/>
                <w:szCs w:val="18"/>
              </w:rPr>
              <w:t> </w:t>
            </w:r>
          </w:p>
        </w:tc>
        <w:tc>
          <w:tcPr>
            <w:tcW w:w="1176" w:type="dxa"/>
            <w:tcBorders>
              <w:top w:val="single" w:sz="4" w:space="0" w:color="auto"/>
              <w:left w:val="nil"/>
              <w:bottom w:val="single" w:sz="4" w:space="0" w:color="auto"/>
              <w:right w:val="nil"/>
            </w:tcBorders>
            <w:shd w:val="clear" w:color="FFFFFF" w:fill="FFFFFF"/>
            <w:noWrap/>
            <w:vAlign w:val="bottom"/>
            <w:hideMark/>
          </w:tcPr>
          <w:p w14:paraId="58C51CC6" w14:textId="77777777" w:rsidR="00A43992" w:rsidRDefault="00A43992" w:rsidP="007211E3">
            <w:pPr>
              <w:jc w:val="right"/>
              <w:rPr>
                <w:rFonts w:ascii="Arial" w:hAnsi="Arial" w:cs="Arial"/>
                <w:sz w:val="18"/>
                <w:szCs w:val="18"/>
              </w:rPr>
            </w:pPr>
            <w:r>
              <w:rPr>
                <w:rFonts w:ascii="Arial" w:hAnsi="Arial" w:cs="Arial"/>
                <w:sz w:val="18"/>
                <w:szCs w:val="18"/>
              </w:rPr>
              <w:t>-</w:t>
            </w:r>
          </w:p>
        </w:tc>
      </w:tr>
      <w:tr w:rsidR="00A43992" w14:paraId="1FC92F7D" w14:textId="77777777" w:rsidTr="007211E3">
        <w:trPr>
          <w:trHeight w:val="255"/>
        </w:trPr>
        <w:tc>
          <w:tcPr>
            <w:tcW w:w="4316" w:type="dxa"/>
            <w:tcBorders>
              <w:top w:val="nil"/>
              <w:left w:val="nil"/>
              <w:bottom w:val="nil"/>
              <w:right w:val="nil"/>
            </w:tcBorders>
            <w:shd w:val="clear" w:color="auto" w:fill="auto"/>
            <w:noWrap/>
            <w:vAlign w:val="bottom"/>
            <w:hideMark/>
          </w:tcPr>
          <w:p w14:paraId="6A13B2D5" w14:textId="77777777" w:rsidR="00A43992" w:rsidRDefault="00A43992" w:rsidP="007211E3">
            <w:pPr>
              <w:jc w:val="right"/>
              <w:rPr>
                <w:rFonts w:ascii="Arial" w:hAnsi="Arial" w:cs="Arial"/>
                <w:sz w:val="18"/>
                <w:szCs w:val="18"/>
              </w:rPr>
            </w:pPr>
          </w:p>
        </w:tc>
        <w:tc>
          <w:tcPr>
            <w:tcW w:w="1176" w:type="dxa"/>
            <w:tcBorders>
              <w:top w:val="nil"/>
              <w:left w:val="nil"/>
              <w:bottom w:val="nil"/>
              <w:right w:val="nil"/>
            </w:tcBorders>
            <w:shd w:val="clear" w:color="auto" w:fill="auto"/>
            <w:noWrap/>
            <w:vAlign w:val="bottom"/>
            <w:hideMark/>
          </w:tcPr>
          <w:p w14:paraId="10C093C9" w14:textId="77777777" w:rsidR="00A43992" w:rsidRPr="00267088" w:rsidRDefault="00A43992" w:rsidP="007211E3"/>
        </w:tc>
        <w:tc>
          <w:tcPr>
            <w:tcW w:w="1176" w:type="dxa"/>
            <w:tcBorders>
              <w:top w:val="nil"/>
              <w:left w:val="nil"/>
              <w:bottom w:val="nil"/>
              <w:right w:val="nil"/>
            </w:tcBorders>
            <w:shd w:val="clear" w:color="auto" w:fill="auto"/>
            <w:noWrap/>
            <w:vAlign w:val="bottom"/>
            <w:hideMark/>
          </w:tcPr>
          <w:p w14:paraId="46F249E8" w14:textId="77777777" w:rsidR="00A43992" w:rsidRDefault="00A43992" w:rsidP="007211E3"/>
        </w:tc>
        <w:tc>
          <w:tcPr>
            <w:tcW w:w="272" w:type="dxa"/>
            <w:tcBorders>
              <w:top w:val="nil"/>
              <w:left w:val="nil"/>
              <w:bottom w:val="nil"/>
              <w:right w:val="nil"/>
            </w:tcBorders>
            <w:shd w:val="clear" w:color="auto" w:fill="auto"/>
            <w:noWrap/>
            <w:vAlign w:val="bottom"/>
            <w:hideMark/>
          </w:tcPr>
          <w:p w14:paraId="580A127C" w14:textId="77777777" w:rsidR="00A43992" w:rsidRDefault="00A43992" w:rsidP="007211E3"/>
        </w:tc>
        <w:tc>
          <w:tcPr>
            <w:tcW w:w="1176" w:type="dxa"/>
            <w:tcBorders>
              <w:top w:val="nil"/>
              <w:left w:val="nil"/>
              <w:bottom w:val="nil"/>
              <w:right w:val="nil"/>
            </w:tcBorders>
            <w:shd w:val="clear" w:color="auto" w:fill="auto"/>
            <w:noWrap/>
            <w:vAlign w:val="bottom"/>
            <w:hideMark/>
          </w:tcPr>
          <w:p w14:paraId="15740AA6" w14:textId="77777777" w:rsidR="00A43992" w:rsidRDefault="00A43992" w:rsidP="007211E3"/>
        </w:tc>
      </w:tr>
      <w:tr w:rsidR="00A43992" w14:paraId="3044BBCE" w14:textId="77777777" w:rsidTr="007211E3">
        <w:trPr>
          <w:trHeight w:val="255"/>
        </w:trPr>
        <w:tc>
          <w:tcPr>
            <w:tcW w:w="4316" w:type="dxa"/>
            <w:tcBorders>
              <w:top w:val="nil"/>
              <w:left w:val="nil"/>
              <w:bottom w:val="nil"/>
              <w:right w:val="nil"/>
            </w:tcBorders>
            <w:shd w:val="clear" w:color="FFFFFF" w:fill="FFFFFF"/>
            <w:vAlign w:val="bottom"/>
            <w:hideMark/>
          </w:tcPr>
          <w:p w14:paraId="042F9632" w14:textId="77777777" w:rsidR="00A43992" w:rsidRDefault="00A43992" w:rsidP="007211E3">
            <w:pPr>
              <w:rPr>
                <w:rFonts w:ascii="Arial" w:hAnsi="Arial" w:cs="Arial"/>
                <w:b/>
                <w:bCs/>
                <w:sz w:val="18"/>
                <w:szCs w:val="18"/>
              </w:rPr>
            </w:pPr>
            <w:r>
              <w:rPr>
                <w:rFonts w:ascii="Arial" w:hAnsi="Arial" w:cs="Arial"/>
                <w:b/>
                <w:bCs/>
                <w:sz w:val="18"/>
                <w:szCs w:val="18"/>
              </w:rPr>
              <w:t>TOTAL EQUITY</w:t>
            </w:r>
          </w:p>
        </w:tc>
        <w:tc>
          <w:tcPr>
            <w:tcW w:w="1176" w:type="dxa"/>
            <w:tcBorders>
              <w:top w:val="nil"/>
              <w:left w:val="nil"/>
              <w:bottom w:val="nil"/>
              <w:right w:val="nil"/>
            </w:tcBorders>
            <w:shd w:val="clear" w:color="auto" w:fill="auto"/>
            <w:noWrap/>
            <w:vAlign w:val="bottom"/>
            <w:hideMark/>
          </w:tcPr>
          <w:p w14:paraId="30A1B017" w14:textId="77777777" w:rsidR="00A43992" w:rsidRPr="00267088" w:rsidRDefault="00A43992" w:rsidP="007211E3">
            <w:pPr>
              <w:rPr>
                <w:rFonts w:ascii="Arial" w:hAnsi="Arial" w:cs="Arial"/>
                <w:b/>
                <w:bCs/>
                <w:sz w:val="18"/>
                <w:szCs w:val="18"/>
              </w:rPr>
            </w:pPr>
          </w:p>
        </w:tc>
        <w:tc>
          <w:tcPr>
            <w:tcW w:w="1176" w:type="dxa"/>
            <w:tcBorders>
              <w:top w:val="nil"/>
              <w:left w:val="nil"/>
              <w:bottom w:val="nil"/>
              <w:right w:val="nil"/>
            </w:tcBorders>
            <w:shd w:val="clear" w:color="auto" w:fill="auto"/>
            <w:noWrap/>
            <w:vAlign w:val="bottom"/>
            <w:hideMark/>
          </w:tcPr>
          <w:p w14:paraId="45ED3779" w14:textId="77777777" w:rsidR="00A43992" w:rsidRDefault="00A43992" w:rsidP="007211E3"/>
        </w:tc>
        <w:tc>
          <w:tcPr>
            <w:tcW w:w="272" w:type="dxa"/>
            <w:tcBorders>
              <w:top w:val="nil"/>
              <w:left w:val="nil"/>
              <w:bottom w:val="nil"/>
              <w:right w:val="nil"/>
            </w:tcBorders>
            <w:shd w:val="clear" w:color="auto" w:fill="auto"/>
            <w:noWrap/>
            <w:vAlign w:val="bottom"/>
            <w:hideMark/>
          </w:tcPr>
          <w:p w14:paraId="387603FC" w14:textId="77777777" w:rsidR="00A43992" w:rsidRDefault="00A43992" w:rsidP="007211E3"/>
        </w:tc>
        <w:tc>
          <w:tcPr>
            <w:tcW w:w="1176" w:type="dxa"/>
            <w:tcBorders>
              <w:top w:val="nil"/>
              <w:left w:val="nil"/>
              <w:bottom w:val="nil"/>
              <w:right w:val="nil"/>
            </w:tcBorders>
            <w:shd w:val="clear" w:color="auto" w:fill="auto"/>
            <w:noWrap/>
            <w:vAlign w:val="bottom"/>
            <w:hideMark/>
          </w:tcPr>
          <w:p w14:paraId="2283AB06" w14:textId="77777777" w:rsidR="00A43992" w:rsidRDefault="00A43992" w:rsidP="007211E3"/>
        </w:tc>
      </w:tr>
      <w:tr w:rsidR="00A43992" w14:paraId="39411724" w14:textId="77777777" w:rsidTr="007211E3">
        <w:trPr>
          <w:trHeight w:val="240"/>
        </w:trPr>
        <w:tc>
          <w:tcPr>
            <w:tcW w:w="4316" w:type="dxa"/>
            <w:tcBorders>
              <w:top w:val="nil"/>
              <w:left w:val="nil"/>
              <w:bottom w:val="nil"/>
              <w:right w:val="nil"/>
            </w:tcBorders>
            <w:shd w:val="clear" w:color="FFFFFF" w:fill="FFFFFF"/>
            <w:vAlign w:val="bottom"/>
            <w:hideMark/>
          </w:tcPr>
          <w:p w14:paraId="57E59145" w14:textId="77777777" w:rsidR="00A43992" w:rsidRDefault="00A43992" w:rsidP="007211E3">
            <w:pPr>
              <w:rPr>
                <w:rFonts w:ascii="Arial" w:hAnsi="Arial" w:cs="Arial"/>
                <w:b/>
                <w:bCs/>
                <w:sz w:val="18"/>
                <w:szCs w:val="18"/>
              </w:rPr>
            </w:pPr>
            <w:r>
              <w:rPr>
                <w:rFonts w:ascii="Arial" w:hAnsi="Arial" w:cs="Arial"/>
                <w:b/>
                <w:bCs/>
                <w:sz w:val="18"/>
                <w:szCs w:val="18"/>
              </w:rPr>
              <w:t>Opening balance</w:t>
            </w:r>
          </w:p>
        </w:tc>
        <w:tc>
          <w:tcPr>
            <w:tcW w:w="1176" w:type="dxa"/>
            <w:tcBorders>
              <w:top w:val="nil"/>
              <w:left w:val="nil"/>
              <w:bottom w:val="nil"/>
              <w:right w:val="nil"/>
            </w:tcBorders>
            <w:shd w:val="clear" w:color="FFFFFF" w:fill="FFFFFF"/>
            <w:noWrap/>
            <w:vAlign w:val="bottom"/>
            <w:hideMark/>
          </w:tcPr>
          <w:p w14:paraId="1D02F031" w14:textId="77777777" w:rsidR="00A43992" w:rsidRPr="00267088" w:rsidRDefault="00A43992" w:rsidP="007211E3">
            <w:pPr>
              <w:jc w:val="right"/>
              <w:rPr>
                <w:rFonts w:ascii="Arial" w:hAnsi="Arial" w:cs="Arial"/>
                <w:b/>
                <w:bCs/>
                <w:sz w:val="18"/>
                <w:szCs w:val="18"/>
              </w:rPr>
            </w:pPr>
            <w:r w:rsidRPr="00267088">
              <w:rPr>
                <w:rFonts w:ascii="Arial" w:hAnsi="Arial" w:cs="Arial"/>
                <w:b/>
                <w:bCs/>
                <w:sz w:val="18"/>
                <w:szCs w:val="18"/>
              </w:rPr>
              <w:t>50,167</w:t>
            </w:r>
          </w:p>
        </w:tc>
        <w:tc>
          <w:tcPr>
            <w:tcW w:w="1176" w:type="dxa"/>
            <w:tcBorders>
              <w:top w:val="nil"/>
              <w:left w:val="nil"/>
              <w:bottom w:val="nil"/>
              <w:right w:val="nil"/>
            </w:tcBorders>
            <w:shd w:val="clear" w:color="FFFFFF" w:fill="FFFFFF"/>
            <w:noWrap/>
            <w:vAlign w:val="bottom"/>
            <w:hideMark/>
          </w:tcPr>
          <w:p w14:paraId="14C53F67" w14:textId="77777777" w:rsidR="00A43992" w:rsidRDefault="00A43992" w:rsidP="007211E3">
            <w:pPr>
              <w:jc w:val="right"/>
              <w:rPr>
                <w:rFonts w:ascii="Arial" w:hAnsi="Arial" w:cs="Arial"/>
                <w:sz w:val="18"/>
                <w:szCs w:val="18"/>
              </w:rPr>
            </w:pPr>
            <w:r>
              <w:rPr>
                <w:rFonts w:ascii="Arial" w:hAnsi="Arial" w:cs="Arial"/>
                <w:sz w:val="18"/>
                <w:szCs w:val="18"/>
              </w:rPr>
              <w:t>56,668</w:t>
            </w:r>
          </w:p>
        </w:tc>
        <w:tc>
          <w:tcPr>
            <w:tcW w:w="272" w:type="dxa"/>
            <w:tcBorders>
              <w:top w:val="nil"/>
              <w:left w:val="nil"/>
              <w:bottom w:val="nil"/>
              <w:right w:val="nil"/>
            </w:tcBorders>
            <w:shd w:val="clear" w:color="FFFFFF" w:fill="FFFFFF"/>
            <w:noWrap/>
            <w:vAlign w:val="bottom"/>
            <w:hideMark/>
          </w:tcPr>
          <w:p w14:paraId="6E1DFD59" w14:textId="77777777" w:rsidR="00A43992" w:rsidRDefault="00A43992" w:rsidP="007211E3">
            <w:pPr>
              <w:jc w:val="right"/>
              <w:rPr>
                <w:rFonts w:ascii="Arial" w:hAnsi="Arial" w:cs="Arial"/>
                <w:sz w:val="18"/>
                <w:szCs w:val="18"/>
              </w:rPr>
            </w:pPr>
            <w:r>
              <w:rPr>
                <w:rFonts w:ascii="Arial" w:hAnsi="Arial" w:cs="Arial"/>
                <w:sz w:val="18"/>
                <w:szCs w:val="18"/>
              </w:rPr>
              <w:t> </w:t>
            </w:r>
          </w:p>
        </w:tc>
        <w:tc>
          <w:tcPr>
            <w:tcW w:w="1176" w:type="dxa"/>
            <w:tcBorders>
              <w:top w:val="nil"/>
              <w:left w:val="nil"/>
              <w:bottom w:val="nil"/>
              <w:right w:val="nil"/>
            </w:tcBorders>
            <w:shd w:val="clear" w:color="FFFFFF" w:fill="FFFFFF"/>
            <w:noWrap/>
            <w:vAlign w:val="bottom"/>
            <w:hideMark/>
          </w:tcPr>
          <w:p w14:paraId="0F8D429C" w14:textId="77777777" w:rsidR="00A43992" w:rsidRDefault="00A43992" w:rsidP="007211E3">
            <w:pPr>
              <w:jc w:val="right"/>
              <w:rPr>
                <w:rFonts w:ascii="Arial" w:hAnsi="Arial" w:cs="Arial"/>
                <w:sz w:val="18"/>
                <w:szCs w:val="18"/>
              </w:rPr>
            </w:pPr>
            <w:r>
              <w:rPr>
                <w:rFonts w:ascii="Arial" w:hAnsi="Arial" w:cs="Arial"/>
                <w:sz w:val="18"/>
                <w:szCs w:val="18"/>
              </w:rPr>
              <w:t>49,758</w:t>
            </w:r>
          </w:p>
        </w:tc>
      </w:tr>
      <w:tr w:rsidR="00A43992" w14:paraId="72245C7D" w14:textId="77777777" w:rsidTr="007211E3">
        <w:trPr>
          <w:trHeight w:val="255"/>
        </w:trPr>
        <w:tc>
          <w:tcPr>
            <w:tcW w:w="4316" w:type="dxa"/>
            <w:tcBorders>
              <w:top w:val="nil"/>
              <w:left w:val="nil"/>
              <w:bottom w:val="nil"/>
              <w:right w:val="nil"/>
            </w:tcBorders>
            <w:shd w:val="clear" w:color="FFFFFF" w:fill="FFFFFF"/>
            <w:vAlign w:val="bottom"/>
            <w:hideMark/>
          </w:tcPr>
          <w:p w14:paraId="112189F6" w14:textId="77777777" w:rsidR="00A43992" w:rsidRDefault="00A43992" w:rsidP="007211E3">
            <w:pPr>
              <w:rPr>
                <w:rFonts w:ascii="Arial" w:hAnsi="Arial" w:cs="Arial"/>
                <w:b/>
                <w:bCs/>
                <w:sz w:val="18"/>
                <w:szCs w:val="18"/>
              </w:rPr>
            </w:pPr>
            <w:r>
              <w:rPr>
                <w:rFonts w:ascii="Arial" w:hAnsi="Arial" w:cs="Arial"/>
                <w:b/>
                <w:bCs/>
                <w:sz w:val="18"/>
                <w:szCs w:val="18"/>
              </w:rPr>
              <w:t>Comprehensive income</w:t>
            </w:r>
          </w:p>
        </w:tc>
        <w:tc>
          <w:tcPr>
            <w:tcW w:w="1176" w:type="dxa"/>
            <w:tcBorders>
              <w:top w:val="nil"/>
              <w:left w:val="nil"/>
              <w:bottom w:val="nil"/>
              <w:right w:val="nil"/>
            </w:tcBorders>
            <w:shd w:val="clear" w:color="FFFFFF" w:fill="FFFFFF"/>
            <w:noWrap/>
            <w:vAlign w:val="bottom"/>
            <w:hideMark/>
          </w:tcPr>
          <w:p w14:paraId="4EB65997" w14:textId="77777777" w:rsidR="00A43992" w:rsidRPr="00267088" w:rsidRDefault="00A43992" w:rsidP="007211E3">
            <w:pPr>
              <w:rPr>
                <w:rFonts w:ascii="Arial" w:hAnsi="Arial" w:cs="Arial"/>
                <w:b/>
                <w:bCs/>
                <w:sz w:val="18"/>
                <w:szCs w:val="18"/>
              </w:rPr>
            </w:pPr>
            <w:r w:rsidRPr="00267088">
              <w:rPr>
                <w:rFonts w:ascii="Arial" w:hAnsi="Arial" w:cs="Arial"/>
                <w:b/>
                <w:bCs/>
                <w:sz w:val="18"/>
                <w:szCs w:val="18"/>
              </w:rPr>
              <w:t> </w:t>
            </w:r>
          </w:p>
        </w:tc>
        <w:tc>
          <w:tcPr>
            <w:tcW w:w="1176" w:type="dxa"/>
            <w:tcBorders>
              <w:top w:val="nil"/>
              <w:left w:val="nil"/>
              <w:bottom w:val="nil"/>
              <w:right w:val="nil"/>
            </w:tcBorders>
            <w:shd w:val="clear" w:color="FFFFFF" w:fill="FFFFFF"/>
            <w:noWrap/>
            <w:vAlign w:val="bottom"/>
            <w:hideMark/>
          </w:tcPr>
          <w:p w14:paraId="4497CAAD" w14:textId="77777777" w:rsidR="00A43992" w:rsidRDefault="00A43992" w:rsidP="007211E3">
            <w:pPr>
              <w:rPr>
                <w:rFonts w:ascii="Arial" w:hAnsi="Arial" w:cs="Arial"/>
                <w:sz w:val="18"/>
                <w:szCs w:val="18"/>
              </w:rPr>
            </w:pPr>
            <w:r>
              <w:rPr>
                <w:rFonts w:ascii="Arial" w:hAnsi="Arial" w:cs="Arial"/>
                <w:sz w:val="18"/>
                <w:szCs w:val="18"/>
              </w:rPr>
              <w:t> </w:t>
            </w:r>
          </w:p>
        </w:tc>
        <w:tc>
          <w:tcPr>
            <w:tcW w:w="272" w:type="dxa"/>
            <w:tcBorders>
              <w:top w:val="nil"/>
              <w:left w:val="nil"/>
              <w:bottom w:val="nil"/>
              <w:right w:val="nil"/>
            </w:tcBorders>
            <w:shd w:val="clear" w:color="FFFFFF" w:fill="FFFFFF"/>
            <w:noWrap/>
            <w:vAlign w:val="bottom"/>
            <w:hideMark/>
          </w:tcPr>
          <w:p w14:paraId="0E471A01" w14:textId="77777777" w:rsidR="00A43992" w:rsidRDefault="00A43992" w:rsidP="007211E3">
            <w:pPr>
              <w:rPr>
                <w:rFonts w:ascii="Arial" w:hAnsi="Arial" w:cs="Arial"/>
              </w:rPr>
            </w:pPr>
            <w:r>
              <w:rPr>
                <w:rFonts w:ascii="Arial" w:hAnsi="Arial" w:cs="Arial"/>
              </w:rPr>
              <w:t> </w:t>
            </w:r>
          </w:p>
        </w:tc>
        <w:tc>
          <w:tcPr>
            <w:tcW w:w="1176" w:type="dxa"/>
            <w:tcBorders>
              <w:top w:val="nil"/>
              <w:left w:val="nil"/>
              <w:bottom w:val="nil"/>
              <w:right w:val="nil"/>
            </w:tcBorders>
            <w:shd w:val="clear" w:color="FFFFFF" w:fill="FFFFFF"/>
            <w:noWrap/>
            <w:vAlign w:val="bottom"/>
            <w:hideMark/>
          </w:tcPr>
          <w:p w14:paraId="58BD52F5" w14:textId="77777777" w:rsidR="00A43992" w:rsidRDefault="00A43992" w:rsidP="007211E3">
            <w:pPr>
              <w:rPr>
                <w:rFonts w:ascii="Arial" w:hAnsi="Arial" w:cs="Arial"/>
                <w:sz w:val="18"/>
                <w:szCs w:val="18"/>
              </w:rPr>
            </w:pPr>
            <w:r>
              <w:rPr>
                <w:rFonts w:ascii="Arial" w:hAnsi="Arial" w:cs="Arial"/>
                <w:sz w:val="18"/>
                <w:szCs w:val="18"/>
              </w:rPr>
              <w:t> </w:t>
            </w:r>
          </w:p>
        </w:tc>
      </w:tr>
      <w:tr w:rsidR="00A43992" w14:paraId="447C3AF1" w14:textId="77777777" w:rsidTr="007211E3">
        <w:trPr>
          <w:trHeight w:val="255"/>
        </w:trPr>
        <w:tc>
          <w:tcPr>
            <w:tcW w:w="4316" w:type="dxa"/>
            <w:tcBorders>
              <w:top w:val="nil"/>
              <w:left w:val="nil"/>
              <w:bottom w:val="nil"/>
              <w:right w:val="nil"/>
            </w:tcBorders>
            <w:shd w:val="clear" w:color="FFFFFF" w:fill="FFFFFF"/>
            <w:vAlign w:val="bottom"/>
            <w:hideMark/>
          </w:tcPr>
          <w:p w14:paraId="77FD1F4B" w14:textId="77777777" w:rsidR="00A43992" w:rsidRDefault="00A43992" w:rsidP="007211E3">
            <w:pPr>
              <w:rPr>
                <w:rFonts w:ascii="Arial" w:hAnsi="Arial" w:cs="Arial"/>
                <w:sz w:val="18"/>
                <w:szCs w:val="18"/>
              </w:rPr>
            </w:pPr>
            <w:r>
              <w:rPr>
                <w:rFonts w:ascii="Arial" w:hAnsi="Arial" w:cs="Arial"/>
                <w:sz w:val="18"/>
                <w:szCs w:val="18"/>
              </w:rPr>
              <w:t>Surplus/(Deficit) for the period</w:t>
            </w:r>
          </w:p>
        </w:tc>
        <w:tc>
          <w:tcPr>
            <w:tcW w:w="1176" w:type="dxa"/>
            <w:tcBorders>
              <w:top w:val="nil"/>
              <w:left w:val="nil"/>
              <w:bottom w:val="nil"/>
              <w:right w:val="nil"/>
            </w:tcBorders>
            <w:shd w:val="clear" w:color="FFFFFF" w:fill="FFFFFF"/>
            <w:noWrap/>
            <w:vAlign w:val="bottom"/>
            <w:hideMark/>
          </w:tcPr>
          <w:p w14:paraId="44A67210" w14:textId="77777777" w:rsidR="00A43992" w:rsidRPr="00267088" w:rsidRDefault="00A43992" w:rsidP="007211E3">
            <w:pPr>
              <w:jc w:val="right"/>
              <w:rPr>
                <w:rFonts w:ascii="Arial" w:hAnsi="Arial" w:cs="Arial"/>
                <w:b/>
                <w:bCs/>
                <w:sz w:val="18"/>
                <w:szCs w:val="18"/>
              </w:rPr>
            </w:pPr>
            <w:r w:rsidRPr="00267088">
              <w:rPr>
                <w:rFonts w:ascii="Arial" w:hAnsi="Arial" w:cs="Arial"/>
                <w:b/>
                <w:bCs/>
                <w:sz w:val="18"/>
                <w:szCs w:val="18"/>
              </w:rPr>
              <w:t>15,782</w:t>
            </w:r>
          </w:p>
        </w:tc>
        <w:tc>
          <w:tcPr>
            <w:tcW w:w="1176" w:type="dxa"/>
            <w:tcBorders>
              <w:top w:val="nil"/>
              <w:left w:val="nil"/>
              <w:bottom w:val="nil"/>
              <w:right w:val="nil"/>
            </w:tcBorders>
            <w:shd w:val="clear" w:color="FFFFFF" w:fill="FFFFFF"/>
            <w:noWrap/>
            <w:vAlign w:val="bottom"/>
            <w:hideMark/>
          </w:tcPr>
          <w:p w14:paraId="4072A65B" w14:textId="77777777" w:rsidR="00A43992" w:rsidRDefault="00A43992" w:rsidP="007211E3">
            <w:pPr>
              <w:jc w:val="right"/>
              <w:rPr>
                <w:rFonts w:ascii="Arial" w:hAnsi="Arial" w:cs="Arial"/>
                <w:sz w:val="18"/>
                <w:szCs w:val="18"/>
              </w:rPr>
            </w:pPr>
            <w:r>
              <w:rPr>
                <w:rFonts w:ascii="Arial" w:hAnsi="Arial" w:cs="Arial"/>
                <w:sz w:val="18"/>
                <w:szCs w:val="18"/>
              </w:rPr>
              <w:t>409</w:t>
            </w:r>
          </w:p>
        </w:tc>
        <w:tc>
          <w:tcPr>
            <w:tcW w:w="272" w:type="dxa"/>
            <w:tcBorders>
              <w:top w:val="nil"/>
              <w:left w:val="nil"/>
              <w:bottom w:val="nil"/>
              <w:right w:val="nil"/>
            </w:tcBorders>
            <w:shd w:val="clear" w:color="FFFFFF" w:fill="FFFFFF"/>
            <w:noWrap/>
            <w:vAlign w:val="bottom"/>
            <w:hideMark/>
          </w:tcPr>
          <w:p w14:paraId="0964C309" w14:textId="77777777" w:rsidR="00A43992" w:rsidRDefault="00A43992" w:rsidP="007211E3">
            <w:pPr>
              <w:jc w:val="right"/>
              <w:rPr>
                <w:rFonts w:ascii="Arial" w:hAnsi="Arial" w:cs="Arial"/>
                <w:sz w:val="18"/>
                <w:szCs w:val="18"/>
              </w:rPr>
            </w:pPr>
            <w:r>
              <w:rPr>
                <w:rFonts w:ascii="Arial" w:hAnsi="Arial" w:cs="Arial"/>
                <w:sz w:val="18"/>
                <w:szCs w:val="18"/>
              </w:rPr>
              <w:t> </w:t>
            </w:r>
          </w:p>
        </w:tc>
        <w:tc>
          <w:tcPr>
            <w:tcW w:w="1176" w:type="dxa"/>
            <w:tcBorders>
              <w:top w:val="nil"/>
              <w:left w:val="nil"/>
              <w:bottom w:val="nil"/>
              <w:right w:val="nil"/>
            </w:tcBorders>
            <w:shd w:val="clear" w:color="FFFFFF" w:fill="FFFFFF"/>
            <w:noWrap/>
            <w:vAlign w:val="bottom"/>
            <w:hideMark/>
          </w:tcPr>
          <w:p w14:paraId="799AD8CD" w14:textId="77777777" w:rsidR="00A43992" w:rsidRDefault="00A43992" w:rsidP="007211E3">
            <w:pPr>
              <w:jc w:val="right"/>
              <w:rPr>
                <w:rFonts w:ascii="Arial" w:hAnsi="Arial" w:cs="Arial"/>
                <w:sz w:val="18"/>
                <w:szCs w:val="18"/>
              </w:rPr>
            </w:pPr>
            <w:r>
              <w:rPr>
                <w:rFonts w:ascii="Arial" w:hAnsi="Arial" w:cs="Arial"/>
                <w:sz w:val="18"/>
                <w:szCs w:val="18"/>
              </w:rPr>
              <w:t xml:space="preserve"> -</w:t>
            </w:r>
          </w:p>
        </w:tc>
      </w:tr>
      <w:tr w:rsidR="00A43992" w14:paraId="4FCE0ADB" w14:textId="77777777" w:rsidTr="007211E3">
        <w:trPr>
          <w:trHeight w:val="255"/>
        </w:trPr>
        <w:tc>
          <w:tcPr>
            <w:tcW w:w="4316" w:type="dxa"/>
            <w:tcBorders>
              <w:top w:val="nil"/>
              <w:left w:val="nil"/>
              <w:bottom w:val="nil"/>
              <w:right w:val="nil"/>
            </w:tcBorders>
            <w:shd w:val="clear" w:color="FFFFFF" w:fill="FFFFFF"/>
            <w:vAlign w:val="bottom"/>
            <w:hideMark/>
          </w:tcPr>
          <w:p w14:paraId="6CEDFCCD" w14:textId="77777777" w:rsidR="00A43992" w:rsidRDefault="00A43992" w:rsidP="007211E3">
            <w:pPr>
              <w:rPr>
                <w:rFonts w:ascii="Arial" w:hAnsi="Arial" w:cs="Arial"/>
                <w:sz w:val="18"/>
                <w:szCs w:val="18"/>
              </w:rPr>
            </w:pPr>
            <w:r>
              <w:rPr>
                <w:rFonts w:ascii="Arial" w:hAnsi="Arial" w:cs="Arial"/>
                <w:sz w:val="18"/>
                <w:szCs w:val="18"/>
              </w:rPr>
              <w:t>Other comprehensive income</w:t>
            </w:r>
          </w:p>
        </w:tc>
        <w:tc>
          <w:tcPr>
            <w:tcW w:w="1176" w:type="dxa"/>
            <w:tcBorders>
              <w:top w:val="nil"/>
              <w:left w:val="nil"/>
              <w:bottom w:val="nil"/>
              <w:right w:val="nil"/>
            </w:tcBorders>
            <w:shd w:val="clear" w:color="FFFFFF" w:fill="FFFFFF"/>
            <w:noWrap/>
            <w:vAlign w:val="bottom"/>
            <w:hideMark/>
          </w:tcPr>
          <w:p w14:paraId="010828BB" w14:textId="77777777" w:rsidR="00A43992" w:rsidRPr="00267088" w:rsidRDefault="00A43992" w:rsidP="007211E3">
            <w:pPr>
              <w:jc w:val="right"/>
              <w:rPr>
                <w:rFonts w:ascii="Arial" w:hAnsi="Arial" w:cs="Arial"/>
                <w:b/>
                <w:bCs/>
                <w:sz w:val="18"/>
                <w:szCs w:val="18"/>
              </w:rPr>
            </w:pPr>
            <w:r w:rsidRPr="00267088">
              <w:rPr>
                <w:rFonts w:ascii="Arial" w:hAnsi="Arial" w:cs="Arial"/>
                <w:b/>
                <w:bCs/>
                <w:sz w:val="18"/>
                <w:szCs w:val="18"/>
              </w:rPr>
              <w:t>1,881</w:t>
            </w:r>
          </w:p>
        </w:tc>
        <w:tc>
          <w:tcPr>
            <w:tcW w:w="1176" w:type="dxa"/>
            <w:tcBorders>
              <w:top w:val="nil"/>
              <w:left w:val="nil"/>
              <w:bottom w:val="nil"/>
              <w:right w:val="nil"/>
            </w:tcBorders>
            <w:shd w:val="clear" w:color="FFFFFF" w:fill="FFFFFF"/>
            <w:noWrap/>
            <w:vAlign w:val="bottom"/>
            <w:hideMark/>
          </w:tcPr>
          <w:p w14:paraId="310F42E9" w14:textId="77777777" w:rsidR="00A43992" w:rsidRDefault="00A43992" w:rsidP="007211E3">
            <w:pPr>
              <w:jc w:val="right"/>
              <w:rPr>
                <w:rFonts w:ascii="Arial" w:hAnsi="Arial" w:cs="Arial"/>
                <w:sz w:val="18"/>
                <w:szCs w:val="18"/>
              </w:rPr>
            </w:pPr>
            <w:r>
              <w:rPr>
                <w:rFonts w:ascii="Arial" w:hAnsi="Arial" w:cs="Arial"/>
                <w:sz w:val="18"/>
                <w:szCs w:val="18"/>
              </w:rPr>
              <w:t>-</w:t>
            </w:r>
          </w:p>
        </w:tc>
        <w:tc>
          <w:tcPr>
            <w:tcW w:w="272" w:type="dxa"/>
            <w:tcBorders>
              <w:top w:val="nil"/>
              <w:left w:val="nil"/>
              <w:bottom w:val="nil"/>
              <w:right w:val="nil"/>
            </w:tcBorders>
            <w:shd w:val="clear" w:color="FFFFFF" w:fill="FFFFFF"/>
            <w:noWrap/>
            <w:vAlign w:val="bottom"/>
            <w:hideMark/>
          </w:tcPr>
          <w:p w14:paraId="3186A83B" w14:textId="77777777" w:rsidR="00A43992" w:rsidRDefault="00A43992" w:rsidP="007211E3">
            <w:pPr>
              <w:jc w:val="right"/>
              <w:rPr>
                <w:rFonts w:ascii="Arial" w:hAnsi="Arial" w:cs="Arial"/>
                <w:sz w:val="18"/>
                <w:szCs w:val="18"/>
              </w:rPr>
            </w:pPr>
            <w:r>
              <w:rPr>
                <w:rFonts w:ascii="Arial" w:hAnsi="Arial" w:cs="Arial"/>
                <w:sz w:val="18"/>
                <w:szCs w:val="18"/>
              </w:rPr>
              <w:t> </w:t>
            </w:r>
          </w:p>
        </w:tc>
        <w:tc>
          <w:tcPr>
            <w:tcW w:w="1176" w:type="dxa"/>
            <w:tcBorders>
              <w:top w:val="nil"/>
              <w:left w:val="nil"/>
              <w:bottom w:val="nil"/>
              <w:right w:val="nil"/>
            </w:tcBorders>
            <w:shd w:val="clear" w:color="FFFFFF" w:fill="FFFFFF"/>
            <w:noWrap/>
            <w:vAlign w:val="bottom"/>
            <w:hideMark/>
          </w:tcPr>
          <w:p w14:paraId="15F0BEA2" w14:textId="77777777" w:rsidR="00A43992" w:rsidRDefault="00A43992" w:rsidP="007211E3">
            <w:pPr>
              <w:jc w:val="right"/>
              <w:rPr>
                <w:rFonts w:ascii="Arial" w:hAnsi="Arial" w:cs="Arial"/>
                <w:sz w:val="18"/>
                <w:szCs w:val="18"/>
              </w:rPr>
            </w:pPr>
            <w:r>
              <w:rPr>
                <w:rFonts w:ascii="Arial" w:hAnsi="Arial" w:cs="Arial"/>
                <w:sz w:val="18"/>
                <w:szCs w:val="18"/>
              </w:rPr>
              <w:t xml:space="preserve"> -</w:t>
            </w:r>
          </w:p>
        </w:tc>
      </w:tr>
      <w:tr w:rsidR="00A43992" w14:paraId="71539BB9" w14:textId="77777777" w:rsidTr="007211E3">
        <w:trPr>
          <w:trHeight w:val="255"/>
        </w:trPr>
        <w:tc>
          <w:tcPr>
            <w:tcW w:w="4316" w:type="dxa"/>
            <w:tcBorders>
              <w:top w:val="single" w:sz="4" w:space="0" w:color="auto"/>
              <w:left w:val="nil"/>
              <w:bottom w:val="single" w:sz="4" w:space="0" w:color="auto"/>
              <w:right w:val="nil"/>
            </w:tcBorders>
            <w:shd w:val="clear" w:color="FFFFFF" w:fill="FFFFFF"/>
            <w:vAlign w:val="bottom"/>
            <w:hideMark/>
          </w:tcPr>
          <w:p w14:paraId="2E834605" w14:textId="77777777" w:rsidR="00A43992" w:rsidRDefault="00A43992" w:rsidP="007211E3">
            <w:pPr>
              <w:rPr>
                <w:rFonts w:ascii="Arial" w:hAnsi="Arial" w:cs="Arial"/>
                <w:b/>
                <w:bCs/>
                <w:sz w:val="18"/>
                <w:szCs w:val="18"/>
              </w:rPr>
            </w:pPr>
            <w:r>
              <w:rPr>
                <w:rFonts w:ascii="Arial" w:hAnsi="Arial" w:cs="Arial"/>
                <w:b/>
                <w:bCs/>
                <w:sz w:val="18"/>
                <w:szCs w:val="18"/>
              </w:rPr>
              <w:t>Total comprehensive income/(loss)</w:t>
            </w:r>
          </w:p>
        </w:tc>
        <w:tc>
          <w:tcPr>
            <w:tcW w:w="1176" w:type="dxa"/>
            <w:tcBorders>
              <w:top w:val="single" w:sz="4" w:space="0" w:color="auto"/>
              <w:left w:val="nil"/>
              <w:bottom w:val="single" w:sz="4" w:space="0" w:color="auto"/>
              <w:right w:val="nil"/>
            </w:tcBorders>
            <w:shd w:val="clear" w:color="FFFFFF" w:fill="FFFFFF"/>
            <w:noWrap/>
            <w:vAlign w:val="bottom"/>
            <w:hideMark/>
          </w:tcPr>
          <w:p w14:paraId="7D21F080" w14:textId="77777777" w:rsidR="00A43992" w:rsidRPr="00267088" w:rsidRDefault="00A43992" w:rsidP="007211E3">
            <w:pPr>
              <w:jc w:val="right"/>
              <w:rPr>
                <w:rFonts w:ascii="Arial" w:hAnsi="Arial" w:cs="Arial"/>
                <w:b/>
                <w:bCs/>
                <w:sz w:val="18"/>
                <w:szCs w:val="18"/>
              </w:rPr>
            </w:pPr>
            <w:r w:rsidRPr="00267088">
              <w:rPr>
                <w:rFonts w:ascii="Arial" w:hAnsi="Arial" w:cs="Arial"/>
                <w:b/>
                <w:bCs/>
                <w:sz w:val="18"/>
                <w:szCs w:val="18"/>
              </w:rPr>
              <w:t>17,663</w:t>
            </w:r>
          </w:p>
        </w:tc>
        <w:tc>
          <w:tcPr>
            <w:tcW w:w="1176" w:type="dxa"/>
            <w:tcBorders>
              <w:top w:val="single" w:sz="4" w:space="0" w:color="auto"/>
              <w:left w:val="nil"/>
              <w:bottom w:val="single" w:sz="4" w:space="0" w:color="auto"/>
              <w:right w:val="nil"/>
            </w:tcBorders>
            <w:shd w:val="clear" w:color="FFFFFF" w:fill="FFFFFF"/>
            <w:noWrap/>
            <w:vAlign w:val="bottom"/>
            <w:hideMark/>
          </w:tcPr>
          <w:p w14:paraId="1A1451AB" w14:textId="77777777" w:rsidR="00A43992" w:rsidRDefault="00A43992" w:rsidP="007211E3">
            <w:pPr>
              <w:jc w:val="right"/>
              <w:rPr>
                <w:rFonts w:ascii="Arial" w:hAnsi="Arial" w:cs="Arial"/>
                <w:sz w:val="18"/>
                <w:szCs w:val="18"/>
              </w:rPr>
            </w:pPr>
            <w:r>
              <w:rPr>
                <w:rFonts w:ascii="Arial" w:hAnsi="Arial" w:cs="Arial"/>
                <w:sz w:val="18"/>
                <w:szCs w:val="18"/>
              </w:rPr>
              <w:t>409</w:t>
            </w:r>
          </w:p>
        </w:tc>
        <w:tc>
          <w:tcPr>
            <w:tcW w:w="272" w:type="dxa"/>
            <w:tcBorders>
              <w:top w:val="single" w:sz="4" w:space="0" w:color="auto"/>
              <w:left w:val="nil"/>
              <w:bottom w:val="single" w:sz="4" w:space="0" w:color="auto"/>
              <w:right w:val="nil"/>
            </w:tcBorders>
            <w:shd w:val="clear" w:color="FFFFFF" w:fill="FFFFFF"/>
            <w:noWrap/>
            <w:vAlign w:val="bottom"/>
            <w:hideMark/>
          </w:tcPr>
          <w:p w14:paraId="188DC7A5" w14:textId="77777777" w:rsidR="00A43992" w:rsidRDefault="00A43992" w:rsidP="007211E3">
            <w:pPr>
              <w:jc w:val="right"/>
              <w:rPr>
                <w:rFonts w:ascii="Arial" w:hAnsi="Arial" w:cs="Arial"/>
                <w:sz w:val="18"/>
                <w:szCs w:val="18"/>
              </w:rPr>
            </w:pPr>
            <w:r>
              <w:rPr>
                <w:rFonts w:ascii="Arial" w:hAnsi="Arial" w:cs="Arial"/>
                <w:sz w:val="18"/>
                <w:szCs w:val="18"/>
              </w:rPr>
              <w:t> </w:t>
            </w:r>
          </w:p>
        </w:tc>
        <w:tc>
          <w:tcPr>
            <w:tcW w:w="1176" w:type="dxa"/>
            <w:tcBorders>
              <w:top w:val="single" w:sz="4" w:space="0" w:color="auto"/>
              <w:left w:val="nil"/>
              <w:bottom w:val="single" w:sz="4" w:space="0" w:color="auto"/>
              <w:right w:val="nil"/>
            </w:tcBorders>
            <w:shd w:val="clear" w:color="FFFFFF" w:fill="FFFFFF"/>
            <w:noWrap/>
            <w:vAlign w:val="bottom"/>
            <w:hideMark/>
          </w:tcPr>
          <w:p w14:paraId="1230B31A" w14:textId="77777777" w:rsidR="00A43992" w:rsidRDefault="00A43992" w:rsidP="007211E3">
            <w:pPr>
              <w:jc w:val="right"/>
              <w:rPr>
                <w:rFonts w:ascii="Arial" w:hAnsi="Arial" w:cs="Arial"/>
                <w:sz w:val="18"/>
                <w:szCs w:val="18"/>
              </w:rPr>
            </w:pPr>
            <w:r>
              <w:rPr>
                <w:rFonts w:ascii="Arial" w:hAnsi="Arial" w:cs="Arial"/>
                <w:sz w:val="18"/>
                <w:szCs w:val="18"/>
              </w:rPr>
              <w:t>-</w:t>
            </w:r>
          </w:p>
        </w:tc>
      </w:tr>
      <w:tr w:rsidR="00A43992" w14:paraId="75410C61" w14:textId="77777777" w:rsidTr="007211E3">
        <w:trPr>
          <w:trHeight w:val="255"/>
        </w:trPr>
        <w:tc>
          <w:tcPr>
            <w:tcW w:w="4316" w:type="dxa"/>
            <w:tcBorders>
              <w:top w:val="nil"/>
              <w:left w:val="nil"/>
              <w:bottom w:val="nil"/>
              <w:right w:val="nil"/>
            </w:tcBorders>
            <w:shd w:val="clear" w:color="FFFFFF" w:fill="FFFFFF"/>
            <w:vAlign w:val="bottom"/>
            <w:hideMark/>
          </w:tcPr>
          <w:p w14:paraId="2F89F9A6" w14:textId="77777777" w:rsidR="00A43992" w:rsidRDefault="00A43992" w:rsidP="007211E3">
            <w:pPr>
              <w:rPr>
                <w:rFonts w:ascii="Arial" w:hAnsi="Arial" w:cs="Arial"/>
                <w:b/>
                <w:bCs/>
                <w:sz w:val="18"/>
                <w:szCs w:val="18"/>
              </w:rPr>
            </w:pPr>
            <w:r>
              <w:rPr>
                <w:rFonts w:ascii="Arial" w:hAnsi="Arial" w:cs="Arial"/>
                <w:b/>
                <w:bCs/>
                <w:sz w:val="18"/>
                <w:szCs w:val="18"/>
              </w:rPr>
              <w:t> </w:t>
            </w:r>
          </w:p>
        </w:tc>
        <w:tc>
          <w:tcPr>
            <w:tcW w:w="1176" w:type="dxa"/>
            <w:tcBorders>
              <w:top w:val="nil"/>
              <w:left w:val="nil"/>
              <w:bottom w:val="nil"/>
              <w:right w:val="nil"/>
            </w:tcBorders>
            <w:shd w:val="clear" w:color="FFFFFF" w:fill="FFFFFF"/>
            <w:noWrap/>
            <w:vAlign w:val="bottom"/>
            <w:hideMark/>
          </w:tcPr>
          <w:p w14:paraId="5B3B2F71" w14:textId="77777777" w:rsidR="00A43992" w:rsidRPr="00267088" w:rsidRDefault="00A43992" w:rsidP="007211E3">
            <w:pPr>
              <w:jc w:val="right"/>
              <w:rPr>
                <w:rFonts w:ascii="Arial" w:hAnsi="Arial" w:cs="Arial"/>
                <w:b/>
                <w:bCs/>
                <w:sz w:val="18"/>
                <w:szCs w:val="18"/>
              </w:rPr>
            </w:pPr>
            <w:r w:rsidRPr="00267088">
              <w:rPr>
                <w:rFonts w:ascii="Arial" w:hAnsi="Arial" w:cs="Arial"/>
                <w:b/>
                <w:bCs/>
                <w:sz w:val="18"/>
                <w:szCs w:val="18"/>
              </w:rPr>
              <w:t> </w:t>
            </w:r>
          </w:p>
        </w:tc>
        <w:tc>
          <w:tcPr>
            <w:tcW w:w="1176" w:type="dxa"/>
            <w:tcBorders>
              <w:top w:val="nil"/>
              <w:left w:val="nil"/>
              <w:bottom w:val="nil"/>
              <w:right w:val="nil"/>
            </w:tcBorders>
            <w:shd w:val="clear" w:color="FFFFFF" w:fill="FFFFFF"/>
            <w:noWrap/>
            <w:vAlign w:val="bottom"/>
            <w:hideMark/>
          </w:tcPr>
          <w:p w14:paraId="0897EF9A" w14:textId="77777777" w:rsidR="00A43992" w:rsidRDefault="00A43992" w:rsidP="007211E3">
            <w:pPr>
              <w:jc w:val="right"/>
              <w:rPr>
                <w:rFonts w:ascii="Arial" w:hAnsi="Arial" w:cs="Arial"/>
                <w:sz w:val="18"/>
                <w:szCs w:val="18"/>
              </w:rPr>
            </w:pPr>
            <w:r>
              <w:rPr>
                <w:rFonts w:ascii="Arial" w:hAnsi="Arial" w:cs="Arial"/>
                <w:sz w:val="18"/>
                <w:szCs w:val="18"/>
              </w:rPr>
              <w:t> </w:t>
            </w:r>
          </w:p>
        </w:tc>
        <w:tc>
          <w:tcPr>
            <w:tcW w:w="272" w:type="dxa"/>
            <w:tcBorders>
              <w:top w:val="nil"/>
              <w:left w:val="nil"/>
              <w:bottom w:val="nil"/>
              <w:right w:val="nil"/>
            </w:tcBorders>
            <w:shd w:val="clear" w:color="FFFFFF" w:fill="FFFFFF"/>
            <w:noWrap/>
            <w:vAlign w:val="bottom"/>
            <w:hideMark/>
          </w:tcPr>
          <w:p w14:paraId="47CF897D" w14:textId="77777777" w:rsidR="00A43992" w:rsidRDefault="00A43992" w:rsidP="007211E3">
            <w:pPr>
              <w:jc w:val="right"/>
              <w:rPr>
                <w:rFonts w:ascii="Arial" w:hAnsi="Arial" w:cs="Arial"/>
                <w:sz w:val="18"/>
                <w:szCs w:val="18"/>
              </w:rPr>
            </w:pPr>
            <w:r>
              <w:rPr>
                <w:rFonts w:ascii="Arial" w:hAnsi="Arial" w:cs="Arial"/>
                <w:sz w:val="18"/>
                <w:szCs w:val="18"/>
              </w:rPr>
              <w:t> </w:t>
            </w:r>
          </w:p>
        </w:tc>
        <w:tc>
          <w:tcPr>
            <w:tcW w:w="1176" w:type="dxa"/>
            <w:tcBorders>
              <w:top w:val="nil"/>
              <w:left w:val="nil"/>
              <w:bottom w:val="nil"/>
              <w:right w:val="nil"/>
            </w:tcBorders>
            <w:shd w:val="clear" w:color="FFFFFF" w:fill="FFFFFF"/>
            <w:noWrap/>
            <w:vAlign w:val="bottom"/>
            <w:hideMark/>
          </w:tcPr>
          <w:p w14:paraId="7FDA5021" w14:textId="77777777" w:rsidR="00A43992" w:rsidRDefault="00A43992" w:rsidP="007211E3">
            <w:pPr>
              <w:jc w:val="right"/>
              <w:rPr>
                <w:rFonts w:ascii="Arial" w:hAnsi="Arial" w:cs="Arial"/>
                <w:sz w:val="18"/>
                <w:szCs w:val="18"/>
              </w:rPr>
            </w:pPr>
            <w:r>
              <w:rPr>
                <w:rFonts w:ascii="Arial" w:hAnsi="Arial" w:cs="Arial"/>
                <w:sz w:val="18"/>
                <w:szCs w:val="18"/>
              </w:rPr>
              <w:t> </w:t>
            </w:r>
          </w:p>
        </w:tc>
      </w:tr>
      <w:tr w:rsidR="00A43992" w14:paraId="52763E50" w14:textId="77777777" w:rsidTr="007211E3">
        <w:trPr>
          <w:trHeight w:val="255"/>
        </w:trPr>
        <w:tc>
          <w:tcPr>
            <w:tcW w:w="4316" w:type="dxa"/>
            <w:tcBorders>
              <w:top w:val="nil"/>
              <w:left w:val="nil"/>
              <w:bottom w:val="nil"/>
              <w:right w:val="nil"/>
            </w:tcBorders>
            <w:shd w:val="clear" w:color="FFFFFF" w:fill="FFFFFF"/>
            <w:vAlign w:val="bottom"/>
            <w:hideMark/>
          </w:tcPr>
          <w:p w14:paraId="5B84D1F5" w14:textId="77777777" w:rsidR="00A43992" w:rsidRDefault="00A43992" w:rsidP="007211E3">
            <w:pPr>
              <w:rPr>
                <w:rFonts w:ascii="Arial" w:hAnsi="Arial" w:cs="Arial"/>
                <w:b/>
                <w:bCs/>
                <w:sz w:val="18"/>
                <w:szCs w:val="18"/>
              </w:rPr>
            </w:pPr>
            <w:r>
              <w:rPr>
                <w:rFonts w:ascii="Arial" w:hAnsi="Arial" w:cs="Arial"/>
                <w:b/>
                <w:bCs/>
                <w:sz w:val="18"/>
                <w:szCs w:val="18"/>
              </w:rPr>
              <w:t>Contributions by owners</w:t>
            </w:r>
          </w:p>
        </w:tc>
        <w:tc>
          <w:tcPr>
            <w:tcW w:w="1176" w:type="dxa"/>
            <w:tcBorders>
              <w:top w:val="nil"/>
              <w:left w:val="nil"/>
              <w:bottom w:val="nil"/>
              <w:right w:val="nil"/>
            </w:tcBorders>
            <w:shd w:val="clear" w:color="FFFFFF" w:fill="FFFFFF"/>
            <w:noWrap/>
            <w:vAlign w:val="bottom"/>
            <w:hideMark/>
          </w:tcPr>
          <w:p w14:paraId="1177936D" w14:textId="77777777" w:rsidR="00A43992" w:rsidRPr="00267088" w:rsidRDefault="00A43992" w:rsidP="007211E3">
            <w:pPr>
              <w:jc w:val="right"/>
              <w:rPr>
                <w:rFonts w:ascii="Arial" w:hAnsi="Arial" w:cs="Arial"/>
                <w:b/>
                <w:bCs/>
                <w:sz w:val="18"/>
                <w:szCs w:val="18"/>
              </w:rPr>
            </w:pPr>
            <w:r w:rsidRPr="00267088">
              <w:rPr>
                <w:rFonts w:ascii="Arial" w:hAnsi="Arial" w:cs="Arial"/>
                <w:b/>
                <w:bCs/>
                <w:sz w:val="18"/>
                <w:szCs w:val="18"/>
              </w:rPr>
              <w:t> </w:t>
            </w:r>
          </w:p>
        </w:tc>
        <w:tc>
          <w:tcPr>
            <w:tcW w:w="1176" w:type="dxa"/>
            <w:tcBorders>
              <w:top w:val="nil"/>
              <w:left w:val="nil"/>
              <w:bottom w:val="nil"/>
              <w:right w:val="nil"/>
            </w:tcBorders>
            <w:shd w:val="clear" w:color="FFFFFF" w:fill="FFFFFF"/>
            <w:noWrap/>
            <w:vAlign w:val="bottom"/>
            <w:hideMark/>
          </w:tcPr>
          <w:p w14:paraId="335F73E5" w14:textId="77777777" w:rsidR="00A43992" w:rsidRDefault="00A43992" w:rsidP="007211E3">
            <w:pPr>
              <w:jc w:val="right"/>
              <w:rPr>
                <w:rFonts w:ascii="Arial" w:hAnsi="Arial" w:cs="Arial"/>
                <w:sz w:val="18"/>
                <w:szCs w:val="18"/>
              </w:rPr>
            </w:pPr>
            <w:r>
              <w:rPr>
                <w:rFonts w:ascii="Arial" w:hAnsi="Arial" w:cs="Arial"/>
                <w:sz w:val="18"/>
                <w:szCs w:val="18"/>
              </w:rPr>
              <w:t> </w:t>
            </w:r>
          </w:p>
        </w:tc>
        <w:tc>
          <w:tcPr>
            <w:tcW w:w="272" w:type="dxa"/>
            <w:tcBorders>
              <w:top w:val="nil"/>
              <w:left w:val="nil"/>
              <w:bottom w:val="nil"/>
              <w:right w:val="nil"/>
            </w:tcBorders>
            <w:shd w:val="clear" w:color="FFFFFF" w:fill="FFFFFF"/>
            <w:noWrap/>
            <w:vAlign w:val="bottom"/>
            <w:hideMark/>
          </w:tcPr>
          <w:p w14:paraId="6FEDF3FA" w14:textId="77777777" w:rsidR="00A43992" w:rsidRDefault="00A43992" w:rsidP="007211E3">
            <w:pPr>
              <w:rPr>
                <w:rFonts w:ascii="Arial" w:hAnsi="Arial" w:cs="Arial"/>
                <w:sz w:val="18"/>
                <w:szCs w:val="18"/>
              </w:rPr>
            </w:pPr>
            <w:r>
              <w:rPr>
                <w:rFonts w:ascii="Arial" w:hAnsi="Arial" w:cs="Arial"/>
                <w:sz w:val="18"/>
                <w:szCs w:val="18"/>
              </w:rPr>
              <w:t> </w:t>
            </w:r>
          </w:p>
        </w:tc>
        <w:tc>
          <w:tcPr>
            <w:tcW w:w="1176" w:type="dxa"/>
            <w:tcBorders>
              <w:top w:val="nil"/>
              <w:left w:val="nil"/>
              <w:bottom w:val="nil"/>
              <w:right w:val="nil"/>
            </w:tcBorders>
            <w:shd w:val="clear" w:color="FFFFFF" w:fill="FFFFFF"/>
            <w:noWrap/>
            <w:vAlign w:val="bottom"/>
            <w:hideMark/>
          </w:tcPr>
          <w:p w14:paraId="16B5AB38" w14:textId="77777777" w:rsidR="00A43992" w:rsidRDefault="00A43992" w:rsidP="007211E3">
            <w:pPr>
              <w:jc w:val="right"/>
              <w:rPr>
                <w:rFonts w:ascii="Arial" w:hAnsi="Arial" w:cs="Arial"/>
                <w:sz w:val="18"/>
                <w:szCs w:val="18"/>
              </w:rPr>
            </w:pPr>
            <w:r>
              <w:rPr>
                <w:rFonts w:ascii="Arial" w:hAnsi="Arial" w:cs="Arial"/>
                <w:sz w:val="18"/>
                <w:szCs w:val="18"/>
              </w:rPr>
              <w:t> </w:t>
            </w:r>
          </w:p>
        </w:tc>
      </w:tr>
      <w:tr w:rsidR="00A43992" w14:paraId="2D1E1233" w14:textId="77777777" w:rsidTr="007211E3">
        <w:trPr>
          <w:trHeight w:val="255"/>
        </w:trPr>
        <w:tc>
          <w:tcPr>
            <w:tcW w:w="4316" w:type="dxa"/>
            <w:tcBorders>
              <w:top w:val="nil"/>
              <w:left w:val="nil"/>
              <w:bottom w:val="nil"/>
              <w:right w:val="nil"/>
            </w:tcBorders>
            <w:shd w:val="clear" w:color="FFFFFF" w:fill="FFFFFF"/>
            <w:vAlign w:val="bottom"/>
            <w:hideMark/>
          </w:tcPr>
          <w:p w14:paraId="1D415B08" w14:textId="77777777" w:rsidR="00A43992" w:rsidRDefault="00A43992" w:rsidP="007211E3">
            <w:pPr>
              <w:rPr>
                <w:rFonts w:ascii="Arial" w:hAnsi="Arial" w:cs="Arial"/>
                <w:sz w:val="18"/>
                <w:szCs w:val="18"/>
              </w:rPr>
            </w:pPr>
            <w:r>
              <w:rPr>
                <w:rFonts w:ascii="Arial" w:hAnsi="Arial" w:cs="Arial"/>
                <w:sz w:val="18"/>
                <w:szCs w:val="18"/>
              </w:rPr>
              <w:t>Equity injection</w:t>
            </w:r>
          </w:p>
        </w:tc>
        <w:tc>
          <w:tcPr>
            <w:tcW w:w="1176" w:type="dxa"/>
            <w:tcBorders>
              <w:top w:val="nil"/>
              <w:left w:val="nil"/>
              <w:bottom w:val="nil"/>
              <w:right w:val="nil"/>
            </w:tcBorders>
            <w:shd w:val="clear" w:color="FFFFFF" w:fill="FFFFFF"/>
            <w:noWrap/>
            <w:vAlign w:val="bottom"/>
            <w:hideMark/>
          </w:tcPr>
          <w:p w14:paraId="6F4DFED2" w14:textId="77777777" w:rsidR="00A43992" w:rsidRPr="00267088" w:rsidRDefault="00A43992" w:rsidP="007211E3">
            <w:pPr>
              <w:jc w:val="right"/>
              <w:rPr>
                <w:rFonts w:ascii="Arial" w:hAnsi="Arial" w:cs="Arial"/>
                <w:b/>
                <w:bCs/>
                <w:sz w:val="18"/>
                <w:szCs w:val="18"/>
              </w:rPr>
            </w:pPr>
            <w:r w:rsidRPr="00267088">
              <w:rPr>
                <w:rFonts w:ascii="Arial" w:hAnsi="Arial" w:cs="Arial"/>
                <w:b/>
                <w:bCs/>
                <w:sz w:val="18"/>
                <w:szCs w:val="18"/>
              </w:rPr>
              <w:t> </w:t>
            </w:r>
          </w:p>
        </w:tc>
        <w:tc>
          <w:tcPr>
            <w:tcW w:w="1176" w:type="dxa"/>
            <w:tcBorders>
              <w:top w:val="nil"/>
              <w:left w:val="nil"/>
              <w:bottom w:val="nil"/>
              <w:right w:val="nil"/>
            </w:tcBorders>
            <w:shd w:val="clear" w:color="FFFFFF" w:fill="FFFFFF"/>
            <w:noWrap/>
            <w:vAlign w:val="bottom"/>
            <w:hideMark/>
          </w:tcPr>
          <w:p w14:paraId="1E35B1FB" w14:textId="77777777" w:rsidR="00A43992" w:rsidRDefault="00A43992" w:rsidP="007211E3">
            <w:pPr>
              <w:jc w:val="right"/>
              <w:rPr>
                <w:rFonts w:ascii="Arial" w:hAnsi="Arial" w:cs="Arial"/>
                <w:sz w:val="18"/>
                <w:szCs w:val="18"/>
              </w:rPr>
            </w:pPr>
            <w:r>
              <w:rPr>
                <w:rFonts w:ascii="Arial" w:hAnsi="Arial" w:cs="Arial"/>
                <w:sz w:val="18"/>
                <w:szCs w:val="18"/>
              </w:rPr>
              <w:t> </w:t>
            </w:r>
          </w:p>
        </w:tc>
        <w:tc>
          <w:tcPr>
            <w:tcW w:w="272" w:type="dxa"/>
            <w:tcBorders>
              <w:top w:val="nil"/>
              <w:left w:val="nil"/>
              <w:bottom w:val="nil"/>
              <w:right w:val="nil"/>
            </w:tcBorders>
            <w:shd w:val="clear" w:color="FFFFFF" w:fill="FFFFFF"/>
            <w:noWrap/>
            <w:vAlign w:val="bottom"/>
            <w:hideMark/>
          </w:tcPr>
          <w:p w14:paraId="0CF9AF0C" w14:textId="77777777" w:rsidR="00A43992" w:rsidRDefault="00A43992" w:rsidP="007211E3">
            <w:pPr>
              <w:jc w:val="right"/>
              <w:rPr>
                <w:rFonts w:ascii="Arial" w:hAnsi="Arial" w:cs="Arial"/>
                <w:sz w:val="18"/>
                <w:szCs w:val="18"/>
              </w:rPr>
            </w:pPr>
            <w:r>
              <w:rPr>
                <w:rFonts w:ascii="Arial" w:hAnsi="Arial" w:cs="Arial"/>
                <w:sz w:val="18"/>
                <w:szCs w:val="18"/>
              </w:rPr>
              <w:t> </w:t>
            </w:r>
          </w:p>
        </w:tc>
        <w:tc>
          <w:tcPr>
            <w:tcW w:w="1176" w:type="dxa"/>
            <w:tcBorders>
              <w:top w:val="nil"/>
              <w:left w:val="nil"/>
              <w:bottom w:val="nil"/>
              <w:right w:val="nil"/>
            </w:tcBorders>
            <w:shd w:val="clear" w:color="FFFFFF" w:fill="FFFFFF"/>
            <w:noWrap/>
            <w:vAlign w:val="bottom"/>
            <w:hideMark/>
          </w:tcPr>
          <w:p w14:paraId="61BD1010" w14:textId="77777777" w:rsidR="00A43992" w:rsidRDefault="00A43992" w:rsidP="007211E3">
            <w:pPr>
              <w:jc w:val="right"/>
              <w:rPr>
                <w:rFonts w:ascii="Arial" w:hAnsi="Arial" w:cs="Arial"/>
                <w:sz w:val="18"/>
                <w:szCs w:val="18"/>
              </w:rPr>
            </w:pPr>
            <w:r>
              <w:rPr>
                <w:rFonts w:ascii="Arial" w:hAnsi="Arial" w:cs="Arial"/>
                <w:sz w:val="18"/>
                <w:szCs w:val="18"/>
              </w:rPr>
              <w:t> </w:t>
            </w:r>
          </w:p>
        </w:tc>
      </w:tr>
      <w:tr w:rsidR="00A43992" w14:paraId="124B1503" w14:textId="77777777" w:rsidTr="007211E3">
        <w:trPr>
          <w:trHeight w:val="255"/>
        </w:trPr>
        <w:tc>
          <w:tcPr>
            <w:tcW w:w="4316" w:type="dxa"/>
            <w:tcBorders>
              <w:top w:val="nil"/>
              <w:left w:val="nil"/>
              <w:bottom w:val="nil"/>
              <w:right w:val="nil"/>
            </w:tcBorders>
            <w:shd w:val="clear" w:color="FFFFFF" w:fill="FFFFFF"/>
            <w:vAlign w:val="bottom"/>
            <w:hideMark/>
          </w:tcPr>
          <w:p w14:paraId="75AD06F1" w14:textId="77777777" w:rsidR="00A43992" w:rsidRDefault="00A43992" w:rsidP="007211E3">
            <w:pPr>
              <w:ind w:firstLineChars="100" w:firstLine="180"/>
              <w:rPr>
                <w:rFonts w:ascii="Arial" w:hAnsi="Arial" w:cs="Arial"/>
                <w:sz w:val="18"/>
                <w:szCs w:val="18"/>
              </w:rPr>
            </w:pPr>
            <w:r>
              <w:rPr>
                <w:rFonts w:ascii="Arial" w:hAnsi="Arial" w:cs="Arial"/>
                <w:sz w:val="18"/>
                <w:szCs w:val="18"/>
              </w:rPr>
              <w:t>Corporate Commonwealth entity payment</w:t>
            </w:r>
          </w:p>
        </w:tc>
        <w:tc>
          <w:tcPr>
            <w:tcW w:w="1176" w:type="dxa"/>
            <w:tcBorders>
              <w:top w:val="nil"/>
              <w:left w:val="nil"/>
              <w:bottom w:val="nil"/>
              <w:right w:val="nil"/>
            </w:tcBorders>
            <w:shd w:val="clear" w:color="FFFFFF" w:fill="FFFFFF"/>
            <w:noWrap/>
            <w:vAlign w:val="bottom"/>
            <w:hideMark/>
          </w:tcPr>
          <w:p w14:paraId="09F03248" w14:textId="77777777" w:rsidR="00A43992" w:rsidRPr="00267088" w:rsidRDefault="00A43992" w:rsidP="007211E3">
            <w:pPr>
              <w:jc w:val="right"/>
              <w:rPr>
                <w:rFonts w:ascii="Arial" w:hAnsi="Arial" w:cs="Arial"/>
                <w:b/>
                <w:bCs/>
                <w:sz w:val="18"/>
                <w:szCs w:val="18"/>
              </w:rPr>
            </w:pPr>
            <w:r w:rsidRPr="00267088">
              <w:rPr>
                <w:rFonts w:ascii="Arial" w:hAnsi="Arial" w:cs="Arial"/>
                <w:b/>
                <w:bCs/>
                <w:sz w:val="18"/>
                <w:szCs w:val="18"/>
              </w:rPr>
              <w:t>57,756</w:t>
            </w:r>
          </w:p>
        </w:tc>
        <w:tc>
          <w:tcPr>
            <w:tcW w:w="1176" w:type="dxa"/>
            <w:tcBorders>
              <w:top w:val="nil"/>
              <w:left w:val="nil"/>
              <w:bottom w:val="nil"/>
              <w:right w:val="nil"/>
            </w:tcBorders>
            <w:shd w:val="clear" w:color="FFFFFF" w:fill="FFFFFF"/>
            <w:noWrap/>
            <w:vAlign w:val="bottom"/>
            <w:hideMark/>
          </w:tcPr>
          <w:p w14:paraId="5EC5A8D4" w14:textId="77777777" w:rsidR="00A43992" w:rsidRDefault="00A43992" w:rsidP="007211E3">
            <w:pPr>
              <w:jc w:val="right"/>
              <w:rPr>
                <w:rFonts w:ascii="Arial" w:hAnsi="Arial" w:cs="Arial"/>
                <w:sz w:val="18"/>
                <w:szCs w:val="18"/>
              </w:rPr>
            </w:pPr>
            <w:r>
              <w:rPr>
                <w:rFonts w:ascii="Arial" w:hAnsi="Arial" w:cs="Arial"/>
                <w:sz w:val="18"/>
                <w:szCs w:val="18"/>
              </w:rPr>
              <w:t>23,349</w:t>
            </w:r>
          </w:p>
        </w:tc>
        <w:tc>
          <w:tcPr>
            <w:tcW w:w="272" w:type="dxa"/>
            <w:tcBorders>
              <w:top w:val="nil"/>
              <w:left w:val="nil"/>
              <w:bottom w:val="nil"/>
              <w:right w:val="nil"/>
            </w:tcBorders>
            <w:shd w:val="clear" w:color="FFFFFF" w:fill="FFFFFF"/>
            <w:noWrap/>
            <w:vAlign w:val="bottom"/>
            <w:hideMark/>
          </w:tcPr>
          <w:p w14:paraId="5FEAC174" w14:textId="77777777" w:rsidR="00A43992" w:rsidRDefault="00A43992" w:rsidP="007211E3">
            <w:pPr>
              <w:jc w:val="right"/>
              <w:rPr>
                <w:rFonts w:ascii="Arial" w:hAnsi="Arial" w:cs="Arial"/>
                <w:sz w:val="18"/>
                <w:szCs w:val="18"/>
              </w:rPr>
            </w:pPr>
            <w:r>
              <w:rPr>
                <w:rFonts w:ascii="Arial" w:hAnsi="Arial" w:cs="Arial"/>
                <w:sz w:val="18"/>
                <w:szCs w:val="18"/>
              </w:rPr>
              <w:t> </w:t>
            </w:r>
          </w:p>
        </w:tc>
        <w:tc>
          <w:tcPr>
            <w:tcW w:w="1176" w:type="dxa"/>
            <w:tcBorders>
              <w:top w:val="nil"/>
              <w:left w:val="nil"/>
              <w:bottom w:val="nil"/>
              <w:right w:val="nil"/>
            </w:tcBorders>
            <w:shd w:val="clear" w:color="FFFFFF" w:fill="FFFFFF"/>
            <w:noWrap/>
            <w:vAlign w:val="bottom"/>
            <w:hideMark/>
          </w:tcPr>
          <w:p w14:paraId="4C0C6352" w14:textId="77777777" w:rsidR="00A43992" w:rsidRDefault="00A43992" w:rsidP="007211E3">
            <w:pPr>
              <w:jc w:val="right"/>
              <w:rPr>
                <w:rFonts w:ascii="Arial" w:hAnsi="Arial" w:cs="Arial"/>
                <w:sz w:val="18"/>
                <w:szCs w:val="18"/>
              </w:rPr>
            </w:pPr>
            <w:r>
              <w:rPr>
                <w:rFonts w:ascii="Arial" w:hAnsi="Arial" w:cs="Arial"/>
                <w:sz w:val="18"/>
                <w:szCs w:val="18"/>
              </w:rPr>
              <w:t xml:space="preserve">57,756 </w:t>
            </w:r>
          </w:p>
        </w:tc>
      </w:tr>
      <w:tr w:rsidR="00A43992" w14:paraId="0D5C2663" w14:textId="77777777" w:rsidTr="007211E3">
        <w:trPr>
          <w:trHeight w:val="270"/>
        </w:trPr>
        <w:tc>
          <w:tcPr>
            <w:tcW w:w="4316" w:type="dxa"/>
            <w:tcBorders>
              <w:top w:val="nil"/>
              <w:left w:val="nil"/>
              <w:bottom w:val="nil"/>
              <w:right w:val="nil"/>
            </w:tcBorders>
            <w:shd w:val="clear" w:color="FFFFFF" w:fill="FFFFFF"/>
            <w:vAlign w:val="bottom"/>
            <w:hideMark/>
          </w:tcPr>
          <w:p w14:paraId="6571CDDC" w14:textId="77777777" w:rsidR="00A43992" w:rsidRDefault="00A43992" w:rsidP="007211E3">
            <w:pPr>
              <w:ind w:firstLineChars="100" w:firstLine="180"/>
              <w:rPr>
                <w:rFonts w:ascii="Arial" w:hAnsi="Arial" w:cs="Arial"/>
                <w:sz w:val="18"/>
                <w:szCs w:val="18"/>
              </w:rPr>
            </w:pPr>
            <w:r>
              <w:rPr>
                <w:rFonts w:ascii="Arial" w:hAnsi="Arial" w:cs="Arial"/>
                <w:sz w:val="18"/>
                <w:szCs w:val="18"/>
              </w:rPr>
              <w:t>Transfers to/from other entities</w:t>
            </w:r>
            <w:r>
              <w:rPr>
                <w:rFonts w:ascii="Arial" w:hAnsi="Arial" w:cs="Arial"/>
                <w:sz w:val="18"/>
                <w:szCs w:val="18"/>
                <w:vertAlign w:val="superscript"/>
              </w:rPr>
              <w:t>1</w:t>
            </w:r>
          </w:p>
        </w:tc>
        <w:tc>
          <w:tcPr>
            <w:tcW w:w="1176" w:type="dxa"/>
            <w:tcBorders>
              <w:top w:val="nil"/>
              <w:left w:val="nil"/>
              <w:bottom w:val="nil"/>
              <w:right w:val="nil"/>
            </w:tcBorders>
            <w:shd w:val="clear" w:color="FFFFFF" w:fill="FFFFFF"/>
            <w:noWrap/>
            <w:vAlign w:val="bottom"/>
            <w:hideMark/>
          </w:tcPr>
          <w:p w14:paraId="59F34C7C" w14:textId="77777777" w:rsidR="00A43992" w:rsidRPr="00267088" w:rsidRDefault="00A43992" w:rsidP="007211E3">
            <w:pPr>
              <w:jc w:val="right"/>
              <w:rPr>
                <w:rFonts w:ascii="Arial" w:hAnsi="Arial" w:cs="Arial"/>
                <w:b/>
                <w:bCs/>
                <w:sz w:val="18"/>
                <w:szCs w:val="18"/>
              </w:rPr>
            </w:pPr>
            <w:r w:rsidRPr="00267088">
              <w:rPr>
                <w:rFonts w:ascii="Arial" w:hAnsi="Arial" w:cs="Arial"/>
                <w:b/>
                <w:bCs/>
                <w:sz w:val="18"/>
                <w:szCs w:val="18"/>
              </w:rPr>
              <w:t>-</w:t>
            </w:r>
          </w:p>
        </w:tc>
        <w:tc>
          <w:tcPr>
            <w:tcW w:w="1176" w:type="dxa"/>
            <w:tcBorders>
              <w:top w:val="nil"/>
              <w:left w:val="nil"/>
              <w:bottom w:val="nil"/>
              <w:right w:val="nil"/>
            </w:tcBorders>
            <w:shd w:val="clear" w:color="FFFFFF" w:fill="FFFFFF"/>
            <w:noWrap/>
            <w:vAlign w:val="bottom"/>
            <w:hideMark/>
          </w:tcPr>
          <w:p w14:paraId="65CA0989" w14:textId="77777777" w:rsidR="00A43992" w:rsidRDefault="00A43992" w:rsidP="007211E3">
            <w:pPr>
              <w:jc w:val="right"/>
              <w:rPr>
                <w:rFonts w:ascii="Arial" w:hAnsi="Arial" w:cs="Arial"/>
                <w:sz w:val="18"/>
                <w:szCs w:val="18"/>
              </w:rPr>
            </w:pPr>
            <w:r>
              <w:rPr>
                <w:rFonts w:ascii="Arial" w:hAnsi="Arial" w:cs="Arial"/>
                <w:sz w:val="18"/>
                <w:szCs w:val="18"/>
              </w:rPr>
              <w:t>(30,259)</w:t>
            </w:r>
          </w:p>
        </w:tc>
        <w:tc>
          <w:tcPr>
            <w:tcW w:w="272" w:type="dxa"/>
            <w:tcBorders>
              <w:top w:val="nil"/>
              <w:left w:val="nil"/>
              <w:bottom w:val="nil"/>
              <w:right w:val="nil"/>
            </w:tcBorders>
            <w:shd w:val="clear" w:color="FFFFFF" w:fill="FFFFFF"/>
            <w:noWrap/>
            <w:vAlign w:val="bottom"/>
            <w:hideMark/>
          </w:tcPr>
          <w:p w14:paraId="12DCBA78" w14:textId="77777777" w:rsidR="00A43992" w:rsidRDefault="00A43992" w:rsidP="007211E3">
            <w:pPr>
              <w:jc w:val="right"/>
              <w:rPr>
                <w:rFonts w:ascii="Arial" w:hAnsi="Arial" w:cs="Arial"/>
                <w:sz w:val="18"/>
                <w:szCs w:val="18"/>
              </w:rPr>
            </w:pPr>
            <w:r>
              <w:rPr>
                <w:rFonts w:ascii="Arial" w:hAnsi="Arial" w:cs="Arial"/>
                <w:sz w:val="18"/>
                <w:szCs w:val="18"/>
              </w:rPr>
              <w:t> </w:t>
            </w:r>
          </w:p>
        </w:tc>
        <w:tc>
          <w:tcPr>
            <w:tcW w:w="1176" w:type="dxa"/>
            <w:tcBorders>
              <w:top w:val="nil"/>
              <w:left w:val="nil"/>
              <w:bottom w:val="nil"/>
              <w:right w:val="nil"/>
            </w:tcBorders>
            <w:shd w:val="clear" w:color="FFFFFF" w:fill="FFFFFF"/>
            <w:noWrap/>
            <w:vAlign w:val="bottom"/>
            <w:hideMark/>
          </w:tcPr>
          <w:p w14:paraId="38EA3E13" w14:textId="77777777" w:rsidR="00A43992" w:rsidRDefault="00A43992" w:rsidP="007211E3">
            <w:pPr>
              <w:jc w:val="right"/>
              <w:rPr>
                <w:rFonts w:ascii="Arial" w:hAnsi="Arial" w:cs="Arial"/>
                <w:sz w:val="18"/>
                <w:szCs w:val="18"/>
              </w:rPr>
            </w:pPr>
            <w:r>
              <w:rPr>
                <w:rFonts w:ascii="Arial" w:hAnsi="Arial" w:cs="Arial"/>
                <w:sz w:val="18"/>
                <w:szCs w:val="18"/>
              </w:rPr>
              <w:t xml:space="preserve"> -</w:t>
            </w:r>
          </w:p>
        </w:tc>
      </w:tr>
      <w:tr w:rsidR="00A43992" w14:paraId="6E0F76D9" w14:textId="77777777" w:rsidTr="007211E3">
        <w:trPr>
          <w:trHeight w:val="255"/>
        </w:trPr>
        <w:tc>
          <w:tcPr>
            <w:tcW w:w="4316" w:type="dxa"/>
            <w:tcBorders>
              <w:top w:val="single" w:sz="4" w:space="0" w:color="auto"/>
              <w:left w:val="nil"/>
              <w:bottom w:val="single" w:sz="4" w:space="0" w:color="auto"/>
              <w:right w:val="nil"/>
            </w:tcBorders>
            <w:shd w:val="clear" w:color="FFFFFF" w:fill="FFFFFF"/>
            <w:vAlign w:val="bottom"/>
            <w:hideMark/>
          </w:tcPr>
          <w:p w14:paraId="23396262" w14:textId="77777777" w:rsidR="00A43992" w:rsidRDefault="00A43992" w:rsidP="007211E3">
            <w:pPr>
              <w:rPr>
                <w:rFonts w:ascii="Arial" w:hAnsi="Arial" w:cs="Arial"/>
                <w:b/>
                <w:bCs/>
                <w:sz w:val="18"/>
                <w:szCs w:val="18"/>
              </w:rPr>
            </w:pPr>
            <w:r>
              <w:rPr>
                <w:rFonts w:ascii="Arial" w:hAnsi="Arial" w:cs="Arial"/>
                <w:b/>
                <w:bCs/>
                <w:sz w:val="18"/>
                <w:szCs w:val="18"/>
              </w:rPr>
              <w:t>Sub-total contributions by owners</w:t>
            </w:r>
          </w:p>
        </w:tc>
        <w:tc>
          <w:tcPr>
            <w:tcW w:w="1176" w:type="dxa"/>
            <w:tcBorders>
              <w:top w:val="single" w:sz="4" w:space="0" w:color="auto"/>
              <w:left w:val="nil"/>
              <w:bottom w:val="single" w:sz="4" w:space="0" w:color="auto"/>
              <w:right w:val="nil"/>
            </w:tcBorders>
            <w:shd w:val="clear" w:color="FFFFFF" w:fill="FFFFFF"/>
            <w:noWrap/>
            <w:vAlign w:val="bottom"/>
            <w:hideMark/>
          </w:tcPr>
          <w:p w14:paraId="6B8008D7" w14:textId="77777777" w:rsidR="00A43992" w:rsidRPr="00267088" w:rsidRDefault="00A43992" w:rsidP="007211E3">
            <w:pPr>
              <w:jc w:val="right"/>
              <w:rPr>
                <w:rFonts w:ascii="Arial" w:hAnsi="Arial" w:cs="Arial"/>
                <w:b/>
                <w:bCs/>
                <w:sz w:val="18"/>
                <w:szCs w:val="18"/>
              </w:rPr>
            </w:pPr>
            <w:r w:rsidRPr="00267088">
              <w:rPr>
                <w:rFonts w:ascii="Arial" w:hAnsi="Arial" w:cs="Arial"/>
                <w:b/>
                <w:bCs/>
                <w:sz w:val="18"/>
                <w:szCs w:val="18"/>
              </w:rPr>
              <w:t>57,756</w:t>
            </w:r>
          </w:p>
        </w:tc>
        <w:tc>
          <w:tcPr>
            <w:tcW w:w="1176" w:type="dxa"/>
            <w:tcBorders>
              <w:top w:val="single" w:sz="4" w:space="0" w:color="auto"/>
              <w:left w:val="nil"/>
              <w:bottom w:val="single" w:sz="4" w:space="0" w:color="auto"/>
              <w:right w:val="nil"/>
            </w:tcBorders>
            <w:shd w:val="clear" w:color="FFFFFF" w:fill="FFFFFF"/>
            <w:noWrap/>
            <w:vAlign w:val="bottom"/>
            <w:hideMark/>
          </w:tcPr>
          <w:p w14:paraId="29E005A3" w14:textId="77777777" w:rsidR="00A43992" w:rsidRDefault="00A43992" w:rsidP="007211E3">
            <w:pPr>
              <w:jc w:val="right"/>
              <w:rPr>
                <w:rFonts w:ascii="Arial" w:hAnsi="Arial" w:cs="Arial"/>
                <w:sz w:val="18"/>
                <w:szCs w:val="18"/>
              </w:rPr>
            </w:pPr>
            <w:r>
              <w:rPr>
                <w:rFonts w:ascii="Arial" w:hAnsi="Arial" w:cs="Arial"/>
                <w:sz w:val="18"/>
                <w:szCs w:val="18"/>
              </w:rPr>
              <w:t>(6,910)</w:t>
            </w:r>
          </w:p>
        </w:tc>
        <w:tc>
          <w:tcPr>
            <w:tcW w:w="272" w:type="dxa"/>
            <w:tcBorders>
              <w:top w:val="single" w:sz="4" w:space="0" w:color="auto"/>
              <w:left w:val="nil"/>
              <w:bottom w:val="single" w:sz="4" w:space="0" w:color="auto"/>
              <w:right w:val="nil"/>
            </w:tcBorders>
            <w:shd w:val="clear" w:color="FFFFFF" w:fill="FFFFFF"/>
            <w:noWrap/>
            <w:vAlign w:val="bottom"/>
            <w:hideMark/>
          </w:tcPr>
          <w:p w14:paraId="1244F67D" w14:textId="77777777" w:rsidR="00A43992" w:rsidRDefault="00A43992" w:rsidP="007211E3">
            <w:pPr>
              <w:jc w:val="right"/>
              <w:rPr>
                <w:rFonts w:ascii="Arial" w:hAnsi="Arial" w:cs="Arial"/>
                <w:sz w:val="18"/>
                <w:szCs w:val="18"/>
              </w:rPr>
            </w:pPr>
            <w:r>
              <w:rPr>
                <w:rFonts w:ascii="Arial" w:hAnsi="Arial" w:cs="Arial"/>
                <w:sz w:val="18"/>
                <w:szCs w:val="18"/>
              </w:rPr>
              <w:t> </w:t>
            </w:r>
          </w:p>
        </w:tc>
        <w:tc>
          <w:tcPr>
            <w:tcW w:w="1176" w:type="dxa"/>
            <w:tcBorders>
              <w:top w:val="single" w:sz="4" w:space="0" w:color="auto"/>
              <w:left w:val="nil"/>
              <w:bottom w:val="single" w:sz="4" w:space="0" w:color="auto"/>
              <w:right w:val="nil"/>
            </w:tcBorders>
            <w:shd w:val="clear" w:color="FFFFFF" w:fill="FFFFFF"/>
            <w:noWrap/>
            <w:vAlign w:val="bottom"/>
            <w:hideMark/>
          </w:tcPr>
          <w:p w14:paraId="7AB0DCB1" w14:textId="77777777" w:rsidR="00A43992" w:rsidRDefault="00A43992" w:rsidP="007211E3">
            <w:pPr>
              <w:jc w:val="right"/>
              <w:rPr>
                <w:rFonts w:ascii="Arial" w:hAnsi="Arial" w:cs="Arial"/>
                <w:sz w:val="18"/>
                <w:szCs w:val="18"/>
              </w:rPr>
            </w:pPr>
            <w:r>
              <w:rPr>
                <w:rFonts w:ascii="Arial" w:hAnsi="Arial" w:cs="Arial"/>
                <w:sz w:val="18"/>
                <w:szCs w:val="18"/>
              </w:rPr>
              <w:t>57,756</w:t>
            </w:r>
          </w:p>
        </w:tc>
      </w:tr>
      <w:tr w:rsidR="00A43992" w14:paraId="731DAA13" w14:textId="77777777" w:rsidTr="007211E3">
        <w:trPr>
          <w:trHeight w:val="255"/>
        </w:trPr>
        <w:tc>
          <w:tcPr>
            <w:tcW w:w="4316" w:type="dxa"/>
            <w:tcBorders>
              <w:top w:val="nil"/>
              <w:left w:val="nil"/>
              <w:bottom w:val="single" w:sz="4" w:space="0" w:color="auto"/>
              <w:right w:val="nil"/>
            </w:tcBorders>
            <w:shd w:val="clear" w:color="FFFFFF" w:fill="FFFFFF"/>
            <w:vAlign w:val="bottom"/>
            <w:hideMark/>
          </w:tcPr>
          <w:p w14:paraId="624F491B" w14:textId="77777777" w:rsidR="00A43992" w:rsidRDefault="00A43992" w:rsidP="007211E3">
            <w:pPr>
              <w:rPr>
                <w:rFonts w:ascii="Arial" w:hAnsi="Arial" w:cs="Arial"/>
                <w:b/>
                <w:bCs/>
                <w:sz w:val="18"/>
                <w:szCs w:val="18"/>
              </w:rPr>
            </w:pPr>
            <w:r>
              <w:rPr>
                <w:rFonts w:ascii="Arial" w:hAnsi="Arial" w:cs="Arial"/>
                <w:b/>
                <w:bCs/>
                <w:sz w:val="18"/>
                <w:szCs w:val="18"/>
              </w:rPr>
              <w:t> </w:t>
            </w:r>
          </w:p>
        </w:tc>
        <w:tc>
          <w:tcPr>
            <w:tcW w:w="1176" w:type="dxa"/>
            <w:tcBorders>
              <w:top w:val="nil"/>
              <w:left w:val="nil"/>
              <w:bottom w:val="single" w:sz="4" w:space="0" w:color="auto"/>
              <w:right w:val="nil"/>
            </w:tcBorders>
            <w:shd w:val="clear" w:color="FFFFFF" w:fill="FFFFFF"/>
            <w:noWrap/>
            <w:vAlign w:val="bottom"/>
            <w:hideMark/>
          </w:tcPr>
          <w:p w14:paraId="16B48EC4" w14:textId="77777777" w:rsidR="00A43992" w:rsidRPr="00267088" w:rsidRDefault="00A43992" w:rsidP="007211E3">
            <w:pPr>
              <w:jc w:val="right"/>
              <w:rPr>
                <w:rFonts w:ascii="Arial" w:hAnsi="Arial" w:cs="Arial"/>
                <w:b/>
                <w:bCs/>
                <w:sz w:val="18"/>
                <w:szCs w:val="18"/>
              </w:rPr>
            </w:pPr>
            <w:r w:rsidRPr="00267088">
              <w:rPr>
                <w:rFonts w:ascii="Arial" w:hAnsi="Arial" w:cs="Arial"/>
                <w:b/>
                <w:bCs/>
                <w:sz w:val="18"/>
                <w:szCs w:val="18"/>
              </w:rPr>
              <w:t> </w:t>
            </w:r>
          </w:p>
        </w:tc>
        <w:tc>
          <w:tcPr>
            <w:tcW w:w="1176" w:type="dxa"/>
            <w:tcBorders>
              <w:top w:val="nil"/>
              <w:left w:val="nil"/>
              <w:bottom w:val="single" w:sz="4" w:space="0" w:color="auto"/>
              <w:right w:val="nil"/>
            </w:tcBorders>
            <w:shd w:val="clear" w:color="FFFFFF" w:fill="FFFFFF"/>
            <w:noWrap/>
            <w:vAlign w:val="bottom"/>
            <w:hideMark/>
          </w:tcPr>
          <w:p w14:paraId="27D5B5A5" w14:textId="77777777" w:rsidR="00A43992" w:rsidRDefault="00A43992" w:rsidP="007211E3">
            <w:pPr>
              <w:jc w:val="right"/>
              <w:rPr>
                <w:rFonts w:ascii="Arial" w:hAnsi="Arial" w:cs="Arial"/>
                <w:sz w:val="18"/>
                <w:szCs w:val="18"/>
              </w:rPr>
            </w:pPr>
            <w:r>
              <w:rPr>
                <w:rFonts w:ascii="Arial" w:hAnsi="Arial" w:cs="Arial"/>
                <w:sz w:val="18"/>
                <w:szCs w:val="18"/>
              </w:rPr>
              <w:t> </w:t>
            </w:r>
          </w:p>
        </w:tc>
        <w:tc>
          <w:tcPr>
            <w:tcW w:w="272" w:type="dxa"/>
            <w:tcBorders>
              <w:top w:val="nil"/>
              <w:left w:val="nil"/>
              <w:bottom w:val="single" w:sz="4" w:space="0" w:color="auto"/>
              <w:right w:val="nil"/>
            </w:tcBorders>
            <w:shd w:val="clear" w:color="FFFFFF" w:fill="FFFFFF"/>
            <w:noWrap/>
            <w:vAlign w:val="bottom"/>
            <w:hideMark/>
          </w:tcPr>
          <w:p w14:paraId="4CA63682" w14:textId="77777777" w:rsidR="00A43992" w:rsidRDefault="00A43992" w:rsidP="007211E3">
            <w:pPr>
              <w:jc w:val="right"/>
              <w:rPr>
                <w:rFonts w:ascii="Arial" w:hAnsi="Arial" w:cs="Arial"/>
                <w:sz w:val="18"/>
                <w:szCs w:val="18"/>
              </w:rPr>
            </w:pPr>
            <w:r>
              <w:rPr>
                <w:rFonts w:ascii="Arial" w:hAnsi="Arial" w:cs="Arial"/>
                <w:sz w:val="18"/>
                <w:szCs w:val="18"/>
              </w:rPr>
              <w:t> </w:t>
            </w:r>
          </w:p>
        </w:tc>
        <w:tc>
          <w:tcPr>
            <w:tcW w:w="1176" w:type="dxa"/>
            <w:tcBorders>
              <w:top w:val="nil"/>
              <w:left w:val="nil"/>
              <w:bottom w:val="single" w:sz="4" w:space="0" w:color="auto"/>
              <w:right w:val="nil"/>
            </w:tcBorders>
            <w:shd w:val="clear" w:color="FFFFFF" w:fill="FFFFFF"/>
            <w:noWrap/>
            <w:vAlign w:val="bottom"/>
            <w:hideMark/>
          </w:tcPr>
          <w:p w14:paraId="1F860294" w14:textId="77777777" w:rsidR="00A43992" w:rsidRDefault="00A43992" w:rsidP="007211E3">
            <w:pPr>
              <w:jc w:val="right"/>
              <w:rPr>
                <w:rFonts w:ascii="Arial" w:hAnsi="Arial" w:cs="Arial"/>
                <w:sz w:val="18"/>
                <w:szCs w:val="18"/>
              </w:rPr>
            </w:pPr>
            <w:r>
              <w:rPr>
                <w:rFonts w:ascii="Arial" w:hAnsi="Arial" w:cs="Arial"/>
                <w:sz w:val="18"/>
                <w:szCs w:val="18"/>
              </w:rPr>
              <w:t> </w:t>
            </w:r>
          </w:p>
        </w:tc>
      </w:tr>
      <w:tr w:rsidR="00A43992" w14:paraId="391C2FE2" w14:textId="77777777" w:rsidTr="007211E3">
        <w:trPr>
          <w:trHeight w:val="255"/>
        </w:trPr>
        <w:tc>
          <w:tcPr>
            <w:tcW w:w="4316" w:type="dxa"/>
            <w:tcBorders>
              <w:top w:val="nil"/>
              <w:left w:val="nil"/>
              <w:bottom w:val="single" w:sz="4" w:space="0" w:color="auto"/>
              <w:right w:val="nil"/>
            </w:tcBorders>
            <w:shd w:val="clear" w:color="FFFFFF" w:fill="FFFFFF"/>
            <w:vAlign w:val="bottom"/>
            <w:hideMark/>
          </w:tcPr>
          <w:p w14:paraId="54129196" w14:textId="77777777" w:rsidR="00A43992" w:rsidRDefault="00A43992" w:rsidP="007211E3">
            <w:pPr>
              <w:rPr>
                <w:rFonts w:ascii="Arial" w:hAnsi="Arial" w:cs="Arial"/>
                <w:b/>
                <w:bCs/>
                <w:sz w:val="18"/>
                <w:szCs w:val="18"/>
              </w:rPr>
            </w:pPr>
            <w:r>
              <w:rPr>
                <w:rFonts w:ascii="Arial" w:hAnsi="Arial" w:cs="Arial"/>
                <w:b/>
                <w:bCs/>
                <w:sz w:val="18"/>
                <w:szCs w:val="18"/>
              </w:rPr>
              <w:t>Closing balance</w:t>
            </w:r>
          </w:p>
        </w:tc>
        <w:tc>
          <w:tcPr>
            <w:tcW w:w="1176" w:type="dxa"/>
            <w:tcBorders>
              <w:top w:val="nil"/>
              <w:left w:val="nil"/>
              <w:bottom w:val="single" w:sz="4" w:space="0" w:color="auto"/>
              <w:right w:val="nil"/>
            </w:tcBorders>
            <w:shd w:val="clear" w:color="FFFFFF" w:fill="FFFFFF"/>
            <w:noWrap/>
            <w:vAlign w:val="bottom"/>
            <w:hideMark/>
          </w:tcPr>
          <w:p w14:paraId="67681CE7" w14:textId="77777777" w:rsidR="00A43992" w:rsidRPr="00267088" w:rsidRDefault="00A43992" w:rsidP="007211E3">
            <w:pPr>
              <w:jc w:val="right"/>
              <w:rPr>
                <w:rFonts w:ascii="Arial" w:hAnsi="Arial" w:cs="Arial"/>
                <w:b/>
                <w:bCs/>
                <w:sz w:val="18"/>
                <w:szCs w:val="18"/>
              </w:rPr>
            </w:pPr>
            <w:r w:rsidRPr="00267088">
              <w:rPr>
                <w:rFonts w:ascii="Arial" w:hAnsi="Arial" w:cs="Arial"/>
                <w:b/>
                <w:bCs/>
                <w:sz w:val="18"/>
                <w:szCs w:val="18"/>
              </w:rPr>
              <w:t>125,586</w:t>
            </w:r>
          </w:p>
        </w:tc>
        <w:tc>
          <w:tcPr>
            <w:tcW w:w="1176" w:type="dxa"/>
            <w:tcBorders>
              <w:top w:val="nil"/>
              <w:left w:val="nil"/>
              <w:bottom w:val="single" w:sz="4" w:space="0" w:color="auto"/>
              <w:right w:val="nil"/>
            </w:tcBorders>
            <w:shd w:val="clear" w:color="FFFFFF" w:fill="FFFFFF"/>
            <w:noWrap/>
            <w:vAlign w:val="bottom"/>
            <w:hideMark/>
          </w:tcPr>
          <w:p w14:paraId="2029BBF6" w14:textId="77777777" w:rsidR="00A43992" w:rsidRDefault="00A43992" w:rsidP="007211E3">
            <w:pPr>
              <w:jc w:val="right"/>
              <w:rPr>
                <w:rFonts w:ascii="Arial" w:hAnsi="Arial" w:cs="Arial"/>
                <w:sz w:val="18"/>
                <w:szCs w:val="18"/>
              </w:rPr>
            </w:pPr>
            <w:r>
              <w:rPr>
                <w:rFonts w:ascii="Arial" w:hAnsi="Arial" w:cs="Arial"/>
                <w:sz w:val="18"/>
                <w:szCs w:val="18"/>
              </w:rPr>
              <w:t>50,167</w:t>
            </w:r>
          </w:p>
        </w:tc>
        <w:tc>
          <w:tcPr>
            <w:tcW w:w="272" w:type="dxa"/>
            <w:tcBorders>
              <w:top w:val="nil"/>
              <w:left w:val="nil"/>
              <w:bottom w:val="single" w:sz="4" w:space="0" w:color="auto"/>
              <w:right w:val="nil"/>
            </w:tcBorders>
            <w:shd w:val="clear" w:color="FFFFFF" w:fill="FFFFFF"/>
            <w:noWrap/>
            <w:vAlign w:val="bottom"/>
            <w:hideMark/>
          </w:tcPr>
          <w:p w14:paraId="7C1C915F" w14:textId="77777777" w:rsidR="00A43992" w:rsidRDefault="00A43992" w:rsidP="007211E3">
            <w:pPr>
              <w:jc w:val="right"/>
              <w:rPr>
                <w:rFonts w:ascii="Arial" w:hAnsi="Arial" w:cs="Arial"/>
                <w:sz w:val="18"/>
                <w:szCs w:val="18"/>
              </w:rPr>
            </w:pPr>
            <w:r>
              <w:rPr>
                <w:rFonts w:ascii="Arial" w:hAnsi="Arial" w:cs="Arial"/>
                <w:sz w:val="18"/>
                <w:szCs w:val="18"/>
              </w:rPr>
              <w:t> </w:t>
            </w:r>
          </w:p>
        </w:tc>
        <w:tc>
          <w:tcPr>
            <w:tcW w:w="1176" w:type="dxa"/>
            <w:tcBorders>
              <w:top w:val="nil"/>
              <w:left w:val="nil"/>
              <w:bottom w:val="single" w:sz="4" w:space="0" w:color="auto"/>
              <w:right w:val="nil"/>
            </w:tcBorders>
            <w:shd w:val="clear" w:color="FFFFFF" w:fill="FFFFFF"/>
            <w:noWrap/>
            <w:vAlign w:val="bottom"/>
            <w:hideMark/>
          </w:tcPr>
          <w:p w14:paraId="6F01F4E0" w14:textId="77777777" w:rsidR="00A43992" w:rsidRDefault="00A43992" w:rsidP="007211E3">
            <w:pPr>
              <w:jc w:val="right"/>
              <w:rPr>
                <w:rFonts w:ascii="Arial" w:hAnsi="Arial" w:cs="Arial"/>
                <w:sz w:val="18"/>
                <w:szCs w:val="18"/>
              </w:rPr>
            </w:pPr>
            <w:r>
              <w:rPr>
                <w:rFonts w:ascii="Arial" w:hAnsi="Arial" w:cs="Arial"/>
                <w:sz w:val="18"/>
                <w:szCs w:val="18"/>
              </w:rPr>
              <w:t>107,514</w:t>
            </w:r>
          </w:p>
        </w:tc>
      </w:tr>
    </w:tbl>
    <w:p w14:paraId="0965CA58" w14:textId="77777777" w:rsidR="00A43992" w:rsidRDefault="00A43992" w:rsidP="00A43992">
      <w:bookmarkStart w:id="104" w:name="RANGE!E8:I50"/>
      <w:bookmarkStart w:id="105" w:name="RANGE!E8:I54"/>
      <w:bookmarkStart w:id="106" w:name="RANGE!E8:H65"/>
      <w:bookmarkStart w:id="107" w:name="RANGE!E7:H64"/>
      <w:bookmarkStart w:id="108" w:name="RANGE!E7:H67"/>
      <w:bookmarkStart w:id="109" w:name="RANGE!E7:L24"/>
      <w:bookmarkStart w:id="110" w:name="RANGE!E7:M24"/>
      <w:bookmarkStart w:id="111" w:name="RANGE!E7:M26"/>
      <w:bookmarkStart w:id="112" w:name="RANGE!E7:M25"/>
      <w:bookmarkStart w:id="113" w:name="RANGE!E7:M36"/>
      <w:bookmarkStart w:id="114" w:name="RANGE!E6:M35"/>
      <w:bookmarkStart w:id="115" w:name="RANGE!E6:E37"/>
      <w:bookmarkStart w:id="116" w:name="RANGE!E6:M37"/>
      <w:bookmarkEnd w:id="104"/>
      <w:bookmarkEnd w:id="105"/>
      <w:bookmarkEnd w:id="106"/>
      <w:bookmarkEnd w:id="107"/>
      <w:bookmarkEnd w:id="108"/>
      <w:bookmarkEnd w:id="109"/>
      <w:bookmarkEnd w:id="110"/>
      <w:bookmarkEnd w:id="111"/>
      <w:bookmarkEnd w:id="112"/>
      <w:bookmarkEnd w:id="113"/>
      <w:bookmarkEnd w:id="114"/>
      <w:bookmarkEnd w:id="115"/>
      <w:bookmarkEnd w:id="116"/>
    </w:p>
    <w:p w14:paraId="21105242" w14:textId="77777777" w:rsidR="00A43992" w:rsidRDefault="00A43992" w:rsidP="00A43992">
      <w:pPr>
        <w:rPr>
          <w:rFonts w:ascii="Arial" w:hAnsi="Arial" w:cs="Arial"/>
          <w:sz w:val="18"/>
          <w:szCs w:val="18"/>
        </w:rPr>
      </w:pPr>
      <w:r w:rsidRPr="00EA2B3D">
        <w:rPr>
          <w:rFonts w:ascii="Arial" w:hAnsi="Arial" w:cs="Arial"/>
          <w:sz w:val="18"/>
          <w:szCs w:val="18"/>
        </w:rPr>
        <w:t xml:space="preserve">The </w:t>
      </w:r>
      <w:r>
        <w:rPr>
          <w:rFonts w:ascii="Arial" w:hAnsi="Arial" w:cs="Arial"/>
          <w:sz w:val="18"/>
          <w:szCs w:val="18"/>
        </w:rPr>
        <w:t>above statement should be read in conjunction with the accompanying notes.</w:t>
      </w:r>
    </w:p>
    <w:p w14:paraId="0A3081FA" w14:textId="77777777" w:rsidR="00A43992" w:rsidRPr="00EA2B3D" w:rsidRDefault="00A43992" w:rsidP="00A43992">
      <w:pPr>
        <w:rPr>
          <w:rFonts w:ascii="Arial" w:hAnsi="Arial" w:cs="Arial"/>
          <w:sz w:val="18"/>
          <w:szCs w:val="18"/>
        </w:rPr>
      </w:pPr>
      <w:r w:rsidRPr="00EA2B3D">
        <w:rPr>
          <w:rFonts w:ascii="Arial" w:hAnsi="Arial" w:cs="Arial"/>
          <w:sz w:val="18"/>
          <w:szCs w:val="18"/>
          <w:vertAlign w:val="superscript"/>
        </w:rPr>
        <w:t>1</w:t>
      </w:r>
      <w:r>
        <w:rPr>
          <w:rFonts w:ascii="Arial" w:hAnsi="Arial" w:cs="Arial"/>
          <w:sz w:val="18"/>
          <w:szCs w:val="18"/>
        </w:rPr>
        <w:t xml:space="preserve"> The Sector Development Fund transferred to the Department of Social Services effective 9 December 2014.</w:t>
      </w:r>
    </w:p>
    <w:p w14:paraId="01F6F8B0" w14:textId="77777777" w:rsidR="00A43992" w:rsidRDefault="00A43992" w:rsidP="00A43992">
      <w:r>
        <w:br w:type="page"/>
      </w:r>
    </w:p>
    <w:p w14:paraId="7AAF397F" w14:textId="180C10B8" w:rsidR="00A43992" w:rsidRPr="009044C9" w:rsidRDefault="00A43992" w:rsidP="00A43992">
      <w:pPr>
        <w:pStyle w:val="PolicyheadingDept"/>
        <w:pBdr>
          <w:left w:val="single" w:sz="4" w:space="4" w:color="6B2976"/>
          <w:right w:val="single" w:sz="4" w:space="4" w:color="6B2976"/>
        </w:pBdr>
        <w:outlineLvl w:val="0"/>
      </w:pPr>
      <w:r w:rsidRPr="009044C9">
        <w:lastRenderedPageBreak/>
        <w:t>Accounting Policy</w:t>
      </w:r>
    </w:p>
    <w:p w14:paraId="2F3DBADF" w14:textId="1F7FF183" w:rsidR="00A43992" w:rsidRPr="00C83FE8" w:rsidRDefault="00A43992" w:rsidP="00A43992">
      <w:pPr>
        <w:pStyle w:val="PolicytextDept"/>
        <w:pBdr>
          <w:left w:val="single" w:sz="4" w:space="4" w:color="6B2976"/>
          <w:right w:val="single" w:sz="4" w:space="4" w:color="6B2976"/>
        </w:pBdr>
        <w:outlineLvl w:val="0"/>
        <w:rPr>
          <w:u w:val="single"/>
        </w:rPr>
      </w:pPr>
      <w:r w:rsidRPr="00C83FE8">
        <w:rPr>
          <w:u w:val="single"/>
        </w:rPr>
        <w:t xml:space="preserve">Equity injections </w:t>
      </w:r>
    </w:p>
    <w:p w14:paraId="6E36BF9F" w14:textId="77777777" w:rsidR="00A43992" w:rsidRDefault="00A43992" w:rsidP="00A43992">
      <w:pPr>
        <w:pStyle w:val="PolicytextDept"/>
        <w:pBdr>
          <w:left w:val="single" w:sz="4" w:space="4" w:color="6B2976"/>
          <w:right w:val="single" w:sz="4" w:space="4" w:color="6B2976"/>
        </w:pBdr>
      </w:pPr>
      <w:r w:rsidRPr="00A65285">
        <w:t xml:space="preserve">Amounts received which are designated as ‘equity injections’ for a year (less any formal reductions) </w:t>
      </w:r>
      <w:r>
        <w:t>a</w:t>
      </w:r>
      <w:r w:rsidRPr="00A65285">
        <w:t xml:space="preserve">re recognised directly in contributed equity in that year. </w:t>
      </w:r>
    </w:p>
    <w:p w14:paraId="456222F5" w14:textId="39290CB0" w:rsidR="00A43992" w:rsidRPr="00C83FE8" w:rsidRDefault="00A43992" w:rsidP="00A43992">
      <w:pPr>
        <w:pStyle w:val="PolicytextDept"/>
        <w:pBdr>
          <w:left w:val="single" w:sz="4" w:space="4" w:color="6B2976"/>
          <w:right w:val="single" w:sz="4" w:space="4" w:color="6B2976"/>
        </w:pBdr>
        <w:outlineLvl w:val="0"/>
        <w:rPr>
          <w:u w:val="single"/>
        </w:rPr>
      </w:pPr>
      <w:r>
        <w:rPr>
          <w:u w:val="single"/>
        </w:rPr>
        <w:t>Transfer to/from other entities</w:t>
      </w:r>
    </w:p>
    <w:p w14:paraId="60E3F5EE" w14:textId="77777777" w:rsidR="00A43992" w:rsidRPr="00BB6CF4" w:rsidRDefault="00A43992" w:rsidP="00A43992">
      <w:pPr>
        <w:pStyle w:val="PolicytextDept"/>
        <w:pBdr>
          <w:left w:val="single" w:sz="4" w:space="4" w:color="6B2976"/>
          <w:right w:val="single" w:sz="4" w:space="4" w:color="6B2976"/>
        </w:pBdr>
      </w:pPr>
      <w:r w:rsidRPr="00BB6CF4">
        <w:t xml:space="preserve">Net assets received from or </w:t>
      </w:r>
      <w:r>
        <w:t>transferred</w:t>
      </w:r>
      <w:r w:rsidRPr="00BB6CF4">
        <w:t xml:space="preserve"> to another Government entity under a restructuring of administrative arrangements are adjusted at their book value directly against contributed equity. </w:t>
      </w:r>
    </w:p>
    <w:p w14:paraId="245E9F01" w14:textId="610615E9" w:rsidR="00A43992" w:rsidRPr="00C83FE8" w:rsidRDefault="00A43992" w:rsidP="00A43992">
      <w:pPr>
        <w:pStyle w:val="PolicytextDept"/>
        <w:pBdr>
          <w:left w:val="single" w:sz="4" w:space="4" w:color="6B2976"/>
          <w:right w:val="single" w:sz="4" w:space="4" w:color="6B2976"/>
        </w:pBdr>
        <w:outlineLvl w:val="0"/>
        <w:rPr>
          <w:u w:val="single"/>
        </w:rPr>
      </w:pPr>
      <w:r w:rsidRPr="00C83FE8">
        <w:rPr>
          <w:u w:val="single"/>
        </w:rPr>
        <w:t>Other distributions to owners</w:t>
      </w:r>
    </w:p>
    <w:p w14:paraId="5D06A049" w14:textId="77777777" w:rsidR="00A43992" w:rsidRDefault="00A43992" w:rsidP="00A43992">
      <w:pPr>
        <w:pStyle w:val="PolicytextDept"/>
        <w:pBdr>
          <w:left w:val="single" w:sz="4" w:space="4" w:color="6B2976"/>
          <w:right w:val="single" w:sz="4" w:space="4" w:color="6B2976"/>
        </w:pBdr>
      </w:pPr>
      <w:r w:rsidRPr="00BB6CF4">
        <w:t xml:space="preserve">The </w:t>
      </w:r>
      <w:r w:rsidRPr="00C23E8F">
        <w:t xml:space="preserve">Public Governance, Performance and Accountability (Financial Reporting) Rule 2015 (FRR) </w:t>
      </w:r>
      <w:r w:rsidRPr="00BB6CF4">
        <w:t xml:space="preserve">require that distributions to owners be debited to contributed equity unless it is in the nature of a dividend. </w:t>
      </w:r>
      <w:bookmarkStart w:id="117" w:name="RANGE!E8:K54"/>
    </w:p>
    <w:p w14:paraId="623FEFD4" w14:textId="77777777" w:rsidR="00A43992" w:rsidRDefault="00A43992" w:rsidP="00A43992">
      <w:pPr>
        <w:pStyle w:val="PolicyheadingDept"/>
        <w:pBdr>
          <w:left w:val="single" w:sz="4" w:space="4" w:color="6B2976"/>
          <w:right w:val="single" w:sz="4" w:space="4" w:color="6B2976"/>
        </w:pBdr>
      </w:pPr>
    </w:p>
    <w:p w14:paraId="49E073A7" w14:textId="77777777" w:rsidR="00A43992" w:rsidRDefault="00A43992" w:rsidP="00A43992">
      <w:pPr>
        <w:pStyle w:val="PolicyheadingDept"/>
        <w:pBdr>
          <w:left w:val="single" w:sz="4" w:space="4" w:color="6B2976"/>
          <w:right w:val="single" w:sz="4" w:space="4" w:color="6B2976"/>
        </w:pBdr>
        <w:outlineLvl w:val="0"/>
      </w:pPr>
      <w:r w:rsidRPr="00D54E7F">
        <w:t>Budget Variances Commentary</w:t>
      </w:r>
    </w:p>
    <w:p w14:paraId="42C1AD20" w14:textId="77777777" w:rsidR="00A43992" w:rsidRPr="00BA6414" w:rsidRDefault="00A43992" w:rsidP="00A43992">
      <w:pPr>
        <w:pStyle w:val="PolicyheadingDept"/>
        <w:pBdr>
          <w:left w:val="single" w:sz="4" w:space="4" w:color="6B2976"/>
          <w:right w:val="single" w:sz="4" w:space="4" w:color="6B2976"/>
        </w:pBdr>
        <w:outlineLvl w:val="0"/>
      </w:pPr>
      <w:r w:rsidRPr="00BA6414">
        <w:t>St</w:t>
      </w:r>
      <w:r>
        <w:t>atement of Changes in Equity</w:t>
      </w:r>
    </w:p>
    <w:p w14:paraId="1B1B8E34" w14:textId="77777777" w:rsidR="00A43992" w:rsidRDefault="00A43992" w:rsidP="00A43992">
      <w:pPr>
        <w:pStyle w:val="PolicytextDept"/>
        <w:pBdr>
          <w:left w:val="single" w:sz="4" w:space="4" w:color="6B2976"/>
          <w:right w:val="single" w:sz="4" w:space="4" w:color="6B2976"/>
        </w:pBdr>
        <w:sectPr w:rsidR="00A43992" w:rsidSect="007211E3">
          <w:headerReference w:type="even" r:id="rId24"/>
          <w:headerReference w:type="default" r:id="rId25"/>
          <w:headerReference w:type="first" r:id="rId26"/>
          <w:pgSz w:w="11906" w:h="16838" w:code="9"/>
          <w:pgMar w:top="1134" w:right="1416" w:bottom="1134" w:left="1134" w:header="958" w:footer="737" w:gutter="0"/>
          <w:cols w:space="708"/>
          <w:docGrid w:linePitch="360"/>
        </w:sectPr>
      </w:pPr>
      <w:r>
        <w:t>Major budget variances for balances contained in the Statement of Changes in Equity have been included in the budget variances commentary for the Statement of Comprehensive Income and the Statement of Financial Position.</w:t>
      </w:r>
    </w:p>
    <w:tbl>
      <w:tblPr>
        <w:tblW w:w="9087" w:type="dxa"/>
        <w:tblInd w:w="80" w:type="dxa"/>
        <w:tblLayout w:type="fixed"/>
        <w:tblLook w:val="04A0" w:firstRow="1" w:lastRow="0" w:firstColumn="1" w:lastColumn="0" w:noHBand="0" w:noVBand="1"/>
      </w:tblPr>
      <w:tblGrid>
        <w:gridCol w:w="4592"/>
        <w:gridCol w:w="1047"/>
        <w:gridCol w:w="1012"/>
        <w:gridCol w:w="236"/>
        <w:gridCol w:w="982"/>
        <w:gridCol w:w="236"/>
        <w:gridCol w:w="982"/>
      </w:tblGrid>
      <w:tr w:rsidR="00A43992" w:rsidRPr="00CF09FD" w14:paraId="099D36D0" w14:textId="77777777" w:rsidTr="007211E3">
        <w:trPr>
          <w:trHeight w:val="480"/>
        </w:trPr>
        <w:tc>
          <w:tcPr>
            <w:tcW w:w="4592" w:type="dxa"/>
            <w:tcBorders>
              <w:top w:val="single" w:sz="4" w:space="0" w:color="6B2976"/>
              <w:left w:val="nil"/>
              <w:bottom w:val="nil"/>
              <w:right w:val="nil"/>
            </w:tcBorders>
            <w:shd w:val="clear" w:color="FFFFFF" w:fill="FFFFFF"/>
            <w:noWrap/>
            <w:vAlign w:val="bottom"/>
            <w:hideMark/>
          </w:tcPr>
          <w:p w14:paraId="0B2B11BF" w14:textId="77777777" w:rsidR="00A43992" w:rsidRDefault="00A43992" w:rsidP="007211E3">
            <w:pPr>
              <w:rPr>
                <w:rFonts w:ascii="Arial" w:hAnsi="Arial" w:cs="Arial"/>
                <w:sz w:val="18"/>
                <w:szCs w:val="18"/>
              </w:rPr>
            </w:pPr>
            <w:bookmarkStart w:id="118" w:name="Note_DCFTABLE1" w:colFirst="0" w:colLast="0"/>
            <w:r>
              <w:rPr>
                <w:rFonts w:ascii="Arial" w:hAnsi="Arial" w:cs="Arial"/>
                <w:sz w:val="18"/>
                <w:szCs w:val="18"/>
              </w:rPr>
              <w:lastRenderedPageBreak/>
              <w:t> </w:t>
            </w:r>
          </w:p>
        </w:tc>
        <w:tc>
          <w:tcPr>
            <w:tcW w:w="1047" w:type="dxa"/>
            <w:tcBorders>
              <w:top w:val="single" w:sz="4" w:space="0" w:color="6B2976"/>
              <w:left w:val="nil"/>
              <w:bottom w:val="nil"/>
              <w:right w:val="nil"/>
            </w:tcBorders>
            <w:shd w:val="clear" w:color="FFFFFF" w:fill="FFFFFF"/>
            <w:noWrap/>
            <w:vAlign w:val="bottom"/>
            <w:hideMark/>
          </w:tcPr>
          <w:p w14:paraId="0E54905A" w14:textId="77777777" w:rsidR="00A43992" w:rsidRDefault="00A43992" w:rsidP="007211E3">
            <w:pPr>
              <w:rPr>
                <w:rFonts w:ascii="Arial" w:hAnsi="Arial" w:cs="Arial"/>
                <w:sz w:val="18"/>
                <w:szCs w:val="18"/>
              </w:rPr>
            </w:pPr>
            <w:r>
              <w:rPr>
                <w:rFonts w:ascii="Arial" w:hAnsi="Arial" w:cs="Arial"/>
                <w:sz w:val="18"/>
                <w:szCs w:val="18"/>
              </w:rPr>
              <w:t> </w:t>
            </w:r>
          </w:p>
        </w:tc>
        <w:tc>
          <w:tcPr>
            <w:tcW w:w="1012" w:type="dxa"/>
            <w:tcBorders>
              <w:top w:val="single" w:sz="4" w:space="0" w:color="6B2976"/>
              <w:left w:val="nil"/>
              <w:bottom w:val="nil"/>
              <w:right w:val="nil"/>
            </w:tcBorders>
            <w:shd w:val="clear" w:color="FFFFFF" w:fill="FFFFFF"/>
            <w:noWrap/>
            <w:vAlign w:val="bottom"/>
            <w:hideMark/>
          </w:tcPr>
          <w:p w14:paraId="5D327681" w14:textId="77777777" w:rsidR="00A43992" w:rsidRDefault="00A43992" w:rsidP="007211E3">
            <w:pPr>
              <w:jc w:val="right"/>
              <w:rPr>
                <w:rFonts w:ascii="Arial" w:hAnsi="Arial" w:cs="Arial"/>
                <w:b/>
                <w:bCs/>
                <w:sz w:val="18"/>
                <w:szCs w:val="18"/>
              </w:rPr>
            </w:pPr>
            <w:r>
              <w:rPr>
                <w:rFonts w:ascii="Arial" w:hAnsi="Arial" w:cs="Arial"/>
                <w:b/>
                <w:bCs/>
                <w:sz w:val="18"/>
                <w:szCs w:val="18"/>
              </w:rPr>
              <w:t> </w:t>
            </w:r>
          </w:p>
        </w:tc>
        <w:tc>
          <w:tcPr>
            <w:tcW w:w="236" w:type="dxa"/>
            <w:tcBorders>
              <w:top w:val="single" w:sz="4" w:space="0" w:color="6B2976"/>
              <w:left w:val="nil"/>
              <w:bottom w:val="nil"/>
              <w:right w:val="nil"/>
            </w:tcBorders>
            <w:shd w:val="clear" w:color="FFFFFF" w:fill="FFFFFF"/>
            <w:noWrap/>
            <w:vAlign w:val="bottom"/>
            <w:hideMark/>
          </w:tcPr>
          <w:p w14:paraId="73F91A56" w14:textId="77777777" w:rsidR="00A43992" w:rsidRDefault="00A43992" w:rsidP="007211E3">
            <w:pPr>
              <w:rPr>
                <w:rFonts w:ascii="Arial" w:hAnsi="Arial" w:cs="Arial"/>
                <w:sz w:val="18"/>
                <w:szCs w:val="18"/>
              </w:rPr>
            </w:pPr>
            <w:r>
              <w:rPr>
                <w:rFonts w:ascii="Arial" w:hAnsi="Arial" w:cs="Arial"/>
                <w:sz w:val="18"/>
                <w:szCs w:val="18"/>
              </w:rPr>
              <w:t> </w:t>
            </w:r>
          </w:p>
        </w:tc>
        <w:tc>
          <w:tcPr>
            <w:tcW w:w="982" w:type="dxa"/>
            <w:tcBorders>
              <w:top w:val="single" w:sz="4" w:space="0" w:color="6B2976"/>
              <w:left w:val="nil"/>
              <w:bottom w:val="nil"/>
              <w:right w:val="nil"/>
            </w:tcBorders>
            <w:shd w:val="clear" w:color="FFFFFF" w:fill="FFFFFF"/>
            <w:noWrap/>
            <w:vAlign w:val="bottom"/>
            <w:hideMark/>
          </w:tcPr>
          <w:p w14:paraId="36744F87" w14:textId="77777777" w:rsidR="00A43992" w:rsidRDefault="00A43992" w:rsidP="007211E3">
            <w:pPr>
              <w:jc w:val="right"/>
              <w:rPr>
                <w:rFonts w:ascii="Arial" w:hAnsi="Arial" w:cs="Arial"/>
                <w:sz w:val="18"/>
                <w:szCs w:val="18"/>
              </w:rPr>
            </w:pPr>
            <w:r>
              <w:rPr>
                <w:rFonts w:ascii="Arial" w:hAnsi="Arial" w:cs="Arial"/>
                <w:sz w:val="18"/>
                <w:szCs w:val="18"/>
              </w:rPr>
              <w:t> </w:t>
            </w:r>
          </w:p>
        </w:tc>
        <w:tc>
          <w:tcPr>
            <w:tcW w:w="236" w:type="dxa"/>
            <w:tcBorders>
              <w:top w:val="single" w:sz="4" w:space="0" w:color="6B2976"/>
              <w:left w:val="nil"/>
              <w:bottom w:val="nil"/>
              <w:right w:val="nil"/>
            </w:tcBorders>
            <w:shd w:val="clear" w:color="FFFFFF" w:fill="FFFFFF"/>
            <w:noWrap/>
            <w:vAlign w:val="bottom"/>
            <w:hideMark/>
          </w:tcPr>
          <w:p w14:paraId="271BB24E" w14:textId="77777777" w:rsidR="00A43992" w:rsidRDefault="00A43992" w:rsidP="007211E3">
            <w:pPr>
              <w:rPr>
                <w:rFonts w:ascii="Arial" w:hAnsi="Arial" w:cs="Arial"/>
                <w:sz w:val="18"/>
                <w:szCs w:val="18"/>
              </w:rPr>
            </w:pPr>
            <w:r>
              <w:rPr>
                <w:rFonts w:ascii="Arial" w:hAnsi="Arial" w:cs="Arial"/>
                <w:sz w:val="18"/>
                <w:szCs w:val="18"/>
              </w:rPr>
              <w:t> </w:t>
            </w:r>
          </w:p>
        </w:tc>
        <w:tc>
          <w:tcPr>
            <w:tcW w:w="982" w:type="dxa"/>
            <w:tcBorders>
              <w:top w:val="single" w:sz="4" w:space="0" w:color="6B2976"/>
              <w:left w:val="nil"/>
              <w:bottom w:val="nil"/>
              <w:right w:val="nil"/>
            </w:tcBorders>
            <w:shd w:val="clear" w:color="FFFFFF" w:fill="FFFFFF"/>
            <w:vAlign w:val="bottom"/>
            <w:hideMark/>
          </w:tcPr>
          <w:p w14:paraId="6C942004" w14:textId="77777777" w:rsidR="00A43992" w:rsidRPr="00CF09FD" w:rsidRDefault="00A43992" w:rsidP="007211E3">
            <w:pPr>
              <w:jc w:val="right"/>
              <w:rPr>
                <w:rFonts w:ascii="Arial" w:hAnsi="Arial" w:cs="Arial"/>
                <w:color w:val="6B2976"/>
                <w:sz w:val="18"/>
                <w:szCs w:val="18"/>
              </w:rPr>
            </w:pPr>
            <w:r w:rsidRPr="00CF09FD">
              <w:rPr>
                <w:rFonts w:ascii="Arial" w:hAnsi="Arial" w:cs="Arial"/>
                <w:color w:val="6B2976"/>
                <w:sz w:val="18"/>
                <w:szCs w:val="18"/>
              </w:rPr>
              <w:t>Original</w:t>
            </w:r>
            <w:r w:rsidRPr="00CF09FD">
              <w:rPr>
                <w:rFonts w:ascii="Arial" w:hAnsi="Arial" w:cs="Arial"/>
                <w:color w:val="6B2976"/>
                <w:sz w:val="18"/>
                <w:szCs w:val="18"/>
              </w:rPr>
              <w:br/>
              <w:t>Budget</w:t>
            </w:r>
          </w:p>
        </w:tc>
      </w:tr>
      <w:bookmarkEnd w:id="118"/>
      <w:tr w:rsidR="00A43992" w:rsidRPr="00CF09FD" w14:paraId="333F57B0" w14:textId="77777777" w:rsidTr="007211E3">
        <w:trPr>
          <w:trHeight w:val="255"/>
        </w:trPr>
        <w:tc>
          <w:tcPr>
            <w:tcW w:w="4592" w:type="dxa"/>
            <w:tcBorders>
              <w:top w:val="nil"/>
              <w:left w:val="nil"/>
              <w:bottom w:val="nil"/>
              <w:right w:val="nil"/>
            </w:tcBorders>
            <w:shd w:val="clear" w:color="FFFFFF" w:fill="FFFFFF"/>
            <w:noWrap/>
            <w:vAlign w:val="bottom"/>
            <w:hideMark/>
          </w:tcPr>
          <w:p w14:paraId="6F4C78B1" w14:textId="77777777" w:rsidR="00A43992" w:rsidRDefault="00A43992" w:rsidP="007211E3">
            <w:pPr>
              <w:rPr>
                <w:rFonts w:ascii="Arial" w:hAnsi="Arial" w:cs="Arial"/>
                <w:sz w:val="18"/>
                <w:szCs w:val="18"/>
              </w:rPr>
            </w:pPr>
            <w:r>
              <w:rPr>
                <w:rFonts w:ascii="Arial" w:hAnsi="Arial" w:cs="Arial"/>
                <w:sz w:val="18"/>
                <w:szCs w:val="18"/>
              </w:rPr>
              <w:t> </w:t>
            </w:r>
          </w:p>
        </w:tc>
        <w:tc>
          <w:tcPr>
            <w:tcW w:w="1047" w:type="dxa"/>
            <w:tcBorders>
              <w:top w:val="nil"/>
              <w:left w:val="nil"/>
              <w:bottom w:val="nil"/>
              <w:right w:val="nil"/>
            </w:tcBorders>
            <w:shd w:val="clear" w:color="FFFFFF" w:fill="FFFFFF"/>
            <w:noWrap/>
            <w:vAlign w:val="bottom"/>
            <w:hideMark/>
          </w:tcPr>
          <w:p w14:paraId="63BF01CE" w14:textId="77777777" w:rsidR="00A43992" w:rsidRDefault="00A43992" w:rsidP="007211E3">
            <w:pPr>
              <w:rPr>
                <w:rFonts w:ascii="Arial" w:hAnsi="Arial" w:cs="Arial"/>
                <w:sz w:val="18"/>
                <w:szCs w:val="18"/>
              </w:rPr>
            </w:pPr>
            <w:r>
              <w:rPr>
                <w:rFonts w:ascii="Arial" w:hAnsi="Arial" w:cs="Arial"/>
                <w:sz w:val="18"/>
                <w:szCs w:val="18"/>
              </w:rPr>
              <w:t> </w:t>
            </w:r>
          </w:p>
        </w:tc>
        <w:tc>
          <w:tcPr>
            <w:tcW w:w="1012" w:type="dxa"/>
            <w:tcBorders>
              <w:top w:val="nil"/>
              <w:left w:val="nil"/>
              <w:bottom w:val="nil"/>
              <w:right w:val="nil"/>
            </w:tcBorders>
            <w:shd w:val="clear" w:color="FFFFFF" w:fill="FFFFFF"/>
            <w:noWrap/>
            <w:vAlign w:val="bottom"/>
            <w:hideMark/>
          </w:tcPr>
          <w:p w14:paraId="31B51E11" w14:textId="77777777" w:rsidR="00A43992" w:rsidRDefault="00A43992" w:rsidP="007211E3">
            <w:pPr>
              <w:jc w:val="right"/>
              <w:rPr>
                <w:rFonts w:ascii="Arial" w:hAnsi="Arial" w:cs="Arial"/>
                <w:b/>
                <w:bCs/>
                <w:sz w:val="18"/>
                <w:szCs w:val="18"/>
              </w:rPr>
            </w:pPr>
            <w:r>
              <w:rPr>
                <w:rFonts w:ascii="Arial" w:hAnsi="Arial" w:cs="Arial"/>
                <w:b/>
                <w:bCs/>
                <w:sz w:val="18"/>
                <w:szCs w:val="18"/>
              </w:rPr>
              <w:t>2016</w:t>
            </w:r>
          </w:p>
        </w:tc>
        <w:tc>
          <w:tcPr>
            <w:tcW w:w="236" w:type="dxa"/>
            <w:tcBorders>
              <w:top w:val="nil"/>
              <w:left w:val="nil"/>
              <w:bottom w:val="nil"/>
              <w:right w:val="nil"/>
            </w:tcBorders>
            <w:shd w:val="clear" w:color="FFFFFF" w:fill="FFFFFF"/>
            <w:noWrap/>
            <w:vAlign w:val="bottom"/>
            <w:hideMark/>
          </w:tcPr>
          <w:p w14:paraId="0C4F510A" w14:textId="77777777" w:rsidR="00A43992" w:rsidRDefault="00A43992" w:rsidP="007211E3">
            <w:pPr>
              <w:rPr>
                <w:rFonts w:ascii="Arial" w:hAnsi="Arial" w:cs="Arial"/>
                <w:sz w:val="18"/>
                <w:szCs w:val="18"/>
              </w:rPr>
            </w:pPr>
            <w:r>
              <w:rPr>
                <w:rFonts w:ascii="Arial" w:hAnsi="Arial" w:cs="Arial"/>
                <w:sz w:val="18"/>
                <w:szCs w:val="18"/>
              </w:rPr>
              <w:t> </w:t>
            </w:r>
          </w:p>
        </w:tc>
        <w:tc>
          <w:tcPr>
            <w:tcW w:w="982" w:type="dxa"/>
            <w:tcBorders>
              <w:top w:val="nil"/>
              <w:left w:val="nil"/>
              <w:bottom w:val="nil"/>
              <w:right w:val="nil"/>
            </w:tcBorders>
            <w:shd w:val="clear" w:color="FFFFFF" w:fill="FFFFFF"/>
            <w:noWrap/>
            <w:vAlign w:val="bottom"/>
            <w:hideMark/>
          </w:tcPr>
          <w:p w14:paraId="59E49E75" w14:textId="77777777" w:rsidR="00A43992" w:rsidRDefault="00A43992" w:rsidP="007211E3">
            <w:pPr>
              <w:jc w:val="right"/>
              <w:rPr>
                <w:rFonts w:ascii="Arial" w:hAnsi="Arial" w:cs="Arial"/>
                <w:sz w:val="18"/>
                <w:szCs w:val="18"/>
              </w:rPr>
            </w:pPr>
            <w:r>
              <w:rPr>
                <w:rFonts w:ascii="Arial" w:hAnsi="Arial" w:cs="Arial"/>
                <w:sz w:val="18"/>
                <w:szCs w:val="18"/>
              </w:rPr>
              <w:t>2015</w:t>
            </w:r>
          </w:p>
        </w:tc>
        <w:tc>
          <w:tcPr>
            <w:tcW w:w="236" w:type="dxa"/>
            <w:tcBorders>
              <w:top w:val="nil"/>
              <w:left w:val="nil"/>
              <w:bottom w:val="nil"/>
              <w:right w:val="nil"/>
            </w:tcBorders>
            <w:shd w:val="clear" w:color="FFFFFF" w:fill="FFFFFF"/>
            <w:noWrap/>
            <w:vAlign w:val="bottom"/>
            <w:hideMark/>
          </w:tcPr>
          <w:p w14:paraId="329FE6B1" w14:textId="77777777" w:rsidR="00A43992" w:rsidRDefault="00A43992" w:rsidP="007211E3">
            <w:pPr>
              <w:rPr>
                <w:rFonts w:ascii="Arial" w:hAnsi="Arial" w:cs="Arial"/>
                <w:sz w:val="18"/>
                <w:szCs w:val="18"/>
              </w:rPr>
            </w:pPr>
            <w:r>
              <w:rPr>
                <w:rFonts w:ascii="Arial" w:hAnsi="Arial" w:cs="Arial"/>
                <w:sz w:val="18"/>
                <w:szCs w:val="18"/>
              </w:rPr>
              <w:t> </w:t>
            </w:r>
          </w:p>
        </w:tc>
        <w:tc>
          <w:tcPr>
            <w:tcW w:w="982" w:type="dxa"/>
            <w:tcBorders>
              <w:top w:val="nil"/>
              <w:left w:val="nil"/>
              <w:bottom w:val="nil"/>
              <w:right w:val="nil"/>
            </w:tcBorders>
            <w:shd w:val="clear" w:color="auto" w:fill="auto"/>
            <w:noWrap/>
            <w:vAlign w:val="bottom"/>
            <w:hideMark/>
          </w:tcPr>
          <w:p w14:paraId="3B61D544" w14:textId="77777777" w:rsidR="00A43992" w:rsidRPr="00CF09FD" w:rsidRDefault="00A43992" w:rsidP="007211E3">
            <w:pPr>
              <w:jc w:val="right"/>
              <w:rPr>
                <w:rFonts w:ascii="Arial" w:hAnsi="Arial" w:cs="Arial"/>
                <w:color w:val="6B2976"/>
              </w:rPr>
            </w:pPr>
            <w:r w:rsidRPr="00CF09FD">
              <w:rPr>
                <w:rFonts w:ascii="Arial" w:hAnsi="Arial" w:cs="Arial"/>
                <w:color w:val="6B2976"/>
              </w:rPr>
              <w:t>2016</w:t>
            </w:r>
          </w:p>
        </w:tc>
      </w:tr>
      <w:tr w:rsidR="00A43992" w:rsidRPr="00CF09FD" w14:paraId="2BD3CE7F" w14:textId="77777777" w:rsidTr="007211E3">
        <w:trPr>
          <w:trHeight w:val="270"/>
        </w:trPr>
        <w:tc>
          <w:tcPr>
            <w:tcW w:w="4592" w:type="dxa"/>
            <w:tcBorders>
              <w:top w:val="nil"/>
              <w:left w:val="nil"/>
              <w:bottom w:val="single" w:sz="4" w:space="0" w:color="6B2976"/>
              <w:right w:val="nil"/>
            </w:tcBorders>
            <w:shd w:val="clear" w:color="FFFFFF" w:fill="FFFFFF"/>
            <w:noWrap/>
            <w:vAlign w:val="bottom"/>
            <w:hideMark/>
          </w:tcPr>
          <w:p w14:paraId="2013C771" w14:textId="77777777" w:rsidR="00A43992" w:rsidRDefault="00A43992" w:rsidP="007211E3">
            <w:pPr>
              <w:rPr>
                <w:rFonts w:ascii="Arial" w:hAnsi="Arial" w:cs="Arial"/>
                <w:sz w:val="18"/>
                <w:szCs w:val="18"/>
              </w:rPr>
            </w:pPr>
            <w:r>
              <w:rPr>
                <w:rFonts w:ascii="Arial" w:hAnsi="Arial" w:cs="Arial"/>
                <w:sz w:val="18"/>
                <w:szCs w:val="18"/>
              </w:rPr>
              <w:t> </w:t>
            </w:r>
          </w:p>
        </w:tc>
        <w:tc>
          <w:tcPr>
            <w:tcW w:w="1047" w:type="dxa"/>
            <w:tcBorders>
              <w:top w:val="nil"/>
              <w:left w:val="nil"/>
              <w:bottom w:val="single" w:sz="4" w:space="0" w:color="6B2976"/>
              <w:right w:val="nil"/>
            </w:tcBorders>
            <w:shd w:val="clear" w:color="FFFFFF" w:fill="FFFFFF"/>
            <w:noWrap/>
            <w:vAlign w:val="bottom"/>
            <w:hideMark/>
          </w:tcPr>
          <w:p w14:paraId="31D6FEFC" w14:textId="77777777" w:rsidR="00A43992" w:rsidRDefault="00A43992" w:rsidP="007211E3">
            <w:pPr>
              <w:jc w:val="center"/>
              <w:rPr>
                <w:rFonts w:ascii="Arial" w:hAnsi="Arial" w:cs="Arial"/>
                <w:b/>
                <w:bCs/>
                <w:sz w:val="18"/>
                <w:szCs w:val="18"/>
              </w:rPr>
            </w:pPr>
            <w:r>
              <w:rPr>
                <w:rFonts w:ascii="Arial" w:hAnsi="Arial" w:cs="Arial"/>
                <w:b/>
                <w:bCs/>
                <w:sz w:val="18"/>
                <w:szCs w:val="18"/>
              </w:rPr>
              <w:t>Notes</w:t>
            </w:r>
          </w:p>
        </w:tc>
        <w:tc>
          <w:tcPr>
            <w:tcW w:w="1012" w:type="dxa"/>
            <w:tcBorders>
              <w:top w:val="nil"/>
              <w:left w:val="nil"/>
              <w:bottom w:val="single" w:sz="4" w:space="0" w:color="6B2976"/>
              <w:right w:val="nil"/>
            </w:tcBorders>
            <w:shd w:val="clear" w:color="FFFFFF" w:fill="FFFFFF"/>
            <w:noWrap/>
            <w:vAlign w:val="bottom"/>
            <w:hideMark/>
          </w:tcPr>
          <w:p w14:paraId="2000E796" w14:textId="77777777" w:rsidR="00A43992" w:rsidRDefault="00A43992" w:rsidP="007211E3">
            <w:pPr>
              <w:jc w:val="right"/>
              <w:rPr>
                <w:rFonts w:ascii="Arial" w:hAnsi="Arial" w:cs="Arial"/>
                <w:b/>
                <w:bCs/>
                <w:sz w:val="18"/>
                <w:szCs w:val="18"/>
              </w:rPr>
            </w:pPr>
            <w:r>
              <w:rPr>
                <w:rFonts w:ascii="Arial" w:hAnsi="Arial" w:cs="Arial"/>
                <w:b/>
                <w:bCs/>
                <w:sz w:val="18"/>
                <w:szCs w:val="18"/>
              </w:rPr>
              <w:t>$'000</w:t>
            </w:r>
          </w:p>
        </w:tc>
        <w:tc>
          <w:tcPr>
            <w:tcW w:w="236" w:type="dxa"/>
            <w:tcBorders>
              <w:top w:val="nil"/>
              <w:left w:val="nil"/>
              <w:bottom w:val="single" w:sz="4" w:space="0" w:color="6B2976"/>
              <w:right w:val="nil"/>
            </w:tcBorders>
            <w:shd w:val="clear" w:color="FFFFFF" w:fill="FFFFFF"/>
            <w:noWrap/>
            <w:vAlign w:val="bottom"/>
            <w:hideMark/>
          </w:tcPr>
          <w:p w14:paraId="5DC11765" w14:textId="77777777" w:rsidR="00A43992" w:rsidRDefault="00A43992" w:rsidP="007211E3">
            <w:pPr>
              <w:rPr>
                <w:rFonts w:ascii="Arial" w:hAnsi="Arial" w:cs="Arial"/>
                <w:sz w:val="18"/>
                <w:szCs w:val="18"/>
              </w:rPr>
            </w:pPr>
            <w:r>
              <w:rPr>
                <w:rFonts w:ascii="Arial" w:hAnsi="Arial" w:cs="Arial"/>
                <w:sz w:val="18"/>
                <w:szCs w:val="18"/>
              </w:rPr>
              <w:t> </w:t>
            </w:r>
          </w:p>
        </w:tc>
        <w:tc>
          <w:tcPr>
            <w:tcW w:w="982" w:type="dxa"/>
            <w:tcBorders>
              <w:top w:val="nil"/>
              <w:left w:val="nil"/>
              <w:bottom w:val="single" w:sz="4" w:space="0" w:color="6B2976"/>
              <w:right w:val="nil"/>
            </w:tcBorders>
            <w:shd w:val="clear" w:color="FFFFFF" w:fill="FFFFFF"/>
            <w:noWrap/>
            <w:vAlign w:val="bottom"/>
            <w:hideMark/>
          </w:tcPr>
          <w:p w14:paraId="53AB567B" w14:textId="77777777" w:rsidR="00A43992" w:rsidRDefault="00A43992" w:rsidP="007211E3">
            <w:pPr>
              <w:jc w:val="right"/>
              <w:rPr>
                <w:rFonts w:ascii="Arial" w:hAnsi="Arial" w:cs="Arial"/>
                <w:sz w:val="18"/>
                <w:szCs w:val="18"/>
              </w:rPr>
            </w:pPr>
            <w:r>
              <w:rPr>
                <w:rFonts w:ascii="Arial" w:hAnsi="Arial" w:cs="Arial"/>
                <w:sz w:val="18"/>
                <w:szCs w:val="18"/>
              </w:rPr>
              <w:t>$'000</w:t>
            </w:r>
          </w:p>
        </w:tc>
        <w:tc>
          <w:tcPr>
            <w:tcW w:w="236" w:type="dxa"/>
            <w:tcBorders>
              <w:top w:val="nil"/>
              <w:left w:val="nil"/>
              <w:bottom w:val="single" w:sz="4" w:space="0" w:color="6B2976"/>
              <w:right w:val="nil"/>
            </w:tcBorders>
            <w:shd w:val="clear" w:color="FFFFFF" w:fill="FFFFFF"/>
            <w:noWrap/>
            <w:vAlign w:val="bottom"/>
            <w:hideMark/>
          </w:tcPr>
          <w:p w14:paraId="6F218FE3" w14:textId="77777777" w:rsidR="00A43992" w:rsidRDefault="00A43992" w:rsidP="007211E3">
            <w:pPr>
              <w:rPr>
                <w:rFonts w:ascii="Arial" w:hAnsi="Arial" w:cs="Arial"/>
                <w:sz w:val="18"/>
                <w:szCs w:val="18"/>
              </w:rPr>
            </w:pPr>
            <w:r>
              <w:rPr>
                <w:rFonts w:ascii="Arial" w:hAnsi="Arial" w:cs="Arial"/>
                <w:sz w:val="18"/>
                <w:szCs w:val="18"/>
              </w:rPr>
              <w:t> </w:t>
            </w:r>
          </w:p>
        </w:tc>
        <w:tc>
          <w:tcPr>
            <w:tcW w:w="982" w:type="dxa"/>
            <w:tcBorders>
              <w:top w:val="nil"/>
              <w:left w:val="nil"/>
              <w:bottom w:val="single" w:sz="4" w:space="0" w:color="6B2976"/>
              <w:right w:val="nil"/>
            </w:tcBorders>
            <w:shd w:val="clear" w:color="FFFFFF" w:fill="FFFFFF"/>
            <w:noWrap/>
            <w:vAlign w:val="bottom"/>
            <w:hideMark/>
          </w:tcPr>
          <w:p w14:paraId="7599E42F" w14:textId="77777777" w:rsidR="00A43992" w:rsidRPr="00CF09FD" w:rsidRDefault="00A43992" w:rsidP="007211E3">
            <w:pPr>
              <w:jc w:val="right"/>
              <w:rPr>
                <w:rFonts w:ascii="Arial" w:hAnsi="Arial" w:cs="Arial"/>
                <w:color w:val="6B2976"/>
                <w:sz w:val="18"/>
                <w:szCs w:val="18"/>
              </w:rPr>
            </w:pPr>
            <w:r w:rsidRPr="00CF09FD">
              <w:rPr>
                <w:rFonts w:ascii="Arial" w:hAnsi="Arial" w:cs="Arial"/>
                <w:color w:val="6B2976"/>
                <w:sz w:val="18"/>
                <w:szCs w:val="18"/>
              </w:rPr>
              <w:t>$'000</w:t>
            </w:r>
          </w:p>
        </w:tc>
      </w:tr>
      <w:tr w:rsidR="00A43992" w14:paraId="05F0381A" w14:textId="77777777" w:rsidTr="007211E3">
        <w:trPr>
          <w:trHeight w:val="255"/>
        </w:trPr>
        <w:tc>
          <w:tcPr>
            <w:tcW w:w="4592" w:type="dxa"/>
            <w:tcBorders>
              <w:top w:val="single" w:sz="4" w:space="0" w:color="6B2976"/>
              <w:left w:val="nil"/>
              <w:bottom w:val="nil"/>
              <w:right w:val="nil"/>
            </w:tcBorders>
            <w:shd w:val="clear" w:color="FFFFFF" w:fill="FFFFFF"/>
            <w:noWrap/>
            <w:vAlign w:val="bottom"/>
            <w:hideMark/>
          </w:tcPr>
          <w:p w14:paraId="77A59581" w14:textId="77777777" w:rsidR="00A43992" w:rsidRDefault="00A43992" w:rsidP="007211E3">
            <w:pPr>
              <w:rPr>
                <w:rFonts w:ascii="Arial" w:hAnsi="Arial" w:cs="Arial"/>
                <w:sz w:val="18"/>
                <w:szCs w:val="18"/>
              </w:rPr>
            </w:pPr>
            <w:r>
              <w:rPr>
                <w:rFonts w:ascii="Arial" w:hAnsi="Arial" w:cs="Arial"/>
                <w:sz w:val="18"/>
                <w:szCs w:val="18"/>
              </w:rPr>
              <w:t> </w:t>
            </w:r>
          </w:p>
        </w:tc>
        <w:tc>
          <w:tcPr>
            <w:tcW w:w="1047" w:type="dxa"/>
            <w:tcBorders>
              <w:top w:val="single" w:sz="4" w:space="0" w:color="6B2976"/>
              <w:left w:val="nil"/>
              <w:bottom w:val="nil"/>
              <w:right w:val="nil"/>
            </w:tcBorders>
            <w:shd w:val="clear" w:color="FFFFFF" w:fill="FFFFFF"/>
            <w:noWrap/>
            <w:vAlign w:val="bottom"/>
            <w:hideMark/>
          </w:tcPr>
          <w:p w14:paraId="26657EFC" w14:textId="77777777" w:rsidR="00A43992" w:rsidRDefault="00A43992" w:rsidP="007211E3">
            <w:pPr>
              <w:rPr>
                <w:rFonts w:ascii="Arial" w:hAnsi="Arial" w:cs="Arial"/>
                <w:sz w:val="18"/>
                <w:szCs w:val="18"/>
              </w:rPr>
            </w:pPr>
            <w:r>
              <w:rPr>
                <w:rFonts w:ascii="Arial" w:hAnsi="Arial" w:cs="Arial"/>
                <w:sz w:val="18"/>
                <w:szCs w:val="18"/>
              </w:rPr>
              <w:t> </w:t>
            </w:r>
          </w:p>
        </w:tc>
        <w:tc>
          <w:tcPr>
            <w:tcW w:w="1012" w:type="dxa"/>
            <w:tcBorders>
              <w:top w:val="single" w:sz="4" w:space="0" w:color="6B2976"/>
              <w:left w:val="nil"/>
              <w:bottom w:val="nil"/>
              <w:right w:val="nil"/>
            </w:tcBorders>
            <w:shd w:val="clear" w:color="FFFFFF" w:fill="FFFFFF"/>
            <w:noWrap/>
            <w:vAlign w:val="bottom"/>
            <w:hideMark/>
          </w:tcPr>
          <w:p w14:paraId="1EC54C9C" w14:textId="77777777" w:rsidR="00A43992" w:rsidRDefault="00A43992" w:rsidP="007211E3">
            <w:pPr>
              <w:rPr>
                <w:rFonts w:ascii="Arial" w:hAnsi="Arial" w:cs="Arial"/>
                <w:sz w:val="18"/>
                <w:szCs w:val="18"/>
              </w:rPr>
            </w:pPr>
            <w:r>
              <w:rPr>
                <w:rFonts w:ascii="Arial" w:hAnsi="Arial" w:cs="Arial"/>
                <w:sz w:val="18"/>
                <w:szCs w:val="18"/>
              </w:rPr>
              <w:t> </w:t>
            </w:r>
          </w:p>
        </w:tc>
        <w:tc>
          <w:tcPr>
            <w:tcW w:w="236" w:type="dxa"/>
            <w:tcBorders>
              <w:top w:val="single" w:sz="4" w:space="0" w:color="6B2976"/>
              <w:left w:val="nil"/>
              <w:bottom w:val="nil"/>
              <w:right w:val="nil"/>
            </w:tcBorders>
            <w:shd w:val="clear" w:color="FFFFFF" w:fill="FFFFFF"/>
            <w:noWrap/>
            <w:vAlign w:val="bottom"/>
            <w:hideMark/>
          </w:tcPr>
          <w:p w14:paraId="1218C5F4" w14:textId="77777777" w:rsidR="00A43992" w:rsidRDefault="00A43992" w:rsidP="007211E3">
            <w:pPr>
              <w:rPr>
                <w:rFonts w:ascii="Arial" w:hAnsi="Arial" w:cs="Arial"/>
                <w:sz w:val="18"/>
                <w:szCs w:val="18"/>
              </w:rPr>
            </w:pPr>
            <w:r>
              <w:rPr>
                <w:rFonts w:ascii="Arial" w:hAnsi="Arial" w:cs="Arial"/>
                <w:sz w:val="18"/>
                <w:szCs w:val="18"/>
              </w:rPr>
              <w:t> </w:t>
            </w:r>
          </w:p>
        </w:tc>
        <w:tc>
          <w:tcPr>
            <w:tcW w:w="982" w:type="dxa"/>
            <w:tcBorders>
              <w:top w:val="single" w:sz="4" w:space="0" w:color="6B2976"/>
              <w:left w:val="nil"/>
              <w:bottom w:val="nil"/>
              <w:right w:val="nil"/>
            </w:tcBorders>
            <w:shd w:val="clear" w:color="FFFFFF" w:fill="FFFFFF"/>
            <w:noWrap/>
            <w:vAlign w:val="bottom"/>
            <w:hideMark/>
          </w:tcPr>
          <w:p w14:paraId="5B6EEDD7" w14:textId="77777777" w:rsidR="00A43992" w:rsidRDefault="00A43992" w:rsidP="007211E3">
            <w:pPr>
              <w:rPr>
                <w:rFonts w:ascii="Arial" w:hAnsi="Arial" w:cs="Arial"/>
                <w:sz w:val="18"/>
                <w:szCs w:val="18"/>
              </w:rPr>
            </w:pPr>
            <w:r>
              <w:rPr>
                <w:rFonts w:ascii="Arial" w:hAnsi="Arial" w:cs="Arial"/>
                <w:sz w:val="18"/>
                <w:szCs w:val="18"/>
              </w:rPr>
              <w:t> </w:t>
            </w:r>
          </w:p>
        </w:tc>
        <w:tc>
          <w:tcPr>
            <w:tcW w:w="236" w:type="dxa"/>
            <w:tcBorders>
              <w:top w:val="single" w:sz="4" w:space="0" w:color="6B2976"/>
              <w:left w:val="nil"/>
              <w:bottom w:val="nil"/>
              <w:right w:val="nil"/>
            </w:tcBorders>
            <w:shd w:val="clear" w:color="FFFFFF" w:fill="FFFFFF"/>
            <w:noWrap/>
            <w:vAlign w:val="bottom"/>
            <w:hideMark/>
          </w:tcPr>
          <w:p w14:paraId="49A746E4" w14:textId="77777777" w:rsidR="00A43992" w:rsidRDefault="00A43992" w:rsidP="007211E3">
            <w:pPr>
              <w:rPr>
                <w:rFonts w:ascii="Arial" w:hAnsi="Arial" w:cs="Arial"/>
                <w:sz w:val="18"/>
                <w:szCs w:val="18"/>
              </w:rPr>
            </w:pPr>
            <w:r>
              <w:rPr>
                <w:rFonts w:ascii="Arial" w:hAnsi="Arial" w:cs="Arial"/>
                <w:sz w:val="18"/>
                <w:szCs w:val="18"/>
              </w:rPr>
              <w:t> </w:t>
            </w:r>
          </w:p>
        </w:tc>
        <w:tc>
          <w:tcPr>
            <w:tcW w:w="982" w:type="dxa"/>
            <w:tcBorders>
              <w:top w:val="single" w:sz="4" w:space="0" w:color="6B2976"/>
              <w:left w:val="nil"/>
              <w:bottom w:val="nil"/>
              <w:right w:val="nil"/>
            </w:tcBorders>
            <w:shd w:val="clear" w:color="FFFFFF" w:fill="FFFFFF"/>
            <w:noWrap/>
            <w:vAlign w:val="bottom"/>
            <w:hideMark/>
          </w:tcPr>
          <w:p w14:paraId="31578759" w14:textId="77777777" w:rsidR="00A43992" w:rsidRDefault="00A43992" w:rsidP="007211E3">
            <w:pPr>
              <w:rPr>
                <w:rFonts w:ascii="Arial" w:hAnsi="Arial" w:cs="Arial"/>
                <w:sz w:val="18"/>
                <w:szCs w:val="18"/>
              </w:rPr>
            </w:pPr>
            <w:r>
              <w:rPr>
                <w:rFonts w:ascii="Arial" w:hAnsi="Arial" w:cs="Arial"/>
                <w:sz w:val="18"/>
                <w:szCs w:val="18"/>
              </w:rPr>
              <w:t> </w:t>
            </w:r>
          </w:p>
        </w:tc>
      </w:tr>
      <w:tr w:rsidR="00A43992" w14:paraId="6210EDCA" w14:textId="77777777" w:rsidTr="007211E3">
        <w:trPr>
          <w:trHeight w:val="255"/>
        </w:trPr>
        <w:tc>
          <w:tcPr>
            <w:tcW w:w="4592" w:type="dxa"/>
            <w:tcBorders>
              <w:top w:val="nil"/>
              <w:left w:val="nil"/>
              <w:bottom w:val="nil"/>
              <w:right w:val="nil"/>
            </w:tcBorders>
            <w:shd w:val="clear" w:color="FFFFFF" w:fill="FFFFFF"/>
            <w:vAlign w:val="bottom"/>
            <w:hideMark/>
          </w:tcPr>
          <w:p w14:paraId="6BA4FDF5" w14:textId="77777777" w:rsidR="00A43992" w:rsidRDefault="00A43992" w:rsidP="007211E3">
            <w:pPr>
              <w:rPr>
                <w:rFonts w:ascii="Arial" w:hAnsi="Arial" w:cs="Arial"/>
                <w:b/>
                <w:bCs/>
                <w:sz w:val="18"/>
                <w:szCs w:val="18"/>
              </w:rPr>
            </w:pPr>
            <w:r>
              <w:rPr>
                <w:rFonts w:ascii="Arial" w:hAnsi="Arial" w:cs="Arial"/>
                <w:b/>
                <w:bCs/>
                <w:sz w:val="18"/>
                <w:szCs w:val="18"/>
              </w:rPr>
              <w:t>OPERATING ACTIVITIES</w:t>
            </w:r>
          </w:p>
        </w:tc>
        <w:tc>
          <w:tcPr>
            <w:tcW w:w="1047" w:type="dxa"/>
            <w:tcBorders>
              <w:top w:val="nil"/>
              <w:left w:val="nil"/>
              <w:bottom w:val="nil"/>
              <w:right w:val="nil"/>
            </w:tcBorders>
            <w:shd w:val="clear" w:color="FFFFFF" w:fill="FFFFFF"/>
            <w:noWrap/>
            <w:vAlign w:val="bottom"/>
            <w:hideMark/>
          </w:tcPr>
          <w:p w14:paraId="33AF88E8" w14:textId="77777777" w:rsidR="00A43992" w:rsidRDefault="00A43992" w:rsidP="007211E3">
            <w:pPr>
              <w:jc w:val="center"/>
              <w:rPr>
                <w:rFonts w:ascii="Arial" w:hAnsi="Arial" w:cs="Arial"/>
                <w:sz w:val="18"/>
                <w:szCs w:val="18"/>
              </w:rPr>
            </w:pPr>
            <w:r>
              <w:rPr>
                <w:rFonts w:ascii="Arial" w:hAnsi="Arial" w:cs="Arial"/>
                <w:sz w:val="18"/>
                <w:szCs w:val="18"/>
              </w:rPr>
              <w:t> </w:t>
            </w:r>
          </w:p>
        </w:tc>
        <w:tc>
          <w:tcPr>
            <w:tcW w:w="1012" w:type="dxa"/>
            <w:tcBorders>
              <w:top w:val="nil"/>
              <w:left w:val="nil"/>
              <w:bottom w:val="nil"/>
              <w:right w:val="nil"/>
            </w:tcBorders>
            <w:shd w:val="clear" w:color="FFFFFF" w:fill="FFFFFF"/>
            <w:noWrap/>
            <w:vAlign w:val="bottom"/>
            <w:hideMark/>
          </w:tcPr>
          <w:p w14:paraId="7023EB25" w14:textId="77777777" w:rsidR="00A43992" w:rsidRDefault="00A43992" w:rsidP="007211E3">
            <w:pPr>
              <w:rPr>
                <w:rFonts w:ascii="Arial" w:hAnsi="Arial" w:cs="Arial"/>
                <w:sz w:val="18"/>
                <w:szCs w:val="18"/>
              </w:rPr>
            </w:pPr>
            <w:r>
              <w:rPr>
                <w:rFonts w:ascii="Arial" w:hAnsi="Arial" w:cs="Arial"/>
                <w:sz w:val="18"/>
                <w:szCs w:val="18"/>
              </w:rPr>
              <w:t> </w:t>
            </w:r>
          </w:p>
        </w:tc>
        <w:tc>
          <w:tcPr>
            <w:tcW w:w="236" w:type="dxa"/>
            <w:tcBorders>
              <w:top w:val="nil"/>
              <w:left w:val="nil"/>
              <w:bottom w:val="nil"/>
              <w:right w:val="nil"/>
            </w:tcBorders>
            <w:shd w:val="clear" w:color="FFFFFF" w:fill="FFFFFF"/>
            <w:noWrap/>
            <w:vAlign w:val="bottom"/>
            <w:hideMark/>
          </w:tcPr>
          <w:p w14:paraId="2D00D37E" w14:textId="77777777" w:rsidR="00A43992" w:rsidRDefault="00A43992" w:rsidP="007211E3">
            <w:pPr>
              <w:rPr>
                <w:rFonts w:ascii="Arial" w:hAnsi="Arial" w:cs="Arial"/>
                <w:sz w:val="18"/>
                <w:szCs w:val="18"/>
              </w:rPr>
            </w:pPr>
            <w:r>
              <w:rPr>
                <w:rFonts w:ascii="Arial" w:hAnsi="Arial" w:cs="Arial"/>
                <w:sz w:val="18"/>
                <w:szCs w:val="18"/>
              </w:rPr>
              <w:t> </w:t>
            </w:r>
          </w:p>
        </w:tc>
        <w:tc>
          <w:tcPr>
            <w:tcW w:w="982" w:type="dxa"/>
            <w:tcBorders>
              <w:top w:val="nil"/>
              <w:left w:val="nil"/>
              <w:bottom w:val="nil"/>
              <w:right w:val="nil"/>
            </w:tcBorders>
            <w:shd w:val="clear" w:color="FFFFFF" w:fill="FFFFFF"/>
            <w:noWrap/>
            <w:vAlign w:val="bottom"/>
            <w:hideMark/>
          </w:tcPr>
          <w:p w14:paraId="13BE55BA" w14:textId="77777777" w:rsidR="00A43992" w:rsidRDefault="00A43992" w:rsidP="007211E3">
            <w:pPr>
              <w:rPr>
                <w:rFonts w:ascii="Arial" w:hAnsi="Arial" w:cs="Arial"/>
                <w:sz w:val="18"/>
                <w:szCs w:val="18"/>
              </w:rPr>
            </w:pPr>
            <w:r>
              <w:rPr>
                <w:rFonts w:ascii="Arial" w:hAnsi="Arial" w:cs="Arial"/>
                <w:sz w:val="18"/>
                <w:szCs w:val="18"/>
              </w:rPr>
              <w:t> </w:t>
            </w:r>
          </w:p>
        </w:tc>
        <w:tc>
          <w:tcPr>
            <w:tcW w:w="236" w:type="dxa"/>
            <w:tcBorders>
              <w:top w:val="nil"/>
              <w:left w:val="nil"/>
              <w:bottom w:val="nil"/>
              <w:right w:val="nil"/>
            </w:tcBorders>
            <w:shd w:val="clear" w:color="FFFFFF" w:fill="FFFFFF"/>
            <w:noWrap/>
            <w:vAlign w:val="bottom"/>
            <w:hideMark/>
          </w:tcPr>
          <w:p w14:paraId="07EB88F4" w14:textId="77777777" w:rsidR="00A43992" w:rsidRDefault="00A43992" w:rsidP="007211E3">
            <w:pPr>
              <w:rPr>
                <w:rFonts w:ascii="Arial" w:hAnsi="Arial" w:cs="Arial"/>
                <w:sz w:val="18"/>
                <w:szCs w:val="18"/>
              </w:rPr>
            </w:pPr>
            <w:r>
              <w:rPr>
                <w:rFonts w:ascii="Arial" w:hAnsi="Arial" w:cs="Arial"/>
                <w:sz w:val="18"/>
                <w:szCs w:val="18"/>
              </w:rPr>
              <w:t> </w:t>
            </w:r>
          </w:p>
        </w:tc>
        <w:tc>
          <w:tcPr>
            <w:tcW w:w="982" w:type="dxa"/>
            <w:tcBorders>
              <w:top w:val="nil"/>
              <w:left w:val="nil"/>
              <w:bottom w:val="nil"/>
              <w:right w:val="nil"/>
            </w:tcBorders>
            <w:shd w:val="clear" w:color="FFFFFF" w:fill="FFFFFF"/>
            <w:noWrap/>
            <w:vAlign w:val="bottom"/>
            <w:hideMark/>
          </w:tcPr>
          <w:p w14:paraId="71F1BDF2" w14:textId="77777777" w:rsidR="00A43992" w:rsidRDefault="00A43992" w:rsidP="007211E3">
            <w:pPr>
              <w:rPr>
                <w:rFonts w:ascii="Arial" w:hAnsi="Arial" w:cs="Arial"/>
                <w:sz w:val="18"/>
                <w:szCs w:val="18"/>
              </w:rPr>
            </w:pPr>
            <w:r>
              <w:rPr>
                <w:rFonts w:ascii="Arial" w:hAnsi="Arial" w:cs="Arial"/>
                <w:sz w:val="18"/>
                <w:szCs w:val="18"/>
              </w:rPr>
              <w:t> </w:t>
            </w:r>
          </w:p>
        </w:tc>
      </w:tr>
      <w:tr w:rsidR="00A43992" w14:paraId="4F73488C" w14:textId="77777777" w:rsidTr="007211E3">
        <w:trPr>
          <w:trHeight w:val="255"/>
        </w:trPr>
        <w:tc>
          <w:tcPr>
            <w:tcW w:w="4592" w:type="dxa"/>
            <w:tcBorders>
              <w:top w:val="nil"/>
              <w:left w:val="nil"/>
              <w:bottom w:val="nil"/>
              <w:right w:val="nil"/>
            </w:tcBorders>
            <w:shd w:val="clear" w:color="FFFFFF" w:fill="FFFFFF"/>
            <w:vAlign w:val="bottom"/>
            <w:hideMark/>
          </w:tcPr>
          <w:p w14:paraId="3E7F4868" w14:textId="77777777" w:rsidR="00A43992" w:rsidRDefault="00A43992" w:rsidP="007211E3">
            <w:pPr>
              <w:rPr>
                <w:rFonts w:ascii="Arial" w:hAnsi="Arial" w:cs="Arial"/>
                <w:b/>
                <w:bCs/>
                <w:sz w:val="18"/>
                <w:szCs w:val="18"/>
              </w:rPr>
            </w:pPr>
            <w:r>
              <w:rPr>
                <w:rFonts w:ascii="Arial" w:hAnsi="Arial" w:cs="Arial"/>
                <w:b/>
                <w:bCs/>
                <w:sz w:val="18"/>
                <w:szCs w:val="18"/>
              </w:rPr>
              <w:t>Cash received</w:t>
            </w:r>
          </w:p>
        </w:tc>
        <w:tc>
          <w:tcPr>
            <w:tcW w:w="1047" w:type="dxa"/>
            <w:tcBorders>
              <w:top w:val="nil"/>
              <w:left w:val="nil"/>
              <w:bottom w:val="nil"/>
              <w:right w:val="nil"/>
            </w:tcBorders>
            <w:shd w:val="clear" w:color="FFFFFF" w:fill="FFFFFF"/>
            <w:noWrap/>
            <w:vAlign w:val="bottom"/>
            <w:hideMark/>
          </w:tcPr>
          <w:p w14:paraId="34099872" w14:textId="77777777" w:rsidR="00A43992" w:rsidRDefault="00A43992" w:rsidP="007211E3">
            <w:pPr>
              <w:jc w:val="center"/>
              <w:rPr>
                <w:rFonts w:ascii="Arial" w:hAnsi="Arial" w:cs="Arial"/>
                <w:sz w:val="18"/>
                <w:szCs w:val="18"/>
              </w:rPr>
            </w:pPr>
            <w:r>
              <w:rPr>
                <w:rFonts w:ascii="Arial" w:hAnsi="Arial" w:cs="Arial"/>
                <w:sz w:val="18"/>
                <w:szCs w:val="18"/>
              </w:rPr>
              <w:t> </w:t>
            </w:r>
          </w:p>
        </w:tc>
        <w:tc>
          <w:tcPr>
            <w:tcW w:w="1012" w:type="dxa"/>
            <w:tcBorders>
              <w:top w:val="nil"/>
              <w:left w:val="nil"/>
              <w:bottom w:val="nil"/>
              <w:right w:val="nil"/>
            </w:tcBorders>
            <w:shd w:val="clear" w:color="FFFFFF" w:fill="FFFFFF"/>
            <w:noWrap/>
            <w:vAlign w:val="bottom"/>
            <w:hideMark/>
          </w:tcPr>
          <w:p w14:paraId="6F2A1F02" w14:textId="77777777" w:rsidR="00A43992" w:rsidRDefault="00A43992" w:rsidP="007211E3">
            <w:pPr>
              <w:rPr>
                <w:rFonts w:ascii="Arial" w:hAnsi="Arial" w:cs="Arial"/>
                <w:sz w:val="18"/>
                <w:szCs w:val="18"/>
              </w:rPr>
            </w:pPr>
            <w:r>
              <w:rPr>
                <w:rFonts w:ascii="Arial" w:hAnsi="Arial" w:cs="Arial"/>
                <w:sz w:val="18"/>
                <w:szCs w:val="18"/>
              </w:rPr>
              <w:t> </w:t>
            </w:r>
          </w:p>
        </w:tc>
        <w:tc>
          <w:tcPr>
            <w:tcW w:w="236" w:type="dxa"/>
            <w:tcBorders>
              <w:top w:val="nil"/>
              <w:left w:val="nil"/>
              <w:bottom w:val="nil"/>
              <w:right w:val="nil"/>
            </w:tcBorders>
            <w:shd w:val="clear" w:color="FFFFFF" w:fill="FFFFFF"/>
            <w:noWrap/>
            <w:vAlign w:val="bottom"/>
            <w:hideMark/>
          </w:tcPr>
          <w:p w14:paraId="3DF48883" w14:textId="77777777" w:rsidR="00A43992" w:rsidRDefault="00A43992" w:rsidP="007211E3">
            <w:pPr>
              <w:rPr>
                <w:rFonts w:ascii="Arial" w:hAnsi="Arial" w:cs="Arial"/>
                <w:sz w:val="18"/>
                <w:szCs w:val="18"/>
              </w:rPr>
            </w:pPr>
            <w:r>
              <w:rPr>
                <w:rFonts w:ascii="Arial" w:hAnsi="Arial" w:cs="Arial"/>
                <w:sz w:val="18"/>
                <w:szCs w:val="18"/>
              </w:rPr>
              <w:t> </w:t>
            </w:r>
          </w:p>
        </w:tc>
        <w:tc>
          <w:tcPr>
            <w:tcW w:w="982" w:type="dxa"/>
            <w:tcBorders>
              <w:top w:val="nil"/>
              <w:left w:val="nil"/>
              <w:bottom w:val="nil"/>
              <w:right w:val="nil"/>
            </w:tcBorders>
            <w:shd w:val="clear" w:color="FFFFFF" w:fill="FFFFFF"/>
            <w:noWrap/>
            <w:vAlign w:val="bottom"/>
            <w:hideMark/>
          </w:tcPr>
          <w:p w14:paraId="6925DBEF" w14:textId="77777777" w:rsidR="00A43992" w:rsidRDefault="00A43992" w:rsidP="007211E3">
            <w:pPr>
              <w:rPr>
                <w:rFonts w:ascii="Arial" w:hAnsi="Arial" w:cs="Arial"/>
                <w:sz w:val="18"/>
                <w:szCs w:val="18"/>
              </w:rPr>
            </w:pPr>
            <w:r>
              <w:rPr>
                <w:rFonts w:ascii="Arial" w:hAnsi="Arial" w:cs="Arial"/>
                <w:sz w:val="18"/>
                <w:szCs w:val="18"/>
              </w:rPr>
              <w:t> </w:t>
            </w:r>
          </w:p>
        </w:tc>
        <w:tc>
          <w:tcPr>
            <w:tcW w:w="236" w:type="dxa"/>
            <w:tcBorders>
              <w:top w:val="nil"/>
              <w:left w:val="nil"/>
              <w:bottom w:val="nil"/>
              <w:right w:val="nil"/>
            </w:tcBorders>
            <w:shd w:val="clear" w:color="FFFFFF" w:fill="FFFFFF"/>
            <w:noWrap/>
            <w:vAlign w:val="bottom"/>
            <w:hideMark/>
          </w:tcPr>
          <w:p w14:paraId="6C735190" w14:textId="77777777" w:rsidR="00A43992" w:rsidRDefault="00A43992" w:rsidP="007211E3">
            <w:pPr>
              <w:rPr>
                <w:rFonts w:ascii="Arial" w:hAnsi="Arial" w:cs="Arial"/>
                <w:sz w:val="18"/>
                <w:szCs w:val="18"/>
              </w:rPr>
            </w:pPr>
            <w:r>
              <w:rPr>
                <w:rFonts w:ascii="Arial" w:hAnsi="Arial" w:cs="Arial"/>
                <w:sz w:val="18"/>
                <w:szCs w:val="18"/>
              </w:rPr>
              <w:t> </w:t>
            </w:r>
          </w:p>
        </w:tc>
        <w:tc>
          <w:tcPr>
            <w:tcW w:w="982" w:type="dxa"/>
            <w:tcBorders>
              <w:top w:val="nil"/>
              <w:left w:val="nil"/>
              <w:bottom w:val="nil"/>
              <w:right w:val="nil"/>
            </w:tcBorders>
            <w:shd w:val="clear" w:color="FFFFFF" w:fill="FFFFFF"/>
            <w:noWrap/>
            <w:vAlign w:val="bottom"/>
            <w:hideMark/>
          </w:tcPr>
          <w:p w14:paraId="1F0CF72D" w14:textId="77777777" w:rsidR="00A43992" w:rsidRDefault="00A43992" w:rsidP="007211E3">
            <w:pPr>
              <w:rPr>
                <w:rFonts w:ascii="Arial" w:hAnsi="Arial" w:cs="Arial"/>
                <w:sz w:val="18"/>
                <w:szCs w:val="18"/>
              </w:rPr>
            </w:pPr>
            <w:r>
              <w:rPr>
                <w:rFonts w:ascii="Arial" w:hAnsi="Arial" w:cs="Arial"/>
                <w:sz w:val="18"/>
                <w:szCs w:val="18"/>
              </w:rPr>
              <w:t> </w:t>
            </w:r>
          </w:p>
        </w:tc>
      </w:tr>
      <w:tr w:rsidR="00A43992" w14:paraId="6F376E85" w14:textId="77777777" w:rsidTr="007211E3">
        <w:trPr>
          <w:trHeight w:val="255"/>
        </w:trPr>
        <w:tc>
          <w:tcPr>
            <w:tcW w:w="4592" w:type="dxa"/>
            <w:tcBorders>
              <w:top w:val="nil"/>
              <w:left w:val="nil"/>
              <w:bottom w:val="nil"/>
              <w:right w:val="nil"/>
            </w:tcBorders>
            <w:shd w:val="clear" w:color="FFFFFF" w:fill="FFFFFF"/>
            <w:vAlign w:val="bottom"/>
            <w:hideMark/>
          </w:tcPr>
          <w:p w14:paraId="14B2FC7A" w14:textId="77777777" w:rsidR="00A43992" w:rsidRDefault="00A43992" w:rsidP="007211E3">
            <w:pPr>
              <w:ind w:firstLineChars="100" w:firstLine="180"/>
              <w:rPr>
                <w:rFonts w:ascii="Arial" w:hAnsi="Arial" w:cs="Arial"/>
                <w:sz w:val="18"/>
                <w:szCs w:val="18"/>
              </w:rPr>
            </w:pPr>
            <w:r>
              <w:rPr>
                <w:rFonts w:ascii="Arial" w:hAnsi="Arial" w:cs="Arial"/>
                <w:sz w:val="18"/>
                <w:szCs w:val="18"/>
              </w:rPr>
              <w:t>Receipts from Government</w:t>
            </w:r>
          </w:p>
        </w:tc>
        <w:tc>
          <w:tcPr>
            <w:tcW w:w="1047" w:type="dxa"/>
            <w:tcBorders>
              <w:top w:val="nil"/>
              <w:left w:val="nil"/>
              <w:bottom w:val="nil"/>
              <w:right w:val="nil"/>
            </w:tcBorders>
            <w:shd w:val="clear" w:color="FFFFFF" w:fill="FFFFFF"/>
            <w:noWrap/>
            <w:vAlign w:val="bottom"/>
            <w:hideMark/>
          </w:tcPr>
          <w:p w14:paraId="318C9117" w14:textId="77777777" w:rsidR="00A43992" w:rsidRDefault="00A43992" w:rsidP="007211E3">
            <w:pPr>
              <w:jc w:val="center"/>
              <w:rPr>
                <w:rFonts w:ascii="Arial" w:hAnsi="Arial" w:cs="Arial"/>
                <w:sz w:val="18"/>
                <w:szCs w:val="18"/>
              </w:rPr>
            </w:pPr>
            <w:r>
              <w:rPr>
                <w:rFonts w:ascii="Arial" w:hAnsi="Arial" w:cs="Arial"/>
                <w:sz w:val="18"/>
                <w:szCs w:val="18"/>
              </w:rPr>
              <w:t> </w:t>
            </w:r>
          </w:p>
        </w:tc>
        <w:tc>
          <w:tcPr>
            <w:tcW w:w="1012" w:type="dxa"/>
            <w:tcBorders>
              <w:top w:val="nil"/>
              <w:left w:val="nil"/>
              <w:bottom w:val="nil"/>
              <w:right w:val="nil"/>
            </w:tcBorders>
            <w:shd w:val="clear" w:color="FFFFFF" w:fill="FFFFFF"/>
            <w:noWrap/>
            <w:vAlign w:val="bottom"/>
            <w:hideMark/>
          </w:tcPr>
          <w:p w14:paraId="78A6DEBE" w14:textId="77777777" w:rsidR="00A43992" w:rsidRDefault="00A43992" w:rsidP="007211E3">
            <w:pPr>
              <w:jc w:val="right"/>
              <w:rPr>
                <w:rFonts w:ascii="Arial" w:hAnsi="Arial" w:cs="Arial"/>
                <w:b/>
                <w:bCs/>
                <w:sz w:val="18"/>
                <w:szCs w:val="18"/>
              </w:rPr>
            </w:pPr>
            <w:r>
              <w:rPr>
                <w:rFonts w:ascii="Arial" w:hAnsi="Arial" w:cs="Arial"/>
                <w:b/>
                <w:bCs/>
                <w:sz w:val="18"/>
                <w:szCs w:val="18"/>
              </w:rPr>
              <w:t>581,070</w:t>
            </w:r>
          </w:p>
        </w:tc>
        <w:tc>
          <w:tcPr>
            <w:tcW w:w="236" w:type="dxa"/>
            <w:tcBorders>
              <w:top w:val="nil"/>
              <w:left w:val="nil"/>
              <w:bottom w:val="nil"/>
              <w:right w:val="nil"/>
            </w:tcBorders>
            <w:shd w:val="clear" w:color="FFFFFF" w:fill="FFFFFF"/>
            <w:noWrap/>
            <w:vAlign w:val="bottom"/>
            <w:hideMark/>
          </w:tcPr>
          <w:p w14:paraId="34BC127D" w14:textId="77777777" w:rsidR="00A43992" w:rsidRDefault="00A43992" w:rsidP="007211E3">
            <w:pPr>
              <w:rPr>
                <w:rFonts w:ascii="Arial" w:hAnsi="Arial" w:cs="Arial"/>
                <w:sz w:val="18"/>
                <w:szCs w:val="18"/>
              </w:rPr>
            </w:pPr>
            <w:r>
              <w:rPr>
                <w:rFonts w:ascii="Arial" w:hAnsi="Arial" w:cs="Arial"/>
                <w:sz w:val="18"/>
                <w:szCs w:val="18"/>
              </w:rPr>
              <w:t> </w:t>
            </w:r>
          </w:p>
        </w:tc>
        <w:tc>
          <w:tcPr>
            <w:tcW w:w="982" w:type="dxa"/>
            <w:tcBorders>
              <w:top w:val="nil"/>
              <w:left w:val="nil"/>
              <w:bottom w:val="nil"/>
              <w:right w:val="nil"/>
            </w:tcBorders>
            <w:shd w:val="clear" w:color="FFFFFF" w:fill="FFFFFF"/>
            <w:noWrap/>
            <w:vAlign w:val="bottom"/>
            <w:hideMark/>
          </w:tcPr>
          <w:p w14:paraId="2E1E1BCE" w14:textId="77777777" w:rsidR="00A43992" w:rsidRDefault="00A43992" w:rsidP="007211E3">
            <w:pPr>
              <w:jc w:val="right"/>
              <w:rPr>
                <w:rFonts w:ascii="Arial" w:hAnsi="Arial" w:cs="Arial"/>
                <w:sz w:val="18"/>
                <w:szCs w:val="18"/>
              </w:rPr>
            </w:pPr>
            <w:r>
              <w:rPr>
                <w:rFonts w:ascii="Arial" w:hAnsi="Arial" w:cs="Arial"/>
                <w:sz w:val="18"/>
                <w:szCs w:val="18"/>
              </w:rPr>
              <w:t xml:space="preserve">309,320 </w:t>
            </w:r>
          </w:p>
        </w:tc>
        <w:tc>
          <w:tcPr>
            <w:tcW w:w="236" w:type="dxa"/>
            <w:tcBorders>
              <w:top w:val="nil"/>
              <w:left w:val="nil"/>
              <w:bottom w:val="nil"/>
              <w:right w:val="nil"/>
            </w:tcBorders>
            <w:shd w:val="clear" w:color="FFFFFF" w:fill="FFFFFF"/>
            <w:noWrap/>
            <w:vAlign w:val="bottom"/>
            <w:hideMark/>
          </w:tcPr>
          <w:p w14:paraId="541D71DF" w14:textId="77777777" w:rsidR="00A43992" w:rsidRDefault="00A43992" w:rsidP="007211E3">
            <w:pPr>
              <w:rPr>
                <w:rFonts w:ascii="Arial" w:hAnsi="Arial" w:cs="Arial"/>
                <w:sz w:val="18"/>
                <w:szCs w:val="18"/>
              </w:rPr>
            </w:pPr>
            <w:r>
              <w:rPr>
                <w:rFonts w:ascii="Arial" w:hAnsi="Arial" w:cs="Arial"/>
                <w:sz w:val="18"/>
                <w:szCs w:val="18"/>
              </w:rPr>
              <w:t> </w:t>
            </w:r>
          </w:p>
        </w:tc>
        <w:tc>
          <w:tcPr>
            <w:tcW w:w="982" w:type="dxa"/>
            <w:tcBorders>
              <w:top w:val="nil"/>
              <w:left w:val="nil"/>
              <w:bottom w:val="nil"/>
              <w:right w:val="nil"/>
            </w:tcBorders>
            <w:shd w:val="clear" w:color="FFFFFF" w:fill="FFFFFF"/>
            <w:noWrap/>
            <w:vAlign w:val="bottom"/>
            <w:hideMark/>
          </w:tcPr>
          <w:p w14:paraId="08A64F28" w14:textId="77777777" w:rsidR="00A43992" w:rsidRDefault="00A43992" w:rsidP="007211E3">
            <w:pPr>
              <w:jc w:val="right"/>
              <w:rPr>
                <w:rFonts w:ascii="Arial" w:hAnsi="Arial" w:cs="Arial"/>
                <w:sz w:val="18"/>
                <w:szCs w:val="18"/>
              </w:rPr>
            </w:pPr>
            <w:r>
              <w:rPr>
                <w:rFonts w:ascii="Arial" w:hAnsi="Arial" w:cs="Arial"/>
                <w:sz w:val="18"/>
                <w:szCs w:val="18"/>
              </w:rPr>
              <w:t xml:space="preserve">494,940 </w:t>
            </w:r>
          </w:p>
        </w:tc>
      </w:tr>
      <w:tr w:rsidR="00A43992" w14:paraId="09F7BB2A" w14:textId="77777777" w:rsidTr="007211E3">
        <w:trPr>
          <w:trHeight w:val="255"/>
        </w:trPr>
        <w:tc>
          <w:tcPr>
            <w:tcW w:w="4592" w:type="dxa"/>
            <w:tcBorders>
              <w:top w:val="nil"/>
              <w:left w:val="nil"/>
              <w:bottom w:val="nil"/>
              <w:right w:val="nil"/>
            </w:tcBorders>
            <w:shd w:val="clear" w:color="FFFFFF" w:fill="FFFFFF"/>
            <w:vAlign w:val="bottom"/>
            <w:hideMark/>
          </w:tcPr>
          <w:p w14:paraId="3C97DEF9" w14:textId="77777777" w:rsidR="00A43992" w:rsidRDefault="00A43992" w:rsidP="007211E3">
            <w:pPr>
              <w:ind w:firstLineChars="100" w:firstLine="180"/>
              <w:rPr>
                <w:rFonts w:ascii="Arial" w:hAnsi="Arial" w:cs="Arial"/>
                <w:sz w:val="18"/>
                <w:szCs w:val="18"/>
              </w:rPr>
            </w:pPr>
            <w:r>
              <w:rPr>
                <w:rFonts w:ascii="Arial" w:hAnsi="Arial" w:cs="Arial"/>
                <w:sz w:val="18"/>
                <w:szCs w:val="18"/>
              </w:rPr>
              <w:t>State and territory government contributions</w:t>
            </w:r>
          </w:p>
        </w:tc>
        <w:tc>
          <w:tcPr>
            <w:tcW w:w="1047" w:type="dxa"/>
            <w:tcBorders>
              <w:top w:val="nil"/>
              <w:left w:val="nil"/>
              <w:bottom w:val="nil"/>
              <w:right w:val="nil"/>
            </w:tcBorders>
            <w:shd w:val="clear" w:color="FFFFFF" w:fill="FFFFFF"/>
            <w:noWrap/>
            <w:vAlign w:val="bottom"/>
            <w:hideMark/>
          </w:tcPr>
          <w:p w14:paraId="2951DDA3" w14:textId="77777777" w:rsidR="00A43992" w:rsidRDefault="00A43992" w:rsidP="007211E3">
            <w:pPr>
              <w:jc w:val="center"/>
              <w:rPr>
                <w:rFonts w:ascii="Arial" w:hAnsi="Arial" w:cs="Arial"/>
                <w:sz w:val="18"/>
                <w:szCs w:val="18"/>
              </w:rPr>
            </w:pPr>
            <w:r>
              <w:rPr>
                <w:rFonts w:ascii="Arial" w:hAnsi="Arial" w:cs="Arial"/>
                <w:sz w:val="18"/>
                <w:szCs w:val="18"/>
              </w:rPr>
              <w:t> </w:t>
            </w:r>
          </w:p>
        </w:tc>
        <w:tc>
          <w:tcPr>
            <w:tcW w:w="1012" w:type="dxa"/>
            <w:tcBorders>
              <w:top w:val="nil"/>
              <w:left w:val="nil"/>
              <w:bottom w:val="nil"/>
              <w:right w:val="nil"/>
            </w:tcBorders>
            <w:shd w:val="clear" w:color="FFFFFF" w:fill="FFFFFF"/>
            <w:noWrap/>
            <w:vAlign w:val="bottom"/>
            <w:hideMark/>
          </w:tcPr>
          <w:p w14:paraId="44B06E43" w14:textId="77777777" w:rsidR="00A43992" w:rsidRDefault="00A43992" w:rsidP="007211E3">
            <w:pPr>
              <w:jc w:val="right"/>
              <w:rPr>
                <w:rFonts w:ascii="Arial" w:hAnsi="Arial" w:cs="Arial"/>
                <w:b/>
                <w:bCs/>
                <w:sz w:val="18"/>
                <w:szCs w:val="18"/>
              </w:rPr>
            </w:pPr>
            <w:r>
              <w:rPr>
                <w:rFonts w:ascii="Arial" w:hAnsi="Arial" w:cs="Arial"/>
                <w:b/>
                <w:bCs/>
                <w:sz w:val="18"/>
                <w:szCs w:val="18"/>
              </w:rPr>
              <w:t>268,650</w:t>
            </w:r>
          </w:p>
        </w:tc>
        <w:tc>
          <w:tcPr>
            <w:tcW w:w="236" w:type="dxa"/>
            <w:tcBorders>
              <w:top w:val="nil"/>
              <w:left w:val="nil"/>
              <w:bottom w:val="nil"/>
              <w:right w:val="nil"/>
            </w:tcBorders>
            <w:shd w:val="clear" w:color="FFFFFF" w:fill="FFFFFF"/>
            <w:noWrap/>
            <w:vAlign w:val="bottom"/>
            <w:hideMark/>
          </w:tcPr>
          <w:p w14:paraId="3F82D516" w14:textId="77777777" w:rsidR="00A43992" w:rsidRDefault="00A43992" w:rsidP="007211E3">
            <w:pPr>
              <w:rPr>
                <w:rFonts w:ascii="Arial" w:hAnsi="Arial" w:cs="Arial"/>
                <w:sz w:val="18"/>
                <w:szCs w:val="18"/>
              </w:rPr>
            </w:pPr>
            <w:r>
              <w:rPr>
                <w:rFonts w:ascii="Arial" w:hAnsi="Arial" w:cs="Arial"/>
                <w:sz w:val="18"/>
                <w:szCs w:val="18"/>
              </w:rPr>
              <w:t> </w:t>
            </w:r>
          </w:p>
        </w:tc>
        <w:tc>
          <w:tcPr>
            <w:tcW w:w="982" w:type="dxa"/>
            <w:tcBorders>
              <w:top w:val="nil"/>
              <w:left w:val="nil"/>
              <w:bottom w:val="nil"/>
              <w:right w:val="nil"/>
            </w:tcBorders>
            <w:shd w:val="clear" w:color="FFFFFF" w:fill="FFFFFF"/>
            <w:noWrap/>
            <w:vAlign w:val="bottom"/>
            <w:hideMark/>
          </w:tcPr>
          <w:p w14:paraId="1935712E" w14:textId="77777777" w:rsidR="00A43992" w:rsidRDefault="00A43992" w:rsidP="007211E3">
            <w:pPr>
              <w:jc w:val="right"/>
              <w:rPr>
                <w:rFonts w:ascii="Arial" w:hAnsi="Arial" w:cs="Arial"/>
                <w:sz w:val="18"/>
                <w:szCs w:val="18"/>
              </w:rPr>
            </w:pPr>
            <w:r>
              <w:rPr>
                <w:rFonts w:ascii="Arial" w:hAnsi="Arial" w:cs="Arial"/>
                <w:sz w:val="18"/>
                <w:szCs w:val="18"/>
              </w:rPr>
              <w:t xml:space="preserve">112,368 </w:t>
            </w:r>
          </w:p>
        </w:tc>
        <w:tc>
          <w:tcPr>
            <w:tcW w:w="236" w:type="dxa"/>
            <w:tcBorders>
              <w:top w:val="nil"/>
              <w:left w:val="nil"/>
              <w:bottom w:val="nil"/>
              <w:right w:val="nil"/>
            </w:tcBorders>
            <w:shd w:val="clear" w:color="FFFFFF" w:fill="FFFFFF"/>
            <w:noWrap/>
            <w:vAlign w:val="bottom"/>
            <w:hideMark/>
          </w:tcPr>
          <w:p w14:paraId="3243B06D" w14:textId="77777777" w:rsidR="00A43992" w:rsidRDefault="00A43992" w:rsidP="007211E3">
            <w:pPr>
              <w:rPr>
                <w:rFonts w:ascii="Arial" w:hAnsi="Arial" w:cs="Arial"/>
                <w:sz w:val="18"/>
                <w:szCs w:val="18"/>
              </w:rPr>
            </w:pPr>
            <w:r>
              <w:rPr>
                <w:rFonts w:ascii="Arial" w:hAnsi="Arial" w:cs="Arial"/>
                <w:sz w:val="18"/>
                <w:szCs w:val="18"/>
              </w:rPr>
              <w:t> </w:t>
            </w:r>
          </w:p>
        </w:tc>
        <w:tc>
          <w:tcPr>
            <w:tcW w:w="982" w:type="dxa"/>
            <w:tcBorders>
              <w:top w:val="nil"/>
              <w:left w:val="nil"/>
              <w:bottom w:val="nil"/>
              <w:right w:val="nil"/>
            </w:tcBorders>
            <w:shd w:val="clear" w:color="FFFFFF" w:fill="FFFFFF"/>
            <w:noWrap/>
            <w:vAlign w:val="bottom"/>
            <w:hideMark/>
          </w:tcPr>
          <w:p w14:paraId="69D420B5" w14:textId="77777777" w:rsidR="00A43992" w:rsidRDefault="00A43992" w:rsidP="007211E3">
            <w:pPr>
              <w:jc w:val="right"/>
              <w:rPr>
                <w:rFonts w:ascii="Arial" w:hAnsi="Arial" w:cs="Arial"/>
                <w:sz w:val="18"/>
                <w:szCs w:val="18"/>
              </w:rPr>
            </w:pPr>
            <w:r>
              <w:rPr>
                <w:rFonts w:ascii="Arial" w:hAnsi="Arial" w:cs="Arial"/>
                <w:sz w:val="18"/>
                <w:szCs w:val="18"/>
              </w:rPr>
              <w:t xml:space="preserve">307,971 </w:t>
            </w:r>
          </w:p>
        </w:tc>
      </w:tr>
      <w:tr w:rsidR="00A43992" w14:paraId="51134494" w14:textId="77777777" w:rsidTr="007211E3">
        <w:trPr>
          <w:trHeight w:val="255"/>
        </w:trPr>
        <w:tc>
          <w:tcPr>
            <w:tcW w:w="4592" w:type="dxa"/>
            <w:tcBorders>
              <w:top w:val="nil"/>
              <w:left w:val="nil"/>
              <w:bottom w:val="nil"/>
              <w:right w:val="nil"/>
            </w:tcBorders>
            <w:shd w:val="clear" w:color="FFFFFF" w:fill="FFFFFF"/>
            <w:vAlign w:val="bottom"/>
            <w:hideMark/>
          </w:tcPr>
          <w:p w14:paraId="7FD3F3F3" w14:textId="77777777" w:rsidR="00A43992" w:rsidRDefault="00A43992" w:rsidP="007211E3">
            <w:pPr>
              <w:ind w:firstLineChars="100" w:firstLine="180"/>
              <w:rPr>
                <w:rFonts w:ascii="Arial" w:hAnsi="Arial" w:cs="Arial"/>
                <w:sz w:val="18"/>
                <w:szCs w:val="18"/>
              </w:rPr>
            </w:pPr>
            <w:r>
              <w:rPr>
                <w:rFonts w:ascii="Arial" w:hAnsi="Arial" w:cs="Arial"/>
                <w:sz w:val="18"/>
                <w:szCs w:val="18"/>
              </w:rPr>
              <w:t>Interest received</w:t>
            </w:r>
          </w:p>
        </w:tc>
        <w:tc>
          <w:tcPr>
            <w:tcW w:w="1047" w:type="dxa"/>
            <w:tcBorders>
              <w:top w:val="nil"/>
              <w:left w:val="nil"/>
              <w:bottom w:val="nil"/>
              <w:right w:val="nil"/>
            </w:tcBorders>
            <w:shd w:val="clear" w:color="FFFFFF" w:fill="FFFFFF"/>
            <w:noWrap/>
            <w:vAlign w:val="bottom"/>
            <w:hideMark/>
          </w:tcPr>
          <w:p w14:paraId="0142AC3D" w14:textId="77777777" w:rsidR="00A43992" w:rsidRDefault="00A43992" w:rsidP="007211E3">
            <w:pPr>
              <w:jc w:val="center"/>
              <w:rPr>
                <w:rFonts w:ascii="Arial" w:hAnsi="Arial" w:cs="Arial"/>
                <w:sz w:val="18"/>
                <w:szCs w:val="18"/>
              </w:rPr>
            </w:pPr>
            <w:r>
              <w:rPr>
                <w:rFonts w:ascii="Arial" w:hAnsi="Arial" w:cs="Arial"/>
                <w:sz w:val="18"/>
                <w:szCs w:val="18"/>
              </w:rPr>
              <w:t> </w:t>
            </w:r>
          </w:p>
        </w:tc>
        <w:tc>
          <w:tcPr>
            <w:tcW w:w="1012" w:type="dxa"/>
            <w:tcBorders>
              <w:top w:val="nil"/>
              <w:left w:val="nil"/>
              <w:bottom w:val="nil"/>
              <w:right w:val="nil"/>
            </w:tcBorders>
            <w:shd w:val="clear" w:color="FFFFFF" w:fill="FFFFFF"/>
            <w:noWrap/>
            <w:vAlign w:val="bottom"/>
            <w:hideMark/>
          </w:tcPr>
          <w:p w14:paraId="75D6567B" w14:textId="77777777" w:rsidR="00A43992" w:rsidRDefault="00A43992" w:rsidP="007211E3">
            <w:pPr>
              <w:jc w:val="right"/>
              <w:rPr>
                <w:rFonts w:ascii="Arial" w:hAnsi="Arial" w:cs="Arial"/>
                <w:b/>
                <w:bCs/>
                <w:sz w:val="18"/>
                <w:szCs w:val="18"/>
              </w:rPr>
            </w:pPr>
            <w:r>
              <w:rPr>
                <w:rFonts w:ascii="Arial" w:hAnsi="Arial" w:cs="Arial"/>
                <w:b/>
                <w:bCs/>
                <w:sz w:val="18"/>
                <w:szCs w:val="18"/>
              </w:rPr>
              <w:t>5,035</w:t>
            </w:r>
          </w:p>
        </w:tc>
        <w:tc>
          <w:tcPr>
            <w:tcW w:w="236" w:type="dxa"/>
            <w:tcBorders>
              <w:top w:val="nil"/>
              <w:left w:val="nil"/>
              <w:bottom w:val="nil"/>
              <w:right w:val="nil"/>
            </w:tcBorders>
            <w:shd w:val="clear" w:color="FFFFFF" w:fill="FFFFFF"/>
            <w:noWrap/>
            <w:vAlign w:val="bottom"/>
            <w:hideMark/>
          </w:tcPr>
          <w:p w14:paraId="3AC0A0F9" w14:textId="77777777" w:rsidR="00A43992" w:rsidRDefault="00A43992" w:rsidP="007211E3">
            <w:pPr>
              <w:rPr>
                <w:rFonts w:ascii="Arial" w:hAnsi="Arial" w:cs="Arial"/>
                <w:sz w:val="18"/>
                <w:szCs w:val="18"/>
              </w:rPr>
            </w:pPr>
            <w:r>
              <w:rPr>
                <w:rFonts w:ascii="Arial" w:hAnsi="Arial" w:cs="Arial"/>
                <w:sz w:val="18"/>
                <w:szCs w:val="18"/>
              </w:rPr>
              <w:t> </w:t>
            </w:r>
          </w:p>
        </w:tc>
        <w:tc>
          <w:tcPr>
            <w:tcW w:w="982" w:type="dxa"/>
            <w:tcBorders>
              <w:top w:val="nil"/>
              <w:left w:val="nil"/>
              <w:bottom w:val="nil"/>
              <w:right w:val="nil"/>
            </w:tcBorders>
            <w:shd w:val="clear" w:color="FFFFFF" w:fill="FFFFFF"/>
            <w:noWrap/>
            <w:vAlign w:val="bottom"/>
            <w:hideMark/>
          </w:tcPr>
          <w:p w14:paraId="0AEC523E" w14:textId="77777777" w:rsidR="00A43992" w:rsidRDefault="00A43992" w:rsidP="007211E3">
            <w:pPr>
              <w:jc w:val="right"/>
              <w:rPr>
                <w:rFonts w:ascii="Arial" w:hAnsi="Arial" w:cs="Arial"/>
                <w:sz w:val="18"/>
                <w:szCs w:val="18"/>
              </w:rPr>
            </w:pPr>
            <w:r>
              <w:rPr>
                <w:rFonts w:ascii="Arial" w:hAnsi="Arial" w:cs="Arial"/>
                <w:sz w:val="18"/>
                <w:szCs w:val="18"/>
              </w:rPr>
              <w:t xml:space="preserve">4,963 </w:t>
            </w:r>
          </w:p>
        </w:tc>
        <w:tc>
          <w:tcPr>
            <w:tcW w:w="236" w:type="dxa"/>
            <w:tcBorders>
              <w:top w:val="nil"/>
              <w:left w:val="nil"/>
              <w:bottom w:val="nil"/>
              <w:right w:val="nil"/>
            </w:tcBorders>
            <w:shd w:val="clear" w:color="FFFFFF" w:fill="FFFFFF"/>
            <w:noWrap/>
            <w:vAlign w:val="bottom"/>
            <w:hideMark/>
          </w:tcPr>
          <w:p w14:paraId="271BC993" w14:textId="77777777" w:rsidR="00A43992" w:rsidRDefault="00A43992" w:rsidP="007211E3">
            <w:pPr>
              <w:rPr>
                <w:rFonts w:ascii="Arial" w:hAnsi="Arial" w:cs="Arial"/>
                <w:sz w:val="18"/>
                <w:szCs w:val="18"/>
              </w:rPr>
            </w:pPr>
            <w:r>
              <w:rPr>
                <w:rFonts w:ascii="Arial" w:hAnsi="Arial" w:cs="Arial"/>
                <w:sz w:val="18"/>
                <w:szCs w:val="18"/>
              </w:rPr>
              <w:t> </w:t>
            </w:r>
          </w:p>
        </w:tc>
        <w:tc>
          <w:tcPr>
            <w:tcW w:w="982" w:type="dxa"/>
            <w:tcBorders>
              <w:top w:val="nil"/>
              <w:left w:val="nil"/>
              <w:bottom w:val="nil"/>
              <w:right w:val="nil"/>
            </w:tcBorders>
            <w:shd w:val="clear" w:color="FFFFFF" w:fill="FFFFFF"/>
            <w:noWrap/>
            <w:vAlign w:val="bottom"/>
            <w:hideMark/>
          </w:tcPr>
          <w:p w14:paraId="7010D6F4" w14:textId="77777777" w:rsidR="00A43992" w:rsidRDefault="00A43992" w:rsidP="007211E3">
            <w:pPr>
              <w:jc w:val="right"/>
              <w:rPr>
                <w:rFonts w:ascii="Arial" w:hAnsi="Arial" w:cs="Arial"/>
                <w:sz w:val="18"/>
                <w:szCs w:val="18"/>
              </w:rPr>
            </w:pPr>
            <w:r>
              <w:rPr>
                <w:rFonts w:ascii="Arial" w:hAnsi="Arial" w:cs="Arial"/>
                <w:sz w:val="18"/>
                <w:szCs w:val="18"/>
              </w:rPr>
              <w:t xml:space="preserve"> -</w:t>
            </w:r>
          </w:p>
        </w:tc>
      </w:tr>
      <w:tr w:rsidR="00A43992" w14:paraId="64027F9F" w14:textId="77777777" w:rsidTr="007211E3">
        <w:trPr>
          <w:trHeight w:val="255"/>
        </w:trPr>
        <w:tc>
          <w:tcPr>
            <w:tcW w:w="4592" w:type="dxa"/>
            <w:tcBorders>
              <w:top w:val="nil"/>
              <w:left w:val="nil"/>
              <w:bottom w:val="nil"/>
              <w:right w:val="nil"/>
            </w:tcBorders>
            <w:shd w:val="clear" w:color="FFFFFF" w:fill="FFFFFF"/>
            <w:vAlign w:val="bottom"/>
            <w:hideMark/>
          </w:tcPr>
          <w:p w14:paraId="6B3AB801" w14:textId="77777777" w:rsidR="00A43992" w:rsidRDefault="00A43992" w:rsidP="007211E3">
            <w:pPr>
              <w:ind w:firstLineChars="100" w:firstLine="180"/>
              <w:rPr>
                <w:rFonts w:ascii="Arial" w:hAnsi="Arial" w:cs="Arial"/>
                <w:sz w:val="18"/>
                <w:szCs w:val="18"/>
              </w:rPr>
            </w:pPr>
            <w:r>
              <w:rPr>
                <w:rFonts w:ascii="Arial" w:hAnsi="Arial" w:cs="Arial"/>
                <w:sz w:val="18"/>
                <w:szCs w:val="18"/>
              </w:rPr>
              <w:t>Other</w:t>
            </w:r>
          </w:p>
        </w:tc>
        <w:tc>
          <w:tcPr>
            <w:tcW w:w="1047" w:type="dxa"/>
            <w:tcBorders>
              <w:top w:val="nil"/>
              <w:left w:val="nil"/>
              <w:bottom w:val="nil"/>
              <w:right w:val="nil"/>
            </w:tcBorders>
            <w:shd w:val="clear" w:color="FFFFFF" w:fill="FFFFFF"/>
            <w:noWrap/>
            <w:vAlign w:val="bottom"/>
            <w:hideMark/>
          </w:tcPr>
          <w:p w14:paraId="46B20130" w14:textId="77777777" w:rsidR="00A43992" w:rsidRDefault="00A43992" w:rsidP="007211E3">
            <w:pPr>
              <w:jc w:val="center"/>
              <w:rPr>
                <w:rFonts w:ascii="Arial" w:hAnsi="Arial" w:cs="Arial"/>
                <w:sz w:val="18"/>
                <w:szCs w:val="18"/>
              </w:rPr>
            </w:pPr>
            <w:r>
              <w:rPr>
                <w:rFonts w:ascii="Arial" w:hAnsi="Arial" w:cs="Arial"/>
                <w:sz w:val="18"/>
                <w:szCs w:val="18"/>
              </w:rPr>
              <w:t> </w:t>
            </w:r>
          </w:p>
        </w:tc>
        <w:tc>
          <w:tcPr>
            <w:tcW w:w="1012" w:type="dxa"/>
            <w:tcBorders>
              <w:top w:val="nil"/>
              <w:left w:val="nil"/>
              <w:bottom w:val="nil"/>
              <w:right w:val="nil"/>
            </w:tcBorders>
            <w:shd w:val="clear" w:color="FFFFFF" w:fill="FFFFFF"/>
            <w:noWrap/>
            <w:vAlign w:val="bottom"/>
            <w:hideMark/>
          </w:tcPr>
          <w:p w14:paraId="35E46DF9" w14:textId="77777777" w:rsidR="00A43992" w:rsidRDefault="00A43992" w:rsidP="007211E3">
            <w:pPr>
              <w:jc w:val="right"/>
              <w:rPr>
                <w:rFonts w:ascii="Arial" w:hAnsi="Arial" w:cs="Arial"/>
                <w:b/>
                <w:bCs/>
                <w:sz w:val="18"/>
                <w:szCs w:val="18"/>
              </w:rPr>
            </w:pPr>
            <w:r>
              <w:rPr>
                <w:rFonts w:ascii="Arial" w:hAnsi="Arial" w:cs="Arial"/>
                <w:b/>
                <w:bCs/>
                <w:sz w:val="18"/>
                <w:szCs w:val="18"/>
              </w:rPr>
              <w:t>17,762</w:t>
            </w:r>
          </w:p>
        </w:tc>
        <w:tc>
          <w:tcPr>
            <w:tcW w:w="236" w:type="dxa"/>
            <w:tcBorders>
              <w:top w:val="nil"/>
              <w:left w:val="nil"/>
              <w:bottom w:val="nil"/>
              <w:right w:val="nil"/>
            </w:tcBorders>
            <w:shd w:val="clear" w:color="FFFFFF" w:fill="FFFFFF"/>
            <w:noWrap/>
            <w:vAlign w:val="bottom"/>
            <w:hideMark/>
          </w:tcPr>
          <w:p w14:paraId="175BB3A4" w14:textId="77777777" w:rsidR="00A43992" w:rsidRDefault="00A43992" w:rsidP="007211E3">
            <w:pPr>
              <w:rPr>
                <w:rFonts w:ascii="Arial" w:hAnsi="Arial" w:cs="Arial"/>
                <w:sz w:val="18"/>
                <w:szCs w:val="18"/>
              </w:rPr>
            </w:pPr>
            <w:r>
              <w:rPr>
                <w:rFonts w:ascii="Arial" w:hAnsi="Arial" w:cs="Arial"/>
                <w:sz w:val="18"/>
                <w:szCs w:val="18"/>
              </w:rPr>
              <w:t> </w:t>
            </w:r>
          </w:p>
        </w:tc>
        <w:tc>
          <w:tcPr>
            <w:tcW w:w="982" w:type="dxa"/>
            <w:tcBorders>
              <w:top w:val="nil"/>
              <w:left w:val="nil"/>
              <w:bottom w:val="nil"/>
              <w:right w:val="nil"/>
            </w:tcBorders>
            <w:shd w:val="clear" w:color="FFFFFF" w:fill="FFFFFF"/>
            <w:noWrap/>
            <w:vAlign w:val="bottom"/>
            <w:hideMark/>
          </w:tcPr>
          <w:p w14:paraId="34074750" w14:textId="77777777" w:rsidR="00A43992" w:rsidRDefault="00A43992" w:rsidP="007211E3">
            <w:pPr>
              <w:jc w:val="right"/>
              <w:rPr>
                <w:rFonts w:ascii="Arial" w:hAnsi="Arial" w:cs="Arial"/>
                <w:sz w:val="18"/>
                <w:szCs w:val="18"/>
              </w:rPr>
            </w:pPr>
            <w:r>
              <w:rPr>
                <w:rFonts w:ascii="Arial" w:hAnsi="Arial" w:cs="Arial"/>
                <w:sz w:val="18"/>
                <w:szCs w:val="18"/>
              </w:rPr>
              <w:t xml:space="preserve">7,655 </w:t>
            </w:r>
          </w:p>
        </w:tc>
        <w:tc>
          <w:tcPr>
            <w:tcW w:w="236" w:type="dxa"/>
            <w:tcBorders>
              <w:top w:val="nil"/>
              <w:left w:val="nil"/>
              <w:bottom w:val="nil"/>
              <w:right w:val="nil"/>
            </w:tcBorders>
            <w:shd w:val="clear" w:color="FFFFFF" w:fill="FFFFFF"/>
            <w:noWrap/>
            <w:vAlign w:val="bottom"/>
            <w:hideMark/>
          </w:tcPr>
          <w:p w14:paraId="16478C66" w14:textId="77777777" w:rsidR="00A43992" w:rsidRDefault="00A43992" w:rsidP="007211E3">
            <w:pPr>
              <w:rPr>
                <w:rFonts w:ascii="Arial" w:hAnsi="Arial" w:cs="Arial"/>
                <w:sz w:val="18"/>
                <w:szCs w:val="18"/>
              </w:rPr>
            </w:pPr>
            <w:r>
              <w:rPr>
                <w:rFonts w:ascii="Arial" w:hAnsi="Arial" w:cs="Arial"/>
                <w:sz w:val="18"/>
                <w:szCs w:val="18"/>
              </w:rPr>
              <w:t> </w:t>
            </w:r>
          </w:p>
        </w:tc>
        <w:tc>
          <w:tcPr>
            <w:tcW w:w="982" w:type="dxa"/>
            <w:tcBorders>
              <w:top w:val="nil"/>
              <w:left w:val="nil"/>
              <w:bottom w:val="nil"/>
              <w:right w:val="nil"/>
            </w:tcBorders>
            <w:shd w:val="clear" w:color="FFFFFF" w:fill="FFFFFF"/>
            <w:noWrap/>
            <w:vAlign w:val="bottom"/>
            <w:hideMark/>
          </w:tcPr>
          <w:p w14:paraId="51E1F1B5" w14:textId="77777777" w:rsidR="00A43992" w:rsidRDefault="00A43992" w:rsidP="007211E3">
            <w:pPr>
              <w:jc w:val="right"/>
              <w:rPr>
                <w:rFonts w:ascii="Arial" w:hAnsi="Arial" w:cs="Arial"/>
                <w:sz w:val="18"/>
                <w:szCs w:val="18"/>
              </w:rPr>
            </w:pPr>
            <w:r>
              <w:rPr>
                <w:rFonts w:ascii="Arial" w:hAnsi="Arial" w:cs="Arial"/>
                <w:sz w:val="18"/>
                <w:szCs w:val="18"/>
              </w:rPr>
              <w:t xml:space="preserve"> -</w:t>
            </w:r>
          </w:p>
        </w:tc>
      </w:tr>
      <w:tr w:rsidR="00A43992" w14:paraId="4E4A2ED2" w14:textId="77777777" w:rsidTr="007211E3">
        <w:trPr>
          <w:trHeight w:val="255"/>
        </w:trPr>
        <w:tc>
          <w:tcPr>
            <w:tcW w:w="4592" w:type="dxa"/>
            <w:tcBorders>
              <w:top w:val="nil"/>
              <w:left w:val="nil"/>
              <w:bottom w:val="nil"/>
              <w:right w:val="nil"/>
            </w:tcBorders>
            <w:shd w:val="clear" w:color="FFFFFF" w:fill="FFFFFF"/>
            <w:vAlign w:val="bottom"/>
            <w:hideMark/>
          </w:tcPr>
          <w:p w14:paraId="4EE6F2EB" w14:textId="77777777" w:rsidR="00A43992" w:rsidRDefault="00A43992" w:rsidP="007211E3">
            <w:pPr>
              <w:ind w:firstLineChars="100" w:firstLine="180"/>
              <w:rPr>
                <w:rFonts w:ascii="Arial" w:hAnsi="Arial" w:cs="Arial"/>
                <w:sz w:val="18"/>
                <w:szCs w:val="18"/>
              </w:rPr>
            </w:pPr>
            <w:r>
              <w:rPr>
                <w:rFonts w:ascii="Arial" w:hAnsi="Arial" w:cs="Arial"/>
                <w:sz w:val="18"/>
                <w:szCs w:val="18"/>
              </w:rPr>
              <w:t>Net GST received</w:t>
            </w:r>
          </w:p>
        </w:tc>
        <w:tc>
          <w:tcPr>
            <w:tcW w:w="1047" w:type="dxa"/>
            <w:tcBorders>
              <w:top w:val="nil"/>
              <w:left w:val="nil"/>
              <w:bottom w:val="nil"/>
              <w:right w:val="nil"/>
            </w:tcBorders>
            <w:shd w:val="clear" w:color="FFFFFF" w:fill="FFFFFF"/>
            <w:noWrap/>
            <w:vAlign w:val="bottom"/>
            <w:hideMark/>
          </w:tcPr>
          <w:p w14:paraId="0D01FA64" w14:textId="77777777" w:rsidR="00A43992" w:rsidRDefault="00A43992" w:rsidP="007211E3">
            <w:pPr>
              <w:jc w:val="center"/>
              <w:rPr>
                <w:rFonts w:ascii="Arial" w:hAnsi="Arial" w:cs="Arial"/>
                <w:sz w:val="18"/>
                <w:szCs w:val="18"/>
              </w:rPr>
            </w:pPr>
            <w:r>
              <w:rPr>
                <w:rFonts w:ascii="Arial" w:hAnsi="Arial" w:cs="Arial"/>
                <w:sz w:val="18"/>
                <w:szCs w:val="18"/>
              </w:rPr>
              <w:t> </w:t>
            </w:r>
          </w:p>
        </w:tc>
        <w:tc>
          <w:tcPr>
            <w:tcW w:w="1012" w:type="dxa"/>
            <w:tcBorders>
              <w:top w:val="nil"/>
              <w:left w:val="nil"/>
              <w:bottom w:val="nil"/>
              <w:right w:val="nil"/>
            </w:tcBorders>
            <w:shd w:val="clear" w:color="FFFFFF" w:fill="FFFFFF"/>
            <w:noWrap/>
            <w:vAlign w:val="bottom"/>
            <w:hideMark/>
          </w:tcPr>
          <w:p w14:paraId="1FEF79B7" w14:textId="77777777" w:rsidR="00A43992" w:rsidRDefault="00A43992" w:rsidP="007211E3">
            <w:pPr>
              <w:jc w:val="right"/>
              <w:rPr>
                <w:rFonts w:ascii="Arial" w:hAnsi="Arial" w:cs="Arial"/>
                <w:b/>
                <w:bCs/>
                <w:sz w:val="18"/>
                <w:szCs w:val="18"/>
              </w:rPr>
            </w:pPr>
            <w:r>
              <w:rPr>
                <w:rFonts w:ascii="Arial" w:hAnsi="Arial" w:cs="Arial"/>
                <w:b/>
                <w:bCs/>
                <w:sz w:val="18"/>
                <w:szCs w:val="18"/>
              </w:rPr>
              <w:t>9,909</w:t>
            </w:r>
          </w:p>
        </w:tc>
        <w:tc>
          <w:tcPr>
            <w:tcW w:w="236" w:type="dxa"/>
            <w:tcBorders>
              <w:top w:val="nil"/>
              <w:left w:val="nil"/>
              <w:bottom w:val="nil"/>
              <w:right w:val="nil"/>
            </w:tcBorders>
            <w:shd w:val="clear" w:color="FFFFFF" w:fill="FFFFFF"/>
            <w:noWrap/>
            <w:vAlign w:val="bottom"/>
            <w:hideMark/>
          </w:tcPr>
          <w:p w14:paraId="411D1B7A" w14:textId="77777777" w:rsidR="00A43992" w:rsidRDefault="00A43992" w:rsidP="007211E3">
            <w:pPr>
              <w:rPr>
                <w:rFonts w:ascii="Arial" w:hAnsi="Arial" w:cs="Arial"/>
                <w:sz w:val="18"/>
                <w:szCs w:val="18"/>
              </w:rPr>
            </w:pPr>
            <w:r>
              <w:rPr>
                <w:rFonts w:ascii="Arial" w:hAnsi="Arial" w:cs="Arial"/>
                <w:sz w:val="18"/>
                <w:szCs w:val="18"/>
              </w:rPr>
              <w:t> </w:t>
            </w:r>
          </w:p>
        </w:tc>
        <w:tc>
          <w:tcPr>
            <w:tcW w:w="982" w:type="dxa"/>
            <w:tcBorders>
              <w:top w:val="nil"/>
              <w:left w:val="nil"/>
              <w:bottom w:val="nil"/>
              <w:right w:val="nil"/>
            </w:tcBorders>
            <w:shd w:val="clear" w:color="FFFFFF" w:fill="FFFFFF"/>
            <w:noWrap/>
            <w:vAlign w:val="bottom"/>
            <w:hideMark/>
          </w:tcPr>
          <w:p w14:paraId="14B3E16D" w14:textId="77777777" w:rsidR="00A43992" w:rsidRDefault="00A43992" w:rsidP="007211E3">
            <w:pPr>
              <w:jc w:val="right"/>
              <w:rPr>
                <w:rFonts w:ascii="Arial" w:hAnsi="Arial" w:cs="Arial"/>
                <w:sz w:val="18"/>
                <w:szCs w:val="18"/>
              </w:rPr>
            </w:pPr>
            <w:r>
              <w:rPr>
                <w:rFonts w:ascii="Arial" w:hAnsi="Arial" w:cs="Arial"/>
                <w:sz w:val="18"/>
                <w:szCs w:val="18"/>
              </w:rPr>
              <w:t xml:space="preserve">7,492 </w:t>
            </w:r>
          </w:p>
        </w:tc>
        <w:tc>
          <w:tcPr>
            <w:tcW w:w="236" w:type="dxa"/>
            <w:tcBorders>
              <w:top w:val="nil"/>
              <w:left w:val="nil"/>
              <w:bottom w:val="nil"/>
              <w:right w:val="nil"/>
            </w:tcBorders>
            <w:shd w:val="clear" w:color="FFFFFF" w:fill="FFFFFF"/>
            <w:noWrap/>
            <w:vAlign w:val="bottom"/>
            <w:hideMark/>
          </w:tcPr>
          <w:p w14:paraId="53DBDEB9" w14:textId="77777777" w:rsidR="00A43992" w:rsidRDefault="00A43992" w:rsidP="007211E3">
            <w:pPr>
              <w:rPr>
                <w:rFonts w:ascii="Arial" w:hAnsi="Arial" w:cs="Arial"/>
                <w:sz w:val="18"/>
                <w:szCs w:val="18"/>
              </w:rPr>
            </w:pPr>
            <w:r>
              <w:rPr>
                <w:rFonts w:ascii="Arial" w:hAnsi="Arial" w:cs="Arial"/>
                <w:sz w:val="18"/>
                <w:szCs w:val="18"/>
              </w:rPr>
              <w:t> </w:t>
            </w:r>
          </w:p>
        </w:tc>
        <w:tc>
          <w:tcPr>
            <w:tcW w:w="982" w:type="dxa"/>
            <w:tcBorders>
              <w:top w:val="nil"/>
              <w:left w:val="nil"/>
              <w:bottom w:val="nil"/>
              <w:right w:val="nil"/>
            </w:tcBorders>
            <w:shd w:val="clear" w:color="FFFFFF" w:fill="FFFFFF"/>
            <w:noWrap/>
            <w:vAlign w:val="bottom"/>
            <w:hideMark/>
          </w:tcPr>
          <w:p w14:paraId="34FC4E07" w14:textId="77777777" w:rsidR="00A43992" w:rsidRDefault="00A43992" w:rsidP="007211E3">
            <w:pPr>
              <w:jc w:val="right"/>
              <w:rPr>
                <w:rFonts w:ascii="Arial" w:hAnsi="Arial" w:cs="Arial"/>
                <w:sz w:val="18"/>
                <w:szCs w:val="18"/>
              </w:rPr>
            </w:pPr>
            <w:r>
              <w:rPr>
                <w:rFonts w:ascii="Arial" w:hAnsi="Arial" w:cs="Arial"/>
                <w:sz w:val="18"/>
                <w:szCs w:val="18"/>
              </w:rPr>
              <w:t xml:space="preserve"> -</w:t>
            </w:r>
          </w:p>
        </w:tc>
      </w:tr>
      <w:tr w:rsidR="00A43992" w14:paraId="7010F4A6" w14:textId="77777777" w:rsidTr="007211E3">
        <w:trPr>
          <w:trHeight w:val="255"/>
        </w:trPr>
        <w:tc>
          <w:tcPr>
            <w:tcW w:w="4592" w:type="dxa"/>
            <w:tcBorders>
              <w:top w:val="nil"/>
              <w:left w:val="nil"/>
              <w:bottom w:val="nil"/>
              <w:right w:val="nil"/>
            </w:tcBorders>
            <w:shd w:val="clear" w:color="FFFFFF" w:fill="FFFFFF"/>
            <w:vAlign w:val="bottom"/>
            <w:hideMark/>
          </w:tcPr>
          <w:p w14:paraId="0EF304AF" w14:textId="77777777" w:rsidR="00A43992" w:rsidRDefault="00A43992" w:rsidP="007211E3">
            <w:pPr>
              <w:rPr>
                <w:rFonts w:ascii="Arial" w:hAnsi="Arial" w:cs="Arial"/>
                <w:b/>
                <w:bCs/>
                <w:sz w:val="18"/>
                <w:szCs w:val="18"/>
              </w:rPr>
            </w:pPr>
            <w:r>
              <w:rPr>
                <w:rFonts w:ascii="Arial" w:hAnsi="Arial" w:cs="Arial"/>
                <w:b/>
                <w:bCs/>
                <w:sz w:val="18"/>
                <w:szCs w:val="18"/>
              </w:rPr>
              <w:t>Total cash received</w:t>
            </w:r>
          </w:p>
        </w:tc>
        <w:tc>
          <w:tcPr>
            <w:tcW w:w="1047" w:type="dxa"/>
            <w:tcBorders>
              <w:top w:val="nil"/>
              <w:left w:val="nil"/>
              <w:bottom w:val="nil"/>
              <w:right w:val="nil"/>
            </w:tcBorders>
            <w:shd w:val="clear" w:color="FFFFFF" w:fill="FFFFFF"/>
            <w:noWrap/>
            <w:vAlign w:val="bottom"/>
            <w:hideMark/>
          </w:tcPr>
          <w:p w14:paraId="1C07719D" w14:textId="77777777" w:rsidR="00A43992" w:rsidRDefault="00A43992" w:rsidP="007211E3">
            <w:pPr>
              <w:jc w:val="center"/>
              <w:rPr>
                <w:rFonts w:ascii="Arial" w:hAnsi="Arial" w:cs="Arial"/>
                <w:sz w:val="18"/>
                <w:szCs w:val="18"/>
              </w:rPr>
            </w:pPr>
            <w:r>
              <w:rPr>
                <w:rFonts w:ascii="Arial" w:hAnsi="Arial" w:cs="Arial"/>
                <w:sz w:val="18"/>
                <w:szCs w:val="18"/>
              </w:rPr>
              <w:t> </w:t>
            </w:r>
          </w:p>
        </w:tc>
        <w:tc>
          <w:tcPr>
            <w:tcW w:w="1012" w:type="dxa"/>
            <w:tcBorders>
              <w:top w:val="single" w:sz="4" w:space="0" w:color="auto"/>
              <w:left w:val="nil"/>
              <w:bottom w:val="single" w:sz="4" w:space="0" w:color="auto"/>
              <w:right w:val="nil"/>
            </w:tcBorders>
            <w:shd w:val="clear" w:color="FFFFFF" w:fill="FFFFFF"/>
            <w:noWrap/>
            <w:vAlign w:val="bottom"/>
            <w:hideMark/>
          </w:tcPr>
          <w:p w14:paraId="649E44D0" w14:textId="77777777" w:rsidR="00A43992" w:rsidRDefault="00A43992" w:rsidP="007211E3">
            <w:pPr>
              <w:jc w:val="right"/>
              <w:rPr>
                <w:rFonts w:ascii="Arial" w:hAnsi="Arial" w:cs="Arial"/>
                <w:b/>
                <w:bCs/>
                <w:sz w:val="18"/>
                <w:szCs w:val="18"/>
              </w:rPr>
            </w:pPr>
            <w:r>
              <w:rPr>
                <w:rFonts w:ascii="Arial" w:hAnsi="Arial" w:cs="Arial"/>
                <w:b/>
                <w:bCs/>
                <w:sz w:val="18"/>
                <w:szCs w:val="18"/>
              </w:rPr>
              <w:t>882,426</w:t>
            </w:r>
          </w:p>
        </w:tc>
        <w:tc>
          <w:tcPr>
            <w:tcW w:w="236" w:type="dxa"/>
            <w:tcBorders>
              <w:top w:val="nil"/>
              <w:left w:val="nil"/>
              <w:bottom w:val="nil"/>
              <w:right w:val="nil"/>
            </w:tcBorders>
            <w:shd w:val="clear" w:color="FFFFFF" w:fill="FFFFFF"/>
            <w:noWrap/>
            <w:vAlign w:val="bottom"/>
            <w:hideMark/>
          </w:tcPr>
          <w:p w14:paraId="26C2C2EB" w14:textId="77777777" w:rsidR="00A43992" w:rsidRDefault="00A43992" w:rsidP="007211E3">
            <w:pPr>
              <w:rPr>
                <w:rFonts w:ascii="Arial" w:hAnsi="Arial" w:cs="Arial"/>
                <w:sz w:val="18"/>
                <w:szCs w:val="18"/>
              </w:rPr>
            </w:pPr>
            <w:r>
              <w:rPr>
                <w:rFonts w:ascii="Arial" w:hAnsi="Arial" w:cs="Arial"/>
                <w:sz w:val="18"/>
                <w:szCs w:val="18"/>
              </w:rPr>
              <w:t> </w:t>
            </w:r>
          </w:p>
        </w:tc>
        <w:tc>
          <w:tcPr>
            <w:tcW w:w="982" w:type="dxa"/>
            <w:tcBorders>
              <w:top w:val="single" w:sz="4" w:space="0" w:color="auto"/>
              <w:left w:val="nil"/>
              <w:bottom w:val="single" w:sz="4" w:space="0" w:color="auto"/>
              <w:right w:val="nil"/>
            </w:tcBorders>
            <w:shd w:val="clear" w:color="FFFFFF" w:fill="FFFFFF"/>
            <w:noWrap/>
            <w:vAlign w:val="bottom"/>
            <w:hideMark/>
          </w:tcPr>
          <w:p w14:paraId="18BC85AB" w14:textId="77777777" w:rsidR="00A43992" w:rsidRDefault="00A43992" w:rsidP="007211E3">
            <w:pPr>
              <w:jc w:val="right"/>
              <w:rPr>
                <w:rFonts w:ascii="Arial" w:hAnsi="Arial" w:cs="Arial"/>
                <w:sz w:val="18"/>
                <w:szCs w:val="18"/>
              </w:rPr>
            </w:pPr>
            <w:r>
              <w:rPr>
                <w:rFonts w:ascii="Arial" w:hAnsi="Arial" w:cs="Arial"/>
                <w:sz w:val="18"/>
                <w:szCs w:val="18"/>
              </w:rPr>
              <w:t>441,798</w:t>
            </w:r>
          </w:p>
        </w:tc>
        <w:tc>
          <w:tcPr>
            <w:tcW w:w="236" w:type="dxa"/>
            <w:tcBorders>
              <w:top w:val="nil"/>
              <w:left w:val="nil"/>
              <w:bottom w:val="nil"/>
              <w:right w:val="nil"/>
            </w:tcBorders>
            <w:shd w:val="clear" w:color="FFFFFF" w:fill="FFFFFF"/>
            <w:noWrap/>
            <w:vAlign w:val="bottom"/>
            <w:hideMark/>
          </w:tcPr>
          <w:p w14:paraId="1360B1DD" w14:textId="77777777" w:rsidR="00A43992" w:rsidRDefault="00A43992" w:rsidP="007211E3">
            <w:pPr>
              <w:rPr>
                <w:rFonts w:ascii="Arial" w:hAnsi="Arial" w:cs="Arial"/>
                <w:sz w:val="18"/>
                <w:szCs w:val="18"/>
              </w:rPr>
            </w:pPr>
            <w:r>
              <w:rPr>
                <w:rFonts w:ascii="Arial" w:hAnsi="Arial" w:cs="Arial"/>
                <w:sz w:val="18"/>
                <w:szCs w:val="18"/>
              </w:rPr>
              <w:t> </w:t>
            </w:r>
          </w:p>
        </w:tc>
        <w:tc>
          <w:tcPr>
            <w:tcW w:w="982" w:type="dxa"/>
            <w:tcBorders>
              <w:top w:val="single" w:sz="4" w:space="0" w:color="auto"/>
              <w:left w:val="nil"/>
              <w:bottom w:val="single" w:sz="4" w:space="0" w:color="auto"/>
              <w:right w:val="nil"/>
            </w:tcBorders>
            <w:shd w:val="clear" w:color="FFFFFF" w:fill="FFFFFF"/>
            <w:noWrap/>
            <w:vAlign w:val="bottom"/>
            <w:hideMark/>
          </w:tcPr>
          <w:p w14:paraId="7F941C5C" w14:textId="77777777" w:rsidR="00A43992" w:rsidRDefault="00A43992" w:rsidP="007211E3">
            <w:pPr>
              <w:jc w:val="right"/>
              <w:rPr>
                <w:rFonts w:ascii="Arial" w:hAnsi="Arial" w:cs="Arial"/>
                <w:sz w:val="18"/>
                <w:szCs w:val="18"/>
              </w:rPr>
            </w:pPr>
            <w:r>
              <w:rPr>
                <w:rFonts w:ascii="Arial" w:hAnsi="Arial" w:cs="Arial"/>
                <w:sz w:val="18"/>
                <w:szCs w:val="18"/>
              </w:rPr>
              <w:t>802,911</w:t>
            </w:r>
          </w:p>
        </w:tc>
      </w:tr>
      <w:tr w:rsidR="00A43992" w14:paraId="545CFCE1" w14:textId="77777777" w:rsidTr="007211E3">
        <w:trPr>
          <w:trHeight w:val="255"/>
        </w:trPr>
        <w:tc>
          <w:tcPr>
            <w:tcW w:w="4592" w:type="dxa"/>
            <w:tcBorders>
              <w:top w:val="nil"/>
              <w:left w:val="nil"/>
              <w:bottom w:val="nil"/>
              <w:right w:val="nil"/>
            </w:tcBorders>
            <w:shd w:val="clear" w:color="FFFFFF" w:fill="FFFFFF"/>
            <w:vAlign w:val="bottom"/>
            <w:hideMark/>
          </w:tcPr>
          <w:p w14:paraId="55866EA0" w14:textId="77777777" w:rsidR="00A43992" w:rsidRDefault="00A43992" w:rsidP="007211E3">
            <w:pPr>
              <w:rPr>
                <w:rFonts w:ascii="Arial" w:hAnsi="Arial" w:cs="Arial"/>
                <w:b/>
                <w:bCs/>
                <w:sz w:val="18"/>
                <w:szCs w:val="18"/>
              </w:rPr>
            </w:pPr>
            <w:r>
              <w:rPr>
                <w:rFonts w:ascii="Arial" w:hAnsi="Arial" w:cs="Arial"/>
                <w:b/>
                <w:bCs/>
                <w:sz w:val="18"/>
                <w:szCs w:val="18"/>
              </w:rPr>
              <w:t>Cash used</w:t>
            </w:r>
          </w:p>
        </w:tc>
        <w:tc>
          <w:tcPr>
            <w:tcW w:w="1047" w:type="dxa"/>
            <w:tcBorders>
              <w:top w:val="nil"/>
              <w:left w:val="nil"/>
              <w:bottom w:val="nil"/>
              <w:right w:val="nil"/>
            </w:tcBorders>
            <w:shd w:val="clear" w:color="FFFFFF" w:fill="FFFFFF"/>
            <w:noWrap/>
            <w:vAlign w:val="bottom"/>
            <w:hideMark/>
          </w:tcPr>
          <w:p w14:paraId="214EE6BD" w14:textId="77777777" w:rsidR="00A43992" w:rsidRDefault="00A43992" w:rsidP="007211E3">
            <w:pPr>
              <w:jc w:val="center"/>
              <w:rPr>
                <w:rFonts w:ascii="Arial" w:hAnsi="Arial" w:cs="Arial"/>
                <w:sz w:val="18"/>
                <w:szCs w:val="18"/>
              </w:rPr>
            </w:pPr>
            <w:r>
              <w:rPr>
                <w:rFonts w:ascii="Arial" w:hAnsi="Arial" w:cs="Arial"/>
                <w:sz w:val="18"/>
                <w:szCs w:val="18"/>
              </w:rPr>
              <w:t> </w:t>
            </w:r>
          </w:p>
        </w:tc>
        <w:tc>
          <w:tcPr>
            <w:tcW w:w="1012" w:type="dxa"/>
            <w:tcBorders>
              <w:top w:val="nil"/>
              <w:left w:val="nil"/>
              <w:bottom w:val="nil"/>
              <w:right w:val="nil"/>
            </w:tcBorders>
            <w:shd w:val="clear" w:color="FFFFFF" w:fill="FFFFFF"/>
            <w:noWrap/>
            <w:vAlign w:val="bottom"/>
            <w:hideMark/>
          </w:tcPr>
          <w:p w14:paraId="6AF6A8BD" w14:textId="77777777" w:rsidR="00A43992" w:rsidRDefault="00A43992" w:rsidP="007211E3">
            <w:pPr>
              <w:rPr>
                <w:rFonts w:ascii="Arial" w:hAnsi="Arial" w:cs="Arial"/>
                <w:sz w:val="18"/>
                <w:szCs w:val="18"/>
              </w:rPr>
            </w:pPr>
            <w:r>
              <w:rPr>
                <w:rFonts w:ascii="Arial" w:hAnsi="Arial" w:cs="Arial"/>
                <w:sz w:val="18"/>
                <w:szCs w:val="18"/>
              </w:rPr>
              <w:t> </w:t>
            </w:r>
          </w:p>
        </w:tc>
        <w:tc>
          <w:tcPr>
            <w:tcW w:w="236" w:type="dxa"/>
            <w:tcBorders>
              <w:top w:val="nil"/>
              <w:left w:val="nil"/>
              <w:bottom w:val="nil"/>
              <w:right w:val="nil"/>
            </w:tcBorders>
            <w:shd w:val="clear" w:color="FFFFFF" w:fill="FFFFFF"/>
            <w:noWrap/>
            <w:vAlign w:val="bottom"/>
            <w:hideMark/>
          </w:tcPr>
          <w:p w14:paraId="13B450D3" w14:textId="77777777" w:rsidR="00A43992" w:rsidRDefault="00A43992" w:rsidP="007211E3">
            <w:pPr>
              <w:rPr>
                <w:rFonts w:ascii="Arial" w:hAnsi="Arial" w:cs="Arial"/>
                <w:sz w:val="18"/>
                <w:szCs w:val="18"/>
              </w:rPr>
            </w:pPr>
            <w:r>
              <w:rPr>
                <w:rFonts w:ascii="Arial" w:hAnsi="Arial" w:cs="Arial"/>
                <w:sz w:val="18"/>
                <w:szCs w:val="18"/>
              </w:rPr>
              <w:t> </w:t>
            </w:r>
          </w:p>
        </w:tc>
        <w:tc>
          <w:tcPr>
            <w:tcW w:w="982" w:type="dxa"/>
            <w:tcBorders>
              <w:top w:val="nil"/>
              <w:left w:val="nil"/>
              <w:bottom w:val="nil"/>
              <w:right w:val="nil"/>
            </w:tcBorders>
            <w:shd w:val="clear" w:color="FFFFFF" w:fill="FFFFFF"/>
            <w:noWrap/>
            <w:vAlign w:val="bottom"/>
            <w:hideMark/>
          </w:tcPr>
          <w:p w14:paraId="078D735E" w14:textId="77777777" w:rsidR="00A43992" w:rsidRDefault="00A43992" w:rsidP="007211E3">
            <w:pPr>
              <w:rPr>
                <w:rFonts w:ascii="Arial" w:hAnsi="Arial" w:cs="Arial"/>
                <w:sz w:val="18"/>
                <w:szCs w:val="18"/>
              </w:rPr>
            </w:pPr>
            <w:r>
              <w:rPr>
                <w:rFonts w:ascii="Arial" w:hAnsi="Arial" w:cs="Arial"/>
                <w:sz w:val="18"/>
                <w:szCs w:val="18"/>
              </w:rPr>
              <w:t> </w:t>
            </w:r>
          </w:p>
        </w:tc>
        <w:tc>
          <w:tcPr>
            <w:tcW w:w="236" w:type="dxa"/>
            <w:tcBorders>
              <w:top w:val="nil"/>
              <w:left w:val="nil"/>
              <w:bottom w:val="nil"/>
              <w:right w:val="nil"/>
            </w:tcBorders>
            <w:shd w:val="clear" w:color="FFFFFF" w:fill="FFFFFF"/>
            <w:noWrap/>
            <w:vAlign w:val="bottom"/>
            <w:hideMark/>
          </w:tcPr>
          <w:p w14:paraId="588F7FEA" w14:textId="77777777" w:rsidR="00A43992" w:rsidRDefault="00A43992" w:rsidP="007211E3">
            <w:pPr>
              <w:rPr>
                <w:rFonts w:ascii="Arial" w:hAnsi="Arial" w:cs="Arial"/>
                <w:sz w:val="18"/>
                <w:szCs w:val="18"/>
              </w:rPr>
            </w:pPr>
            <w:r>
              <w:rPr>
                <w:rFonts w:ascii="Arial" w:hAnsi="Arial" w:cs="Arial"/>
                <w:sz w:val="18"/>
                <w:szCs w:val="18"/>
              </w:rPr>
              <w:t> </w:t>
            </w:r>
          </w:p>
        </w:tc>
        <w:tc>
          <w:tcPr>
            <w:tcW w:w="982" w:type="dxa"/>
            <w:tcBorders>
              <w:top w:val="nil"/>
              <w:left w:val="nil"/>
              <w:bottom w:val="nil"/>
              <w:right w:val="nil"/>
            </w:tcBorders>
            <w:shd w:val="clear" w:color="FFFFFF" w:fill="FFFFFF"/>
            <w:noWrap/>
            <w:vAlign w:val="bottom"/>
            <w:hideMark/>
          </w:tcPr>
          <w:p w14:paraId="142B18A4" w14:textId="77777777" w:rsidR="00A43992" w:rsidRDefault="00A43992" w:rsidP="007211E3">
            <w:pPr>
              <w:rPr>
                <w:rFonts w:ascii="Arial" w:hAnsi="Arial" w:cs="Arial"/>
                <w:sz w:val="18"/>
                <w:szCs w:val="18"/>
              </w:rPr>
            </w:pPr>
            <w:r>
              <w:rPr>
                <w:rFonts w:ascii="Arial" w:hAnsi="Arial" w:cs="Arial"/>
                <w:sz w:val="18"/>
                <w:szCs w:val="18"/>
              </w:rPr>
              <w:t> </w:t>
            </w:r>
          </w:p>
        </w:tc>
      </w:tr>
      <w:tr w:rsidR="00A43992" w14:paraId="0F12F418" w14:textId="77777777" w:rsidTr="007211E3">
        <w:trPr>
          <w:trHeight w:val="240"/>
        </w:trPr>
        <w:tc>
          <w:tcPr>
            <w:tcW w:w="4592" w:type="dxa"/>
            <w:tcBorders>
              <w:top w:val="nil"/>
              <w:left w:val="nil"/>
              <w:bottom w:val="nil"/>
              <w:right w:val="nil"/>
            </w:tcBorders>
            <w:shd w:val="clear" w:color="FFFFFF" w:fill="FFFFFF"/>
            <w:vAlign w:val="bottom"/>
            <w:hideMark/>
          </w:tcPr>
          <w:p w14:paraId="0E5E3183" w14:textId="77777777" w:rsidR="00A43992" w:rsidRDefault="00A43992" w:rsidP="007211E3">
            <w:pPr>
              <w:ind w:firstLineChars="100" w:firstLine="180"/>
              <w:rPr>
                <w:rFonts w:ascii="Arial" w:hAnsi="Arial" w:cs="Arial"/>
                <w:sz w:val="18"/>
                <w:szCs w:val="18"/>
              </w:rPr>
            </w:pPr>
            <w:r>
              <w:rPr>
                <w:rFonts w:ascii="Arial" w:hAnsi="Arial" w:cs="Arial"/>
                <w:sz w:val="18"/>
                <w:szCs w:val="18"/>
              </w:rPr>
              <w:t>Employee benefits</w:t>
            </w:r>
          </w:p>
        </w:tc>
        <w:tc>
          <w:tcPr>
            <w:tcW w:w="1047" w:type="dxa"/>
            <w:tcBorders>
              <w:top w:val="nil"/>
              <w:left w:val="nil"/>
              <w:bottom w:val="nil"/>
              <w:right w:val="nil"/>
            </w:tcBorders>
            <w:shd w:val="clear" w:color="FFFFFF" w:fill="FFFFFF"/>
            <w:noWrap/>
            <w:vAlign w:val="bottom"/>
            <w:hideMark/>
          </w:tcPr>
          <w:p w14:paraId="4E9E2609" w14:textId="77777777" w:rsidR="00A43992" w:rsidRDefault="00A43992" w:rsidP="007211E3">
            <w:pPr>
              <w:jc w:val="center"/>
              <w:rPr>
                <w:rFonts w:ascii="Arial" w:hAnsi="Arial" w:cs="Arial"/>
                <w:sz w:val="18"/>
                <w:szCs w:val="18"/>
              </w:rPr>
            </w:pPr>
            <w:r>
              <w:rPr>
                <w:rFonts w:ascii="Arial" w:hAnsi="Arial" w:cs="Arial"/>
                <w:sz w:val="18"/>
                <w:szCs w:val="18"/>
              </w:rPr>
              <w:t> </w:t>
            </w:r>
          </w:p>
        </w:tc>
        <w:tc>
          <w:tcPr>
            <w:tcW w:w="1012" w:type="dxa"/>
            <w:tcBorders>
              <w:top w:val="nil"/>
              <w:left w:val="nil"/>
              <w:bottom w:val="nil"/>
              <w:right w:val="nil"/>
            </w:tcBorders>
            <w:shd w:val="clear" w:color="FFFFFF" w:fill="FFFFFF"/>
            <w:noWrap/>
            <w:vAlign w:val="bottom"/>
            <w:hideMark/>
          </w:tcPr>
          <w:p w14:paraId="242610FF" w14:textId="77777777" w:rsidR="00A43992" w:rsidRDefault="00A43992" w:rsidP="007211E3">
            <w:pPr>
              <w:jc w:val="right"/>
              <w:rPr>
                <w:rFonts w:ascii="Arial" w:hAnsi="Arial" w:cs="Arial"/>
                <w:b/>
                <w:bCs/>
                <w:sz w:val="18"/>
                <w:szCs w:val="18"/>
              </w:rPr>
            </w:pPr>
            <w:r>
              <w:rPr>
                <w:rFonts w:ascii="Arial" w:hAnsi="Arial" w:cs="Arial"/>
                <w:b/>
                <w:bCs/>
                <w:sz w:val="18"/>
                <w:szCs w:val="18"/>
              </w:rPr>
              <w:t>107,611</w:t>
            </w:r>
          </w:p>
        </w:tc>
        <w:tc>
          <w:tcPr>
            <w:tcW w:w="236" w:type="dxa"/>
            <w:tcBorders>
              <w:top w:val="nil"/>
              <w:left w:val="nil"/>
              <w:bottom w:val="nil"/>
              <w:right w:val="nil"/>
            </w:tcBorders>
            <w:shd w:val="clear" w:color="FFFFFF" w:fill="FFFFFF"/>
            <w:noWrap/>
            <w:vAlign w:val="bottom"/>
            <w:hideMark/>
          </w:tcPr>
          <w:p w14:paraId="6366C56D" w14:textId="77777777" w:rsidR="00A43992" w:rsidRDefault="00A43992" w:rsidP="007211E3">
            <w:pPr>
              <w:rPr>
                <w:rFonts w:ascii="Arial" w:hAnsi="Arial" w:cs="Arial"/>
                <w:sz w:val="18"/>
                <w:szCs w:val="18"/>
              </w:rPr>
            </w:pPr>
            <w:r>
              <w:rPr>
                <w:rFonts w:ascii="Arial" w:hAnsi="Arial" w:cs="Arial"/>
                <w:sz w:val="18"/>
                <w:szCs w:val="18"/>
              </w:rPr>
              <w:t> </w:t>
            </w:r>
          </w:p>
        </w:tc>
        <w:tc>
          <w:tcPr>
            <w:tcW w:w="982" w:type="dxa"/>
            <w:tcBorders>
              <w:top w:val="nil"/>
              <w:left w:val="nil"/>
              <w:bottom w:val="nil"/>
              <w:right w:val="nil"/>
            </w:tcBorders>
            <w:shd w:val="clear" w:color="FFFFFF" w:fill="FFFFFF"/>
            <w:noWrap/>
            <w:vAlign w:val="bottom"/>
            <w:hideMark/>
          </w:tcPr>
          <w:p w14:paraId="78B0C8AD" w14:textId="77777777" w:rsidR="00A43992" w:rsidRDefault="00A43992" w:rsidP="007211E3">
            <w:pPr>
              <w:jc w:val="right"/>
              <w:rPr>
                <w:rFonts w:ascii="Arial" w:hAnsi="Arial" w:cs="Arial"/>
                <w:sz w:val="18"/>
                <w:szCs w:val="18"/>
              </w:rPr>
            </w:pPr>
            <w:r>
              <w:rPr>
                <w:rFonts w:ascii="Arial" w:hAnsi="Arial" w:cs="Arial"/>
                <w:sz w:val="18"/>
                <w:szCs w:val="18"/>
              </w:rPr>
              <w:t xml:space="preserve">64,018 </w:t>
            </w:r>
          </w:p>
        </w:tc>
        <w:tc>
          <w:tcPr>
            <w:tcW w:w="236" w:type="dxa"/>
            <w:tcBorders>
              <w:top w:val="nil"/>
              <w:left w:val="nil"/>
              <w:bottom w:val="nil"/>
              <w:right w:val="nil"/>
            </w:tcBorders>
            <w:shd w:val="clear" w:color="FFFFFF" w:fill="FFFFFF"/>
            <w:noWrap/>
            <w:vAlign w:val="bottom"/>
            <w:hideMark/>
          </w:tcPr>
          <w:p w14:paraId="310F8C22" w14:textId="77777777" w:rsidR="00A43992" w:rsidRDefault="00A43992" w:rsidP="007211E3">
            <w:pPr>
              <w:rPr>
                <w:rFonts w:ascii="Arial" w:hAnsi="Arial" w:cs="Arial"/>
                <w:sz w:val="18"/>
                <w:szCs w:val="18"/>
              </w:rPr>
            </w:pPr>
            <w:r>
              <w:rPr>
                <w:rFonts w:ascii="Arial" w:hAnsi="Arial" w:cs="Arial"/>
                <w:sz w:val="18"/>
                <w:szCs w:val="18"/>
              </w:rPr>
              <w:t> </w:t>
            </w:r>
          </w:p>
        </w:tc>
        <w:tc>
          <w:tcPr>
            <w:tcW w:w="982" w:type="dxa"/>
            <w:tcBorders>
              <w:top w:val="nil"/>
              <w:left w:val="nil"/>
              <w:bottom w:val="nil"/>
              <w:right w:val="nil"/>
            </w:tcBorders>
            <w:shd w:val="clear" w:color="FFFFFF" w:fill="FFFFFF"/>
            <w:noWrap/>
            <w:vAlign w:val="bottom"/>
            <w:hideMark/>
          </w:tcPr>
          <w:p w14:paraId="3C7FD4C9" w14:textId="77777777" w:rsidR="00A43992" w:rsidRDefault="00A43992" w:rsidP="007211E3">
            <w:pPr>
              <w:jc w:val="right"/>
              <w:rPr>
                <w:rFonts w:ascii="Arial" w:hAnsi="Arial" w:cs="Arial"/>
                <w:sz w:val="18"/>
                <w:szCs w:val="18"/>
              </w:rPr>
            </w:pPr>
            <w:r>
              <w:rPr>
                <w:rFonts w:ascii="Arial" w:hAnsi="Arial" w:cs="Arial"/>
                <w:sz w:val="18"/>
                <w:szCs w:val="18"/>
              </w:rPr>
              <w:t xml:space="preserve">126,963 </w:t>
            </w:r>
          </w:p>
        </w:tc>
      </w:tr>
      <w:tr w:rsidR="00A43992" w14:paraId="585C6483" w14:textId="77777777" w:rsidTr="007211E3">
        <w:trPr>
          <w:trHeight w:val="255"/>
        </w:trPr>
        <w:tc>
          <w:tcPr>
            <w:tcW w:w="4592" w:type="dxa"/>
            <w:tcBorders>
              <w:top w:val="nil"/>
              <w:left w:val="nil"/>
              <w:bottom w:val="nil"/>
              <w:right w:val="nil"/>
            </w:tcBorders>
            <w:shd w:val="clear" w:color="FFFFFF" w:fill="FFFFFF"/>
            <w:vAlign w:val="bottom"/>
            <w:hideMark/>
          </w:tcPr>
          <w:p w14:paraId="652B04B9" w14:textId="77777777" w:rsidR="00A43992" w:rsidRDefault="00A43992" w:rsidP="007211E3">
            <w:pPr>
              <w:ind w:firstLineChars="100" w:firstLine="180"/>
              <w:rPr>
                <w:rFonts w:ascii="Arial" w:hAnsi="Arial" w:cs="Arial"/>
                <w:sz w:val="18"/>
                <w:szCs w:val="18"/>
              </w:rPr>
            </w:pPr>
            <w:r>
              <w:rPr>
                <w:rFonts w:ascii="Arial" w:hAnsi="Arial" w:cs="Arial"/>
                <w:sz w:val="18"/>
                <w:szCs w:val="18"/>
              </w:rPr>
              <w:t>Supplier expenses</w:t>
            </w:r>
          </w:p>
        </w:tc>
        <w:tc>
          <w:tcPr>
            <w:tcW w:w="1047" w:type="dxa"/>
            <w:tcBorders>
              <w:top w:val="nil"/>
              <w:left w:val="nil"/>
              <w:bottom w:val="nil"/>
              <w:right w:val="nil"/>
            </w:tcBorders>
            <w:shd w:val="clear" w:color="FFFFFF" w:fill="FFFFFF"/>
            <w:noWrap/>
            <w:vAlign w:val="bottom"/>
            <w:hideMark/>
          </w:tcPr>
          <w:p w14:paraId="3E611C67" w14:textId="77777777" w:rsidR="00A43992" w:rsidRDefault="00A43992" w:rsidP="007211E3">
            <w:pPr>
              <w:jc w:val="center"/>
              <w:rPr>
                <w:rFonts w:ascii="Arial" w:hAnsi="Arial" w:cs="Arial"/>
                <w:sz w:val="18"/>
                <w:szCs w:val="18"/>
              </w:rPr>
            </w:pPr>
            <w:r>
              <w:rPr>
                <w:rFonts w:ascii="Arial" w:hAnsi="Arial" w:cs="Arial"/>
                <w:sz w:val="18"/>
                <w:szCs w:val="18"/>
              </w:rPr>
              <w:t> </w:t>
            </w:r>
          </w:p>
        </w:tc>
        <w:tc>
          <w:tcPr>
            <w:tcW w:w="1012" w:type="dxa"/>
            <w:tcBorders>
              <w:top w:val="nil"/>
              <w:left w:val="nil"/>
              <w:bottom w:val="nil"/>
              <w:right w:val="nil"/>
            </w:tcBorders>
            <w:shd w:val="clear" w:color="FFFFFF" w:fill="FFFFFF"/>
            <w:noWrap/>
            <w:vAlign w:val="bottom"/>
            <w:hideMark/>
          </w:tcPr>
          <w:p w14:paraId="2E8B642D" w14:textId="77777777" w:rsidR="00A43992" w:rsidRDefault="00A43992" w:rsidP="007211E3">
            <w:pPr>
              <w:jc w:val="right"/>
              <w:rPr>
                <w:rFonts w:ascii="Arial" w:hAnsi="Arial" w:cs="Arial"/>
                <w:b/>
                <w:bCs/>
                <w:sz w:val="18"/>
                <w:szCs w:val="18"/>
              </w:rPr>
            </w:pPr>
            <w:r>
              <w:rPr>
                <w:rFonts w:ascii="Arial" w:hAnsi="Arial" w:cs="Arial"/>
                <w:b/>
                <w:bCs/>
                <w:sz w:val="18"/>
                <w:szCs w:val="18"/>
              </w:rPr>
              <w:t>114,573</w:t>
            </w:r>
          </w:p>
        </w:tc>
        <w:tc>
          <w:tcPr>
            <w:tcW w:w="236" w:type="dxa"/>
            <w:tcBorders>
              <w:top w:val="nil"/>
              <w:left w:val="nil"/>
              <w:bottom w:val="nil"/>
              <w:right w:val="nil"/>
            </w:tcBorders>
            <w:shd w:val="clear" w:color="FFFFFF" w:fill="FFFFFF"/>
            <w:noWrap/>
            <w:vAlign w:val="bottom"/>
            <w:hideMark/>
          </w:tcPr>
          <w:p w14:paraId="348ED423" w14:textId="77777777" w:rsidR="00A43992" w:rsidRDefault="00A43992" w:rsidP="007211E3">
            <w:pPr>
              <w:rPr>
                <w:rFonts w:ascii="Arial" w:hAnsi="Arial" w:cs="Arial"/>
                <w:sz w:val="18"/>
                <w:szCs w:val="18"/>
              </w:rPr>
            </w:pPr>
            <w:r>
              <w:rPr>
                <w:rFonts w:ascii="Arial" w:hAnsi="Arial" w:cs="Arial"/>
                <w:sz w:val="18"/>
                <w:szCs w:val="18"/>
              </w:rPr>
              <w:t> </w:t>
            </w:r>
          </w:p>
        </w:tc>
        <w:tc>
          <w:tcPr>
            <w:tcW w:w="982" w:type="dxa"/>
            <w:tcBorders>
              <w:top w:val="nil"/>
              <w:left w:val="nil"/>
              <w:bottom w:val="nil"/>
              <w:right w:val="nil"/>
            </w:tcBorders>
            <w:shd w:val="clear" w:color="FFFFFF" w:fill="FFFFFF"/>
            <w:noWrap/>
            <w:vAlign w:val="bottom"/>
            <w:hideMark/>
          </w:tcPr>
          <w:p w14:paraId="666D089F" w14:textId="77777777" w:rsidR="00A43992" w:rsidRDefault="00A43992" w:rsidP="007211E3">
            <w:pPr>
              <w:jc w:val="right"/>
              <w:rPr>
                <w:rFonts w:ascii="Arial" w:hAnsi="Arial" w:cs="Arial"/>
                <w:sz w:val="18"/>
                <w:szCs w:val="18"/>
              </w:rPr>
            </w:pPr>
            <w:r>
              <w:rPr>
                <w:rFonts w:ascii="Arial" w:hAnsi="Arial" w:cs="Arial"/>
                <w:sz w:val="18"/>
                <w:szCs w:val="18"/>
              </w:rPr>
              <w:t xml:space="preserve">82,522 </w:t>
            </w:r>
          </w:p>
        </w:tc>
        <w:tc>
          <w:tcPr>
            <w:tcW w:w="236" w:type="dxa"/>
            <w:tcBorders>
              <w:top w:val="nil"/>
              <w:left w:val="nil"/>
              <w:bottom w:val="nil"/>
              <w:right w:val="nil"/>
            </w:tcBorders>
            <w:shd w:val="clear" w:color="FFFFFF" w:fill="FFFFFF"/>
            <w:noWrap/>
            <w:vAlign w:val="bottom"/>
            <w:hideMark/>
          </w:tcPr>
          <w:p w14:paraId="7FF0A7A8" w14:textId="77777777" w:rsidR="00A43992" w:rsidRDefault="00A43992" w:rsidP="007211E3">
            <w:pPr>
              <w:rPr>
                <w:rFonts w:ascii="Arial" w:hAnsi="Arial" w:cs="Arial"/>
                <w:sz w:val="18"/>
                <w:szCs w:val="18"/>
              </w:rPr>
            </w:pPr>
            <w:r>
              <w:rPr>
                <w:rFonts w:ascii="Arial" w:hAnsi="Arial" w:cs="Arial"/>
                <w:sz w:val="18"/>
                <w:szCs w:val="18"/>
              </w:rPr>
              <w:t> </w:t>
            </w:r>
          </w:p>
        </w:tc>
        <w:tc>
          <w:tcPr>
            <w:tcW w:w="982" w:type="dxa"/>
            <w:tcBorders>
              <w:top w:val="nil"/>
              <w:left w:val="nil"/>
              <w:bottom w:val="nil"/>
              <w:right w:val="nil"/>
            </w:tcBorders>
            <w:shd w:val="clear" w:color="FFFFFF" w:fill="FFFFFF"/>
            <w:noWrap/>
            <w:vAlign w:val="bottom"/>
            <w:hideMark/>
          </w:tcPr>
          <w:p w14:paraId="4E5CC773" w14:textId="77777777" w:rsidR="00A43992" w:rsidRDefault="00A43992" w:rsidP="007211E3">
            <w:pPr>
              <w:jc w:val="right"/>
              <w:rPr>
                <w:rFonts w:ascii="Arial" w:hAnsi="Arial" w:cs="Arial"/>
                <w:sz w:val="18"/>
                <w:szCs w:val="18"/>
              </w:rPr>
            </w:pPr>
            <w:r>
              <w:rPr>
                <w:rFonts w:ascii="Arial" w:hAnsi="Arial" w:cs="Arial"/>
                <w:sz w:val="18"/>
                <w:szCs w:val="18"/>
              </w:rPr>
              <w:t xml:space="preserve">72,820 </w:t>
            </w:r>
          </w:p>
        </w:tc>
      </w:tr>
      <w:tr w:rsidR="00A43992" w14:paraId="5E123984" w14:textId="77777777" w:rsidTr="007211E3">
        <w:trPr>
          <w:trHeight w:val="255"/>
        </w:trPr>
        <w:tc>
          <w:tcPr>
            <w:tcW w:w="4592" w:type="dxa"/>
            <w:tcBorders>
              <w:top w:val="nil"/>
              <w:left w:val="nil"/>
              <w:bottom w:val="nil"/>
              <w:right w:val="nil"/>
            </w:tcBorders>
            <w:shd w:val="clear" w:color="FFFFFF" w:fill="FFFFFF"/>
            <w:vAlign w:val="bottom"/>
            <w:hideMark/>
          </w:tcPr>
          <w:p w14:paraId="6B88D858" w14:textId="77777777" w:rsidR="00A43992" w:rsidRDefault="00A43992" w:rsidP="007211E3">
            <w:pPr>
              <w:ind w:firstLineChars="100" w:firstLine="180"/>
              <w:rPr>
                <w:rFonts w:ascii="Arial" w:hAnsi="Arial" w:cs="Arial"/>
                <w:sz w:val="18"/>
                <w:szCs w:val="18"/>
              </w:rPr>
            </w:pPr>
            <w:r>
              <w:rPr>
                <w:rFonts w:ascii="Arial" w:hAnsi="Arial" w:cs="Arial"/>
                <w:sz w:val="18"/>
                <w:szCs w:val="18"/>
              </w:rPr>
              <w:t>Local area coordination costs</w:t>
            </w:r>
          </w:p>
        </w:tc>
        <w:tc>
          <w:tcPr>
            <w:tcW w:w="1047" w:type="dxa"/>
            <w:tcBorders>
              <w:top w:val="nil"/>
              <w:left w:val="nil"/>
              <w:bottom w:val="nil"/>
              <w:right w:val="nil"/>
            </w:tcBorders>
            <w:shd w:val="clear" w:color="FFFFFF" w:fill="FFFFFF"/>
            <w:noWrap/>
            <w:vAlign w:val="bottom"/>
            <w:hideMark/>
          </w:tcPr>
          <w:p w14:paraId="7BE0913D" w14:textId="77777777" w:rsidR="00A43992" w:rsidRDefault="00A43992" w:rsidP="007211E3">
            <w:pPr>
              <w:jc w:val="center"/>
              <w:rPr>
                <w:rFonts w:ascii="Arial" w:hAnsi="Arial" w:cs="Arial"/>
                <w:sz w:val="18"/>
                <w:szCs w:val="18"/>
              </w:rPr>
            </w:pPr>
            <w:r>
              <w:rPr>
                <w:rFonts w:ascii="Arial" w:hAnsi="Arial" w:cs="Arial"/>
                <w:sz w:val="18"/>
                <w:szCs w:val="18"/>
              </w:rPr>
              <w:t> </w:t>
            </w:r>
          </w:p>
        </w:tc>
        <w:tc>
          <w:tcPr>
            <w:tcW w:w="1012" w:type="dxa"/>
            <w:tcBorders>
              <w:top w:val="nil"/>
              <w:left w:val="nil"/>
              <w:bottom w:val="nil"/>
              <w:right w:val="nil"/>
            </w:tcBorders>
            <w:shd w:val="clear" w:color="FFFFFF" w:fill="FFFFFF"/>
            <w:noWrap/>
            <w:vAlign w:val="bottom"/>
            <w:hideMark/>
          </w:tcPr>
          <w:p w14:paraId="7130D94D" w14:textId="77777777" w:rsidR="00A43992" w:rsidRDefault="00A43992" w:rsidP="007211E3">
            <w:pPr>
              <w:jc w:val="right"/>
              <w:rPr>
                <w:rFonts w:ascii="Arial" w:hAnsi="Arial" w:cs="Arial"/>
                <w:b/>
                <w:bCs/>
                <w:sz w:val="18"/>
                <w:szCs w:val="18"/>
              </w:rPr>
            </w:pPr>
            <w:r>
              <w:rPr>
                <w:rFonts w:ascii="Arial" w:hAnsi="Arial" w:cs="Arial"/>
                <w:b/>
                <w:bCs/>
                <w:sz w:val="18"/>
                <w:szCs w:val="18"/>
              </w:rPr>
              <w:t>23,774</w:t>
            </w:r>
          </w:p>
        </w:tc>
        <w:tc>
          <w:tcPr>
            <w:tcW w:w="236" w:type="dxa"/>
            <w:tcBorders>
              <w:top w:val="nil"/>
              <w:left w:val="nil"/>
              <w:bottom w:val="nil"/>
              <w:right w:val="nil"/>
            </w:tcBorders>
            <w:shd w:val="clear" w:color="FFFFFF" w:fill="FFFFFF"/>
            <w:noWrap/>
            <w:vAlign w:val="bottom"/>
            <w:hideMark/>
          </w:tcPr>
          <w:p w14:paraId="7A0D60D2" w14:textId="77777777" w:rsidR="00A43992" w:rsidRDefault="00A43992" w:rsidP="007211E3">
            <w:pPr>
              <w:rPr>
                <w:rFonts w:ascii="Arial" w:hAnsi="Arial" w:cs="Arial"/>
                <w:sz w:val="18"/>
                <w:szCs w:val="18"/>
              </w:rPr>
            </w:pPr>
            <w:r>
              <w:rPr>
                <w:rFonts w:ascii="Arial" w:hAnsi="Arial" w:cs="Arial"/>
                <w:sz w:val="18"/>
                <w:szCs w:val="18"/>
              </w:rPr>
              <w:t> </w:t>
            </w:r>
          </w:p>
        </w:tc>
        <w:tc>
          <w:tcPr>
            <w:tcW w:w="982" w:type="dxa"/>
            <w:tcBorders>
              <w:top w:val="nil"/>
              <w:left w:val="nil"/>
              <w:bottom w:val="nil"/>
              <w:right w:val="nil"/>
            </w:tcBorders>
            <w:shd w:val="clear" w:color="FFFFFF" w:fill="FFFFFF"/>
            <w:noWrap/>
            <w:vAlign w:val="bottom"/>
            <w:hideMark/>
          </w:tcPr>
          <w:p w14:paraId="6E48503F" w14:textId="77777777" w:rsidR="00A43992" w:rsidRDefault="00A43992" w:rsidP="007211E3">
            <w:pPr>
              <w:jc w:val="right"/>
              <w:rPr>
                <w:rFonts w:ascii="Arial" w:hAnsi="Arial" w:cs="Arial"/>
                <w:sz w:val="18"/>
                <w:szCs w:val="18"/>
              </w:rPr>
            </w:pPr>
            <w:r>
              <w:rPr>
                <w:rFonts w:ascii="Arial" w:hAnsi="Arial" w:cs="Arial"/>
                <w:sz w:val="18"/>
                <w:szCs w:val="18"/>
              </w:rPr>
              <w:t xml:space="preserve">5,498 </w:t>
            </w:r>
          </w:p>
        </w:tc>
        <w:tc>
          <w:tcPr>
            <w:tcW w:w="236" w:type="dxa"/>
            <w:tcBorders>
              <w:top w:val="nil"/>
              <w:left w:val="nil"/>
              <w:bottom w:val="nil"/>
              <w:right w:val="nil"/>
            </w:tcBorders>
            <w:shd w:val="clear" w:color="FFFFFF" w:fill="FFFFFF"/>
            <w:noWrap/>
            <w:vAlign w:val="bottom"/>
            <w:hideMark/>
          </w:tcPr>
          <w:p w14:paraId="673B79BE" w14:textId="77777777" w:rsidR="00A43992" w:rsidRDefault="00A43992" w:rsidP="007211E3">
            <w:pPr>
              <w:rPr>
                <w:rFonts w:ascii="Arial" w:hAnsi="Arial" w:cs="Arial"/>
                <w:sz w:val="18"/>
                <w:szCs w:val="18"/>
              </w:rPr>
            </w:pPr>
            <w:r>
              <w:rPr>
                <w:rFonts w:ascii="Arial" w:hAnsi="Arial" w:cs="Arial"/>
                <w:sz w:val="18"/>
                <w:szCs w:val="18"/>
              </w:rPr>
              <w:t> </w:t>
            </w:r>
          </w:p>
        </w:tc>
        <w:tc>
          <w:tcPr>
            <w:tcW w:w="982" w:type="dxa"/>
            <w:tcBorders>
              <w:top w:val="nil"/>
              <w:left w:val="nil"/>
              <w:bottom w:val="nil"/>
              <w:right w:val="nil"/>
            </w:tcBorders>
            <w:shd w:val="clear" w:color="FFFFFF" w:fill="FFFFFF"/>
            <w:noWrap/>
            <w:vAlign w:val="bottom"/>
            <w:hideMark/>
          </w:tcPr>
          <w:p w14:paraId="6FBA6DC6" w14:textId="77777777" w:rsidR="00A43992" w:rsidRDefault="00A43992" w:rsidP="007211E3">
            <w:pPr>
              <w:jc w:val="right"/>
              <w:rPr>
                <w:rFonts w:ascii="Arial" w:hAnsi="Arial" w:cs="Arial"/>
                <w:sz w:val="18"/>
                <w:szCs w:val="18"/>
              </w:rPr>
            </w:pPr>
            <w:r>
              <w:rPr>
                <w:rFonts w:ascii="Arial" w:hAnsi="Arial" w:cs="Arial"/>
                <w:sz w:val="18"/>
                <w:szCs w:val="18"/>
              </w:rPr>
              <w:t xml:space="preserve"> -</w:t>
            </w:r>
          </w:p>
        </w:tc>
      </w:tr>
      <w:tr w:rsidR="00A43992" w14:paraId="793C51F4" w14:textId="77777777" w:rsidTr="007211E3">
        <w:trPr>
          <w:trHeight w:val="255"/>
        </w:trPr>
        <w:tc>
          <w:tcPr>
            <w:tcW w:w="4592" w:type="dxa"/>
            <w:tcBorders>
              <w:top w:val="nil"/>
              <w:left w:val="nil"/>
              <w:bottom w:val="nil"/>
              <w:right w:val="nil"/>
            </w:tcBorders>
            <w:shd w:val="clear" w:color="FFFFFF" w:fill="FFFFFF"/>
            <w:vAlign w:val="bottom"/>
            <w:hideMark/>
          </w:tcPr>
          <w:p w14:paraId="7C356F11" w14:textId="77777777" w:rsidR="00A43992" w:rsidRDefault="00A43992" w:rsidP="007211E3">
            <w:pPr>
              <w:ind w:firstLineChars="100" w:firstLine="180"/>
              <w:rPr>
                <w:rFonts w:ascii="Arial" w:hAnsi="Arial" w:cs="Arial"/>
                <w:sz w:val="18"/>
                <w:szCs w:val="18"/>
              </w:rPr>
            </w:pPr>
            <w:r>
              <w:rPr>
                <w:rFonts w:ascii="Arial" w:hAnsi="Arial" w:cs="Arial"/>
                <w:sz w:val="18"/>
                <w:szCs w:val="18"/>
              </w:rPr>
              <w:t>Participant plan expenses</w:t>
            </w:r>
          </w:p>
        </w:tc>
        <w:tc>
          <w:tcPr>
            <w:tcW w:w="1047" w:type="dxa"/>
            <w:tcBorders>
              <w:top w:val="nil"/>
              <w:left w:val="nil"/>
              <w:bottom w:val="nil"/>
              <w:right w:val="nil"/>
            </w:tcBorders>
            <w:shd w:val="clear" w:color="FFFFFF" w:fill="FFFFFF"/>
            <w:noWrap/>
            <w:vAlign w:val="bottom"/>
            <w:hideMark/>
          </w:tcPr>
          <w:p w14:paraId="28F2D185" w14:textId="77777777" w:rsidR="00A43992" w:rsidRDefault="00A43992" w:rsidP="007211E3">
            <w:pPr>
              <w:jc w:val="center"/>
              <w:rPr>
                <w:rFonts w:ascii="Arial" w:hAnsi="Arial" w:cs="Arial"/>
                <w:sz w:val="18"/>
                <w:szCs w:val="18"/>
              </w:rPr>
            </w:pPr>
            <w:r>
              <w:rPr>
                <w:rFonts w:ascii="Arial" w:hAnsi="Arial" w:cs="Arial"/>
                <w:sz w:val="18"/>
                <w:szCs w:val="18"/>
              </w:rPr>
              <w:t> </w:t>
            </w:r>
          </w:p>
        </w:tc>
        <w:tc>
          <w:tcPr>
            <w:tcW w:w="1012" w:type="dxa"/>
            <w:tcBorders>
              <w:top w:val="nil"/>
              <w:left w:val="nil"/>
              <w:bottom w:val="nil"/>
              <w:right w:val="nil"/>
            </w:tcBorders>
            <w:shd w:val="clear" w:color="FFFFFF" w:fill="FFFFFF"/>
            <w:noWrap/>
            <w:vAlign w:val="bottom"/>
            <w:hideMark/>
          </w:tcPr>
          <w:p w14:paraId="065C95FD" w14:textId="77777777" w:rsidR="00A43992" w:rsidRDefault="00A43992" w:rsidP="007211E3">
            <w:pPr>
              <w:jc w:val="right"/>
              <w:rPr>
                <w:rFonts w:ascii="Arial" w:hAnsi="Arial" w:cs="Arial"/>
                <w:b/>
                <w:bCs/>
                <w:sz w:val="18"/>
                <w:szCs w:val="18"/>
              </w:rPr>
            </w:pPr>
            <w:r>
              <w:rPr>
                <w:rFonts w:ascii="Arial" w:hAnsi="Arial" w:cs="Arial"/>
                <w:b/>
                <w:bCs/>
                <w:sz w:val="18"/>
                <w:szCs w:val="18"/>
              </w:rPr>
              <w:t>479,680</w:t>
            </w:r>
          </w:p>
        </w:tc>
        <w:tc>
          <w:tcPr>
            <w:tcW w:w="236" w:type="dxa"/>
            <w:tcBorders>
              <w:top w:val="nil"/>
              <w:left w:val="nil"/>
              <w:bottom w:val="nil"/>
              <w:right w:val="nil"/>
            </w:tcBorders>
            <w:shd w:val="clear" w:color="FFFFFF" w:fill="FFFFFF"/>
            <w:noWrap/>
            <w:vAlign w:val="bottom"/>
            <w:hideMark/>
          </w:tcPr>
          <w:p w14:paraId="28F2C701" w14:textId="77777777" w:rsidR="00A43992" w:rsidRDefault="00A43992" w:rsidP="007211E3">
            <w:pPr>
              <w:rPr>
                <w:rFonts w:ascii="Arial" w:hAnsi="Arial" w:cs="Arial"/>
                <w:sz w:val="18"/>
                <w:szCs w:val="18"/>
              </w:rPr>
            </w:pPr>
            <w:r>
              <w:rPr>
                <w:rFonts w:ascii="Arial" w:hAnsi="Arial" w:cs="Arial"/>
                <w:sz w:val="18"/>
                <w:szCs w:val="18"/>
              </w:rPr>
              <w:t> </w:t>
            </w:r>
          </w:p>
        </w:tc>
        <w:tc>
          <w:tcPr>
            <w:tcW w:w="982" w:type="dxa"/>
            <w:tcBorders>
              <w:top w:val="nil"/>
              <w:left w:val="nil"/>
              <w:bottom w:val="nil"/>
              <w:right w:val="nil"/>
            </w:tcBorders>
            <w:shd w:val="clear" w:color="FFFFFF" w:fill="FFFFFF"/>
            <w:noWrap/>
            <w:vAlign w:val="bottom"/>
            <w:hideMark/>
          </w:tcPr>
          <w:p w14:paraId="04C93EC5" w14:textId="77777777" w:rsidR="00A43992" w:rsidRDefault="00A43992" w:rsidP="007211E3">
            <w:pPr>
              <w:jc w:val="right"/>
              <w:rPr>
                <w:rFonts w:ascii="Arial" w:hAnsi="Arial" w:cs="Arial"/>
                <w:sz w:val="18"/>
                <w:szCs w:val="18"/>
              </w:rPr>
            </w:pPr>
            <w:r>
              <w:rPr>
                <w:rFonts w:ascii="Arial" w:hAnsi="Arial" w:cs="Arial"/>
                <w:sz w:val="18"/>
                <w:szCs w:val="18"/>
              </w:rPr>
              <w:t xml:space="preserve">234,953 </w:t>
            </w:r>
          </w:p>
        </w:tc>
        <w:tc>
          <w:tcPr>
            <w:tcW w:w="236" w:type="dxa"/>
            <w:tcBorders>
              <w:top w:val="nil"/>
              <w:left w:val="nil"/>
              <w:bottom w:val="nil"/>
              <w:right w:val="nil"/>
            </w:tcBorders>
            <w:shd w:val="clear" w:color="FFFFFF" w:fill="FFFFFF"/>
            <w:noWrap/>
            <w:vAlign w:val="bottom"/>
            <w:hideMark/>
          </w:tcPr>
          <w:p w14:paraId="3779B108" w14:textId="77777777" w:rsidR="00A43992" w:rsidRDefault="00A43992" w:rsidP="007211E3">
            <w:pPr>
              <w:rPr>
                <w:rFonts w:ascii="Arial" w:hAnsi="Arial" w:cs="Arial"/>
                <w:sz w:val="18"/>
                <w:szCs w:val="18"/>
              </w:rPr>
            </w:pPr>
            <w:r>
              <w:rPr>
                <w:rFonts w:ascii="Arial" w:hAnsi="Arial" w:cs="Arial"/>
                <w:sz w:val="18"/>
                <w:szCs w:val="18"/>
              </w:rPr>
              <w:t> </w:t>
            </w:r>
          </w:p>
        </w:tc>
        <w:tc>
          <w:tcPr>
            <w:tcW w:w="982" w:type="dxa"/>
            <w:tcBorders>
              <w:top w:val="nil"/>
              <w:left w:val="nil"/>
              <w:bottom w:val="nil"/>
              <w:right w:val="nil"/>
            </w:tcBorders>
            <w:shd w:val="clear" w:color="FFFFFF" w:fill="FFFFFF"/>
            <w:noWrap/>
            <w:vAlign w:val="bottom"/>
            <w:hideMark/>
          </w:tcPr>
          <w:p w14:paraId="528952DA" w14:textId="77777777" w:rsidR="00A43992" w:rsidRDefault="00A43992" w:rsidP="007211E3">
            <w:pPr>
              <w:jc w:val="right"/>
              <w:rPr>
                <w:rFonts w:ascii="Arial" w:hAnsi="Arial" w:cs="Arial"/>
                <w:sz w:val="18"/>
                <w:szCs w:val="18"/>
              </w:rPr>
            </w:pPr>
            <w:r>
              <w:rPr>
                <w:rFonts w:ascii="Arial" w:hAnsi="Arial" w:cs="Arial"/>
                <w:sz w:val="18"/>
                <w:szCs w:val="18"/>
              </w:rPr>
              <w:t xml:space="preserve">577,913 </w:t>
            </w:r>
          </w:p>
        </w:tc>
      </w:tr>
      <w:tr w:rsidR="00A43992" w14:paraId="5207B339" w14:textId="77777777" w:rsidTr="007211E3">
        <w:trPr>
          <w:trHeight w:val="255"/>
        </w:trPr>
        <w:tc>
          <w:tcPr>
            <w:tcW w:w="4592" w:type="dxa"/>
            <w:tcBorders>
              <w:top w:val="nil"/>
              <w:left w:val="nil"/>
              <w:bottom w:val="nil"/>
              <w:right w:val="nil"/>
            </w:tcBorders>
            <w:shd w:val="clear" w:color="FFFFFF" w:fill="FFFFFF"/>
            <w:vAlign w:val="bottom"/>
            <w:hideMark/>
          </w:tcPr>
          <w:p w14:paraId="1A20F8E6" w14:textId="77777777" w:rsidR="00A43992" w:rsidRDefault="00A43992" w:rsidP="007211E3">
            <w:pPr>
              <w:ind w:firstLineChars="100" w:firstLine="180"/>
              <w:rPr>
                <w:rFonts w:ascii="Arial" w:hAnsi="Arial" w:cs="Arial"/>
                <w:sz w:val="18"/>
                <w:szCs w:val="18"/>
              </w:rPr>
            </w:pPr>
            <w:r>
              <w:rPr>
                <w:rFonts w:ascii="Arial" w:hAnsi="Arial" w:cs="Arial"/>
                <w:sz w:val="18"/>
                <w:szCs w:val="18"/>
              </w:rPr>
              <w:t>Net GST paid</w:t>
            </w:r>
          </w:p>
        </w:tc>
        <w:tc>
          <w:tcPr>
            <w:tcW w:w="1047" w:type="dxa"/>
            <w:tcBorders>
              <w:top w:val="nil"/>
              <w:left w:val="nil"/>
              <w:bottom w:val="nil"/>
              <w:right w:val="nil"/>
            </w:tcBorders>
            <w:shd w:val="clear" w:color="FFFFFF" w:fill="FFFFFF"/>
            <w:noWrap/>
            <w:vAlign w:val="bottom"/>
            <w:hideMark/>
          </w:tcPr>
          <w:p w14:paraId="7DF961BF" w14:textId="77777777" w:rsidR="00A43992" w:rsidRDefault="00A43992" w:rsidP="007211E3">
            <w:pPr>
              <w:jc w:val="center"/>
              <w:rPr>
                <w:rFonts w:ascii="Arial" w:hAnsi="Arial" w:cs="Arial"/>
                <w:sz w:val="18"/>
                <w:szCs w:val="18"/>
              </w:rPr>
            </w:pPr>
            <w:r>
              <w:rPr>
                <w:rFonts w:ascii="Arial" w:hAnsi="Arial" w:cs="Arial"/>
                <w:sz w:val="18"/>
                <w:szCs w:val="18"/>
              </w:rPr>
              <w:t> </w:t>
            </w:r>
          </w:p>
        </w:tc>
        <w:tc>
          <w:tcPr>
            <w:tcW w:w="1012" w:type="dxa"/>
            <w:tcBorders>
              <w:top w:val="nil"/>
              <w:left w:val="nil"/>
              <w:bottom w:val="nil"/>
              <w:right w:val="nil"/>
            </w:tcBorders>
            <w:shd w:val="clear" w:color="FFFFFF" w:fill="FFFFFF"/>
            <w:noWrap/>
            <w:vAlign w:val="bottom"/>
            <w:hideMark/>
          </w:tcPr>
          <w:p w14:paraId="6327E68D" w14:textId="77777777" w:rsidR="00A43992" w:rsidRDefault="00A43992" w:rsidP="007211E3">
            <w:pPr>
              <w:jc w:val="right"/>
              <w:rPr>
                <w:rFonts w:ascii="Arial" w:hAnsi="Arial" w:cs="Arial"/>
                <w:b/>
                <w:bCs/>
                <w:sz w:val="18"/>
                <w:szCs w:val="18"/>
              </w:rPr>
            </w:pPr>
            <w:r>
              <w:rPr>
                <w:rFonts w:ascii="Arial" w:hAnsi="Arial" w:cs="Arial"/>
                <w:b/>
                <w:bCs/>
                <w:sz w:val="18"/>
                <w:szCs w:val="18"/>
              </w:rPr>
              <w:t>-</w:t>
            </w:r>
          </w:p>
        </w:tc>
        <w:tc>
          <w:tcPr>
            <w:tcW w:w="236" w:type="dxa"/>
            <w:tcBorders>
              <w:top w:val="nil"/>
              <w:left w:val="nil"/>
              <w:bottom w:val="nil"/>
              <w:right w:val="nil"/>
            </w:tcBorders>
            <w:shd w:val="clear" w:color="FFFFFF" w:fill="FFFFFF"/>
            <w:noWrap/>
            <w:vAlign w:val="bottom"/>
            <w:hideMark/>
          </w:tcPr>
          <w:p w14:paraId="0CC4AD55" w14:textId="77777777" w:rsidR="00A43992" w:rsidRDefault="00A43992" w:rsidP="007211E3">
            <w:pPr>
              <w:rPr>
                <w:rFonts w:ascii="Arial" w:hAnsi="Arial" w:cs="Arial"/>
                <w:sz w:val="18"/>
                <w:szCs w:val="18"/>
              </w:rPr>
            </w:pPr>
            <w:r>
              <w:rPr>
                <w:rFonts w:ascii="Arial" w:hAnsi="Arial" w:cs="Arial"/>
                <w:sz w:val="18"/>
                <w:szCs w:val="18"/>
              </w:rPr>
              <w:t> </w:t>
            </w:r>
          </w:p>
        </w:tc>
        <w:tc>
          <w:tcPr>
            <w:tcW w:w="982" w:type="dxa"/>
            <w:tcBorders>
              <w:top w:val="nil"/>
              <w:left w:val="nil"/>
              <w:bottom w:val="nil"/>
              <w:right w:val="nil"/>
            </w:tcBorders>
            <w:shd w:val="clear" w:color="FFFFFF" w:fill="FFFFFF"/>
            <w:noWrap/>
            <w:vAlign w:val="bottom"/>
            <w:hideMark/>
          </w:tcPr>
          <w:p w14:paraId="703A3DE3" w14:textId="77777777" w:rsidR="00A43992" w:rsidRDefault="00A43992" w:rsidP="007211E3">
            <w:pPr>
              <w:jc w:val="right"/>
              <w:rPr>
                <w:rFonts w:ascii="Arial" w:hAnsi="Arial" w:cs="Arial"/>
                <w:sz w:val="18"/>
                <w:szCs w:val="18"/>
              </w:rPr>
            </w:pPr>
            <w:r>
              <w:rPr>
                <w:rFonts w:ascii="Arial" w:hAnsi="Arial" w:cs="Arial"/>
                <w:sz w:val="18"/>
                <w:szCs w:val="18"/>
              </w:rPr>
              <w:t xml:space="preserve"> -</w:t>
            </w:r>
          </w:p>
        </w:tc>
        <w:tc>
          <w:tcPr>
            <w:tcW w:w="236" w:type="dxa"/>
            <w:tcBorders>
              <w:top w:val="nil"/>
              <w:left w:val="nil"/>
              <w:bottom w:val="nil"/>
              <w:right w:val="nil"/>
            </w:tcBorders>
            <w:shd w:val="clear" w:color="FFFFFF" w:fill="FFFFFF"/>
            <w:noWrap/>
            <w:vAlign w:val="bottom"/>
            <w:hideMark/>
          </w:tcPr>
          <w:p w14:paraId="05652D85" w14:textId="77777777" w:rsidR="00A43992" w:rsidRDefault="00A43992" w:rsidP="007211E3">
            <w:pPr>
              <w:rPr>
                <w:rFonts w:ascii="Arial" w:hAnsi="Arial" w:cs="Arial"/>
                <w:sz w:val="18"/>
                <w:szCs w:val="18"/>
              </w:rPr>
            </w:pPr>
            <w:r>
              <w:rPr>
                <w:rFonts w:ascii="Arial" w:hAnsi="Arial" w:cs="Arial"/>
                <w:sz w:val="18"/>
                <w:szCs w:val="18"/>
              </w:rPr>
              <w:t> </w:t>
            </w:r>
          </w:p>
        </w:tc>
        <w:tc>
          <w:tcPr>
            <w:tcW w:w="982" w:type="dxa"/>
            <w:tcBorders>
              <w:top w:val="nil"/>
              <w:left w:val="nil"/>
              <w:bottom w:val="nil"/>
              <w:right w:val="nil"/>
            </w:tcBorders>
            <w:shd w:val="clear" w:color="FFFFFF" w:fill="FFFFFF"/>
            <w:noWrap/>
            <w:vAlign w:val="bottom"/>
            <w:hideMark/>
          </w:tcPr>
          <w:p w14:paraId="15900B21" w14:textId="77777777" w:rsidR="00A43992" w:rsidRDefault="00A43992" w:rsidP="007211E3">
            <w:pPr>
              <w:jc w:val="right"/>
              <w:rPr>
                <w:rFonts w:ascii="Arial" w:hAnsi="Arial" w:cs="Arial"/>
                <w:sz w:val="18"/>
                <w:szCs w:val="18"/>
              </w:rPr>
            </w:pPr>
            <w:r>
              <w:rPr>
                <w:rFonts w:ascii="Arial" w:hAnsi="Arial" w:cs="Arial"/>
                <w:sz w:val="18"/>
                <w:szCs w:val="18"/>
              </w:rPr>
              <w:t xml:space="preserve">90 </w:t>
            </w:r>
          </w:p>
        </w:tc>
      </w:tr>
      <w:tr w:rsidR="00A43992" w14:paraId="4D797170" w14:textId="77777777" w:rsidTr="007211E3">
        <w:trPr>
          <w:trHeight w:val="255"/>
        </w:trPr>
        <w:tc>
          <w:tcPr>
            <w:tcW w:w="4592" w:type="dxa"/>
            <w:tcBorders>
              <w:top w:val="nil"/>
              <w:left w:val="nil"/>
              <w:bottom w:val="nil"/>
              <w:right w:val="nil"/>
            </w:tcBorders>
            <w:shd w:val="clear" w:color="FFFFFF" w:fill="FFFFFF"/>
            <w:vAlign w:val="bottom"/>
            <w:hideMark/>
          </w:tcPr>
          <w:p w14:paraId="0C73816E" w14:textId="77777777" w:rsidR="00A43992" w:rsidRDefault="00A43992" w:rsidP="007211E3">
            <w:pPr>
              <w:ind w:firstLineChars="100" w:firstLine="180"/>
              <w:rPr>
                <w:rFonts w:ascii="Arial" w:hAnsi="Arial" w:cs="Arial"/>
                <w:sz w:val="18"/>
                <w:szCs w:val="18"/>
              </w:rPr>
            </w:pPr>
            <w:r>
              <w:rPr>
                <w:rFonts w:ascii="Arial" w:hAnsi="Arial" w:cs="Arial"/>
                <w:sz w:val="18"/>
                <w:szCs w:val="18"/>
              </w:rPr>
              <w:t>Grant payments</w:t>
            </w:r>
          </w:p>
        </w:tc>
        <w:tc>
          <w:tcPr>
            <w:tcW w:w="1047" w:type="dxa"/>
            <w:tcBorders>
              <w:top w:val="nil"/>
              <w:left w:val="nil"/>
              <w:bottom w:val="nil"/>
              <w:right w:val="nil"/>
            </w:tcBorders>
            <w:shd w:val="clear" w:color="FFFFFF" w:fill="FFFFFF"/>
            <w:noWrap/>
            <w:vAlign w:val="bottom"/>
            <w:hideMark/>
          </w:tcPr>
          <w:p w14:paraId="463905C5" w14:textId="77777777" w:rsidR="00A43992" w:rsidRDefault="00A43992" w:rsidP="007211E3">
            <w:pPr>
              <w:jc w:val="center"/>
              <w:rPr>
                <w:rFonts w:ascii="Arial" w:hAnsi="Arial" w:cs="Arial"/>
                <w:sz w:val="18"/>
                <w:szCs w:val="18"/>
              </w:rPr>
            </w:pPr>
            <w:r>
              <w:rPr>
                <w:rFonts w:ascii="Arial" w:hAnsi="Arial" w:cs="Arial"/>
                <w:sz w:val="18"/>
                <w:szCs w:val="18"/>
              </w:rPr>
              <w:t> </w:t>
            </w:r>
          </w:p>
        </w:tc>
        <w:tc>
          <w:tcPr>
            <w:tcW w:w="1012" w:type="dxa"/>
            <w:tcBorders>
              <w:top w:val="nil"/>
              <w:left w:val="nil"/>
              <w:bottom w:val="nil"/>
              <w:right w:val="nil"/>
            </w:tcBorders>
            <w:shd w:val="clear" w:color="FFFFFF" w:fill="FFFFFF"/>
            <w:noWrap/>
            <w:vAlign w:val="bottom"/>
            <w:hideMark/>
          </w:tcPr>
          <w:p w14:paraId="149F21DF" w14:textId="77777777" w:rsidR="00A43992" w:rsidRDefault="00A43992" w:rsidP="007211E3">
            <w:pPr>
              <w:jc w:val="right"/>
              <w:rPr>
                <w:rFonts w:ascii="Arial" w:hAnsi="Arial" w:cs="Arial"/>
                <w:b/>
                <w:bCs/>
                <w:sz w:val="18"/>
                <w:szCs w:val="18"/>
              </w:rPr>
            </w:pPr>
            <w:r>
              <w:rPr>
                <w:rFonts w:ascii="Arial" w:hAnsi="Arial" w:cs="Arial"/>
                <w:b/>
                <w:bCs/>
                <w:sz w:val="18"/>
                <w:szCs w:val="18"/>
              </w:rPr>
              <w:t>10,441</w:t>
            </w:r>
          </w:p>
        </w:tc>
        <w:tc>
          <w:tcPr>
            <w:tcW w:w="236" w:type="dxa"/>
            <w:tcBorders>
              <w:top w:val="nil"/>
              <w:left w:val="nil"/>
              <w:bottom w:val="nil"/>
              <w:right w:val="nil"/>
            </w:tcBorders>
            <w:shd w:val="clear" w:color="FFFFFF" w:fill="FFFFFF"/>
            <w:noWrap/>
            <w:vAlign w:val="bottom"/>
            <w:hideMark/>
          </w:tcPr>
          <w:p w14:paraId="37E3308B" w14:textId="77777777" w:rsidR="00A43992" w:rsidRDefault="00A43992" w:rsidP="007211E3">
            <w:pPr>
              <w:rPr>
                <w:rFonts w:ascii="Arial" w:hAnsi="Arial" w:cs="Arial"/>
                <w:sz w:val="18"/>
                <w:szCs w:val="18"/>
              </w:rPr>
            </w:pPr>
            <w:r>
              <w:rPr>
                <w:rFonts w:ascii="Arial" w:hAnsi="Arial" w:cs="Arial"/>
                <w:sz w:val="18"/>
                <w:szCs w:val="18"/>
              </w:rPr>
              <w:t> </w:t>
            </w:r>
          </w:p>
        </w:tc>
        <w:tc>
          <w:tcPr>
            <w:tcW w:w="982" w:type="dxa"/>
            <w:tcBorders>
              <w:top w:val="nil"/>
              <w:left w:val="nil"/>
              <w:bottom w:val="nil"/>
              <w:right w:val="nil"/>
            </w:tcBorders>
            <w:shd w:val="clear" w:color="FFFFFF" w:fill="FFFFFF"/>
            <w:noWrap/>
            <w:vAlign w:val="bottom"/>
            <w:hideMark/>
          </w:tcPr>
          <w:p w14:paraId="21CA17BE" w14:textId="77777777" w:rsidR="00A43992" w:rsidRDefault="00A43992" w:rsidP="007211E3">
            <w:pPr>
              <w:jc w:val="right"/>
              <w:rPr>
                <w:rFonts w:ascii="Arial" w:hAnsi="Arial" w:cs="Arial"/>
                <w:sz w:val="18"/>
                <w:szCs w:val="18"/>
              </w:rPr>
            </w:pPr>
            <w:r>
              <w:rPr>
                <w:rFonts w:ascii="Arial" w:hAnsi="Arial" w:cs="Arial"/>
                <w:sz w:val="18"/>
                <w:szCs w:val="18"/>
              </w:rPr>
              <w:t xml:space="preserve">15,912 </w:t>
            </w:r>
          </w:p>
        </w:tc>
        <w:tc>
          <w:tcPr>
            <w:tcW w:w="236" w:type="dxa"/>
            <w:tcBorders>
              <w:top w:val="nil"/>
              <w:left w:val="nil"/>
              <w:bottom w:val="nil"/>
              <w:right w:val="nil"/>
            </w:tcBorders>
            <w:shd w:val="clear" w:color="FFFFFF" w:fill="FFFFFF"/>
            <w:noWrap/>
            <w:vAlign w:val="bottom"/>
            <w:hideMark/>
          </w:tcPr>
          <w:p w14:paraId="60FDA64B" w14:textId="77777777" w:rsidR="00A43992" w:rsidRDefault="00A43992" w:rsidP="007211E3">
            <w:pPr>
              <w:rPr>
                <w:rFonts w:ascii="Arial" w:hAnsi="Arial" w:cs="Arial"/>
                <w:sz w:val="18"/>
                <w:szCs w:val="18"/>
              </w:rPr>
            </w:pPr>
            <w:r>
              <w:rPr>
                <w:rFonts w:ascii="Arial" w:hAnsi="Arial" w:cs="Arial"/>
                <w:sz w:val="18"/>
                <w:szCs w:val="18"/>
              </w:rPr>
              <w:t> </w:t>
            </w:r>
          </w:p>
        </w:tc>
        <w:tc>
          <w:tcPr>
            <w:tcW w:w="982" w:type="dxa"/>
            <w:tcBorders>
              <w:top w:val="nil"/>
              <w:left w:val="nil"/>
              <w:bottom w:val="nil"/>
              <w:right w:val="nil"/>
            </w:tcBorders>
            <w:shd w:val="clear" w:color="FFFFFF" w:fill="FFFFFF"/>
            <w:noWrap/>
            <w:vAlign w:val="bottom"/>
            <w:hideMark/>
          </w:tcPr>
          <w:p w14:paraId="7DE17604" w14:textId="77777777" w:rsidR="00A43992" w:rsidRDefault="00A43992" w:rsidP="007211E3">
            <w:pPr>
              <w:jc w:val="right"/>
              <w:rPr>
                <w:rFonts w:ascii="Arial" w:hAnsi="Arial" w:cs="Arial"/>
                <w:sz w:val="18"/>
                <w:szCs w:val="18"/>
              </w:rPr>
            </w:pPr>
            <w:r>
              <w:rPr>
                <w:rFonts w:ascii="Arial" w:hAnsi="Arial" w:cs="Arial"/>
                <w:sz w:val="18"/>
                <w:szCs w:val="18"/>
              </w:rPr>
              <w:t xml:space="preserve">6,730 </w:t>
            </w:r>
          </w:p>
        </w:tc>
      </w:tr>
      <w:tr w:rsidR="00A43992" w14:paraId="2FAE43DD" w14:textId="77777777" w:rsidTr="007211E3">
        <w:trPr>
          <w:trHeight w:val="255"/>
        </w:trPr>
        <w:tc>
          <w:tcPr>
            <w:tcW w:w="4592" w:type="dxa"/>
            <w:tcBorders>
              <w:top w:val="nil"/>
              <w:left w:val="nil"/>
              <w:bottom w:val="nil"/>
              <w:right w:val="nil"/>
            </w:tcBorders>
            <w:shd w:val="clear" w:color="FFFFFF" w:fill="FFFFFF"/>
            <w:vAlign w:val="bottom"/>
            <w:hideMark/>
          </w:tcPr>
          <w:p w14:paraId="4701A470" w14:textId="77777777" w:rsidR="00A43992" w:rsidRDefault="00A43992" w:rsidP="007211E3">
            <w:pPr>
              <w:rPr>
                <w:rFonts w:ascii="Arial" w:hAnsi="Arial" w:cs="Arial"/>
                <w:b/>
                <w:bCs/>
                <w:sz w:val="18"/>
                <w:szCs w:val="18"/>
              </w:rPr>
            </w:pPr>
            <w:r>
              <w:rPr>
                <w:rFonts w:ascii="Arial" w:hAnsi="Arial" w:cs="Arial"/>
                <w:b/>
                <w:bCs/>
                <w:sz w:val="18"/>
                <w:szCs w:val="18"/>
              </w:rPr>
              <w:t>Total cash used</w:t>
            </w:r>
          </w:p>
        </w:tc>
        <w:tc>
          <w:tcPr>
            <w:tcW w:w="1047" w:type="dxa"/>
            <w:tcBorders>
              <w:top w:val="nil"/>
              <w:left w:val="nil"/>
              <w:bottom w:val="nil"/>
              <w:right w:val="nil"/>
            </w:tcBorders>
            <w:shd w:val="clear" w:color="FFFFFF" w:fill="FFFFFF"/>
            <w:noWrap/>
            <w:vAlign w:val="bottom"/>
            <w:hideMark/>
          </w:tcPr>
          <w:p w14:paraId="250E32DB" w14:textId="77777777" w:rsidR="00A43992" w:rsidRDefault="00A43992" w:rsidP="007211E3">
            <w:pPr>
              <w:jc w:val="center"/>
              <w:rPr>
                <w:rFonts w:ascii="Arial" w:hAnsi="Arial" w:cs="Arial"/>
                <w:sz w:val="18"/>
                <w:szCs w:val="18"/>
              </w:rPr>
            </w:pPr>
            <w:r>
              <w:rPr>
                <w:rFonts w:ascii="Arial" w:hAnsi="Arial" w:cs="Arial"/>
                <w:sz w:val="18"/>
                <w:szCs w:val="18"/>
              </w:rPr>
              <w:t> </w:t>
            </w:r>
          </w:p>
        </w:tc>
        <w:tc>
          <w:tcPr>
            <w:tcW w:w="1012" w:type="dxa"/>
            <w:tcBorders>
              <w:top w:val="single" w:sz="4" w:space="0" w:color="auto"/>
              <w:left w:val="nil"/>
              <w:bottom w:val="single" w:sz="4" w:space="0" w:color="auto"/>
              <w:right w:val="nil"/>
            </w:tcBorders>
            <w:shd w:val="clear" w:color="FFFFFF" w:fill="FFFFFF"/>
            <w:noWrap/>
            <w:vAlign w:val="bottom"/>
            <w:hideMark/>
          </w:tcPr>
          <w:p w14:paraId="2CC1D10E" w14:textId="77777777" w:rsidR="00A43992" w:rsidRDefault="00A43992" w:rsidP="007211E3">
            <w:pPr>
              <w:jc w:val="right"/>
              <w:rPr>
                <w:rFonts w:ascii="Arial" w:hAnsi="Arial" w:cs="Arial"/>
                <w:b/>
                <w:bCs/>
                <w:sz w:val="18"/>
                <w:szCs w:val="18"/>
              </w:rPr>
            </w:pPr>
            <w:r>
              <w:rPr>
                <w:rFonts w:ascii="Arial" w:hAnsi="Arial" w:cs="Arial"/>
                <w:b/>
                <w:bCs/>
                <w:sz w:val="18"/>
                <w:szCs w:val="18"/>
              </w:rPr>
              <w:t>736,079</w:t>
            </w:r>
          </w:p>
        </w:tc>
        <w:tc>
          <w:tcPr>
            <w:tcW w:w="236" w:type="dxa"/>
            <w:tcBorders>
              <w:top w:val="nil"/>
              <w:left w:val="nil"/>
              <w:bottom w:val="nil"/>
              <w:right w:val="nil"/>
            </w:tcBorders>
            <w:shd w:val="clear" w:color="FFFFFF" w:fill="FFFFFF"/>
            <w:noWrap/>
            <w:vAlign w:val="bottom"/>
            <w:hideMark/>
          </w:tcPr>
          <w:p w14:paraId="227DC33B" w14:textId="77777777" w:rsidR="00A43992" w:rsidRDefault="00A43992" w:rsidP="007211E3">
            <w:pPr>
              <w:rPr>
                <w:rFonts w:ascii="Arial" w:hAnsi="Arial" w:cs="Arial"/>
                <w:sz w:val="18"/>
                <w:szCs w:val="18"/>
              </w:rPr>
            </w:pPr>
            <w:r>
              <w:rPr>
                <w:rFonts w:ascii="Arial" w:hAnsi="Arial" w:cs="Arial"/>
                <w:sz w:val="18"/>
                <w:szCs w:val="18"/>
              </w:rPr>
              <w:t> </w:t>
            </w:r>
          </w:p>
        </w:tc>
        <w:tc>
          <w:tcPr>
            <w:tcW w:w="982" w:type="dxa"/>
            <w:tcBorders>
              <w:top w:val="single" w:sz="4" w:space="0" w:color="auto"/>
              <w:left w:val="nil"/>
              <w:bottom w:val="single" w:sz="4" w:space="0" w:color="auto"/>
              <w:right w:val="nil"/>
            </w:tcBorders>
            <w:shd w:val="clear" w:color="FFFFFF" w:fill="FFFFFF"/>
            <w:noWrap/>
            <w:vAlign w:val="bottom"/>
            <w:hideMark/>
          </w:tcPr>
          <w:p w14:paraId="4DB76A4D" w14:textId="77777777" w:rsidR="00A43992" w:rsidRDefault="00A43992" w:rsidP="007211E3">
            <w:pPr>
              <w:jc w:val="right"/>
              <w:rPr>
                <w:rFonts w:ascii="Arial" w:hAnsi="Arial" w:cs="Arial"/>
                <w:sz w:val="18"/>
                <w:szCs w:val="18"/>
              </w:rPr>
            </w:pPr>
            <w:r>
              <w:rPr>
                <w:rFonts w:ascii="Arial" w:hAnsi="Arial" w:cs="Arial"/>
                <w:sz w:val="18"/>
                <w:szCs w:val="18"/>
              </w:rPr>
              <w:t>402,903</w:t>
            </w:r>
          </w:p>
        </w:tc>
        <w:tc>
          <w:tcPr>
            <w:tcW w:w="236" w:type="dxa"/>
            <w:tcBorders>
              <w:top w:val="nil"/>
              <w:left w:val="nil"/>
              <w:bottom w:val="nil"/>
              <w:right w:val="nil"/>
            </w:tcBorders>
            <w:shd w:val="clear" w:color="FFFFFF" w:fill="FFFFFF"/>
            <w:noWrap/>
            <w:vAlign w:val="bottom"/>
            <w:hideMark/>
          </w:tcPr>
          <w:p w14:paraId="1075EAD6" w14:textId="77777777" w:rsidR="00A43992" w:rsidRDefault="00A43992" w:rsidP="007211E3">
            <w:pPr>
              <w:rPr>
                <w:rFonts w:ascii="Arial" w:hAnsi="Arial" w:cs="Arial"/>
                <w:sz w:val="18"/>
                <w:szCs w:val="18"/>
              </w:rPr>
            </w:pPr>
            <w:r>
              <w:rPr>
                <w:rFonts w:ascii="Arial" w:hAnsi="Arial" w:cs="Arial"/>
                <w:sz w:val="18"/>
                <w:szCs w:val="18"/>
              </w:rPr>
              <w:t> </w:t>
            </w:r>
          </w:p>
        </w:tc>
        <w:tc>
          <w:tcPr>
            <w:tcW w:w="982" w:type="dxa"/>
            <w:tcBorders>
              <w:top w:val="single" w:sz="4" w:space="0" w:color="auto"/>
              <w:left w:val="nil"/>
              <w:bottom w:val="single" w:sz="4" w:space="0" w:color="auto"/>
              <w:right w:val="nil"/>
            </w:tcBorders>
            <w:shd w:val="clear" w:color="FFFFFF" w:fill="FFFFFF"/>
            <w:noWrap/>
            <w:vAlign w:val="bottom"/>
            <w:hideMark/>
          </w:tcPr>
          <w:p w14:paraId="16BEC593" w14:textId="77777777" w:rsidR="00A43992" w:rsidRDefault="00A43992" w:rsidP="007211E3">
            <w:pPr>
              <w:jc w:val="right"/>
              <w:rPr>
                <w:rFonts w:ascii="Arial" w:hAnsi="Arial" w:cs="Arial"/>
                <w:sz w:val="18"/>
                <w:szCs w:val="18"/>
              </w:rPr>
            </w:pPr>
            <w:r>
              <w:rPr>
                <w:rFonts w:ascii="Arial" w:hAnsi="Arial" w:cs="Arial"/>
                <w:sz w:val="18"/>
                <w:szCs w:val="18"/>
              </w:rPr>
              <w:t>784,516</w:t>
            </w:r>
          </w:p>
        </w:tc>
      </w:tr>
      <w:tr w:rsidR="00A43992" w14:paraId="5A5C9252" w14:textId="77777777" w:rsidTr="007211E3">
        <w:trPr>
          <w:trHeight w:val="255"/>
        </w:trPr>
        <w:tc>
          <w:tcPr>
            <w:tcW w:w="4592" w:type="dxa"/>
            <w:tcBorders>
              <w:top w:val="nil"/>
              <w:left w:val="nil"/>
              <w:bottom w:val="nil"/>
              <w:right w:val="nil"/>
            </w:tcBorders>
            <w:shd w:val="clear" w:color="FFFFFF" w:fill="FFFFFF"/>
            <w:vAlign w:val="bottom"/>
            <w:hideMark/>
          </w:tcPr>
          <w:p w14:paraId="4B6E363F" w14:textId="77777777" w:rsidR="00A43992" w:rsidRDefault="00A43992" w:rsidP="007211E3">
            <w:pPr>
              <w:rPr>
                <w:rFonts w:ascii="Arial" w:hAnsi="Arial" w:cs="Arial"/>
                <w:b/>
                <w:bCs/>
                <w:sz w:val="18"/>
                <w:szCs w:val="18"/>
              </w:rPr>
            </w:pPr>
            <w:r>
              <w:rPr>
                <w:rFonts w:ascii="Arial" w:hAnsi="Arial" w:cs="Arial"/>
                <w:b/>
                <w:bCs/>
                <w:sz w:val="18"/>
                <w:szCs w:val="18"/>
              </w:rPr>
              <w:t>Net cash from operating activities</w:t>
            </w:r>
          </w:p>
        </w:tc>
        <w:tc>
          <w:tcPr>
            <w:tcW w:w="1047" w:type="dxa"/>
            <w:tcBorders>
              <w:top w:val="nil"/>
              <w:left w:val="nil"/>
              <w:bottom w:val="nil"/>
              <w:right w:val="nil"/>
            </w:tcBorders>
            <w:shd w:val="clear" w:color="FFFFFF" w:fill="FFFFFF"/>
            <w:noWrap/>
            <w:vAlign w:val="bottom"/>
            <w:hideMark/>
          </w:tcPr>
          <w:p w14:paraId="5E23FB3B" w14:textId="77777777" w:rsidR="00A43992" w:rsidRDefault="00A43992" w:rsidP="007211E3">
            <w:pPr>
              <w:jc w:val="center"/>
              <w:rPr>
                <w:rFonts w:ascii="Arial" w:hAnsi="Arial" w:cs="Arial"/>
                <w:sz w:val="18"/>
                <w:szCs w:val="18"/>
              </w:rPr>
            </w:pPr>
            <w:r>
              <w:rPr>
                <w:rFonts w:ascii="Arial" w:hAnsi="Arial" w:cs="Arial"/>
                <w:sz w:val="18"/>
                <w:szCs w:val="18"/>
              </w:rPr>
              <w:t>3.1</w:t>
            </w:r>
          </w:p>
        </w:tc>
        <w:tc>
          <w:tcPr>
            <w:tcW w:w="1012" w:type="dxa"/>
            <w:tcBorders>
              <w:top w:val="nil"/>
              <w:left w:val="nil"/>
              <w:bottom w:val="single" w:sz="4" w:space="0" w:color="auto"/>
              <w:right w:val="nil"/>
            </w:tcBorders>
            <w:shd w:val="clear" w:color="FFFFFF" w:fill="FFFFFF"/>
            <w:noWrap/>
            <w:vAlign w:val="bottom"/>
            <w:hideMark/>
          </w:tcPr>
          <w:p w14:paraId="2569F94D" w14:textId="77777777" w:rsidR="00A43992" w:rsidRDefault="00A43992" w:rsidP="007211E3">
            <w:pPr>
              <w:jc w:val="right"/>
              <w:rPr>
                <w:rFonts w:ascii="Arial" w:hAnsi="Arial" w:cs="Arial"/>
                <w:b/>
                <w:bCs/>
                <w:sz w:val="18"/>
                <w:szCs w:val="18"/>
              </w:rPr>
            </w:pPr>
            <w:r>
              <w:rPr>
                <w:rFonts w:ascii="Arial" w:hAnsi="Arial" w:cs="Arial"/>
                <w:b/>
                <w:bCs/>
                <w:sz w:val="18"/>
                <w:szCs w:val="18"/>
              </w:rPr>
              <w:t>146,347</w:t>
            </w:r>
          </w:p>
        </w:tc>
        <w:tc>
          <w:tcPr>
            <w:tcW w:w="236" w:type="dxa"/>
            <w:tcBorders>
              <w:top w:val="nil"/>
              <w:left w:val="nil"/>
              <w:bottom w:val="nil"/>
              <w:right w:val="nil"/>
            </w:tcBorders>
            <w:shd w:val="clear" w:color="FFFFFF" w:fill="FFFFFF"/>
            <w:noWrap/>
            <w:vAlign w:val="bottom"/>
            <w:hideMark/>
          </w:tcPr>
          <w:p w14:paraId="6D8DC3E7" w14:textId="77777777" w:rsidR="00A43992" w:rsidRDefault="00A43992" w:rsidP="007211E3">
            <w:pPr>
              <w:rPr>
                <w:rFonts w:ascii="Arial" w:hAnsi="Arial" w:cs="Arial"/>
                <w:sz w:val="18"/>
                <w:szCs w:val="18"/>
              </w:rPr>
            </w:pPr>
            <w:r>
              <w:rPr>
                <w:rFonts w:ascii="Arial" w:hAnsi="Arial" w:cs="Arial"/>
                <w:sz w:val="18"/>
                <w:szCs w:val="18"/>
              </w:rPr>
              <w:t> </w:t>
            </w:r>
          </w:p>
        </w:tc>
        <w:tc>
          <w:tcPr>
            <w:tcW w:w="982" w:type="dxa"/>
            <w:tcBorders>
              <w:top w:val="nil"/>
              <w:left w:val="nil"/>
              <w:bottom w:val="single" w:sz="4" w:space="0" w:color="auto"/>
              <w:right w:val="nil"/>
            </w:tcBorders>
            <w:shd w:val="clear" w:color="FFFFFF" w:fill="FFFFFF"/>
            <w:noWrap/>
            <w:vAlign w:val="bottom"/>
            <w:hideMark/>
          </w:tcPr>
          <w:p w14:paraId="72A17950" w14:textId="77777777" w:rsidR="00A43992" w:rsidRDefault="00A43992" w:rsidP="007211E3">
            <w:pPr>
              <w:jc w:val="right"/>
              <w:rPr>
                <w:rFonts w:ascii="Arial" w:hAnsi="Arial" w:cs="Arial"/>
                <w:sz w:val="18"/>
                <w:szCs w:val="18"/>
              </w:rPr>
            </w:pPr>
            <w:r>
              <w:rPr>
                <w:rFonts w:ascii="Arial" w:hAnsi="Arial" w:cs="Arial"/>
                <w:sz w:val="18"/>
                <w:szCs w:val="18"/>
              </w:rPr>
              <w:t>38,895</w:t>
            </w:r>
          </w:p>
        </w:tc>
        <w:tc>
          <w:tcPr>
            <w:tcW w:w="236" w:type="dxa"/>
            <w:tcBorders>
              <w:top w:val="nil"/>
              <w:left w:val="nil"/>
              <w:bottom w:val="nil"/>
              <w:right w:val="nil"/>
            </w:tcBorders>
            <w:shd w:val="clear" w:color="FFFFFF" w:fill="FFFFFF"/>
            <w:noWrap/>
            <w:vAlign w:val="bottom"/>
            <w:hideMark/>
          </w:tcPr>
          <w:p w14:paraId="37B7F0C4" w14:textId="77777777" w:rsidR="00A43992" w:rsidRDefault="00A43992" w:rsidP="007211E3">
            <w:pPr>
              <w:rPr>
                <w:rFonts w:ascii="Arial" w:hAnsi="Arial" w:cs="Arial"/>
                <w:sz w:val="18"/>
                <w:szCs w:val="18"/>
              </w:rPr>
            </w:pPr>
            <w:r>
              <w:rPr>
                <w:rFonts w:ascii="Arial" w:hAnsi="Arial" w:cs="Arial"/>
                <w:sz w:val="18"/>
                <w:szCs w:val="18"/>
              </w:rPr>
              <w:t> </w:t>
            </w:r>
          </w:p>
        </w:tc>
        <w:tc>
          <w:tcPr>
            <w:tcW w:w="982" w:type="dxa"/>
            <w:tcBorders>
              <w:top w:val="nil"/>
              <w:left w:val="nil"/>
              <w:bottom w:val="single" w:sz="4" w:space="0" w:color="auto"/>
              <w:right w:val="nil"/>
            </w:tcBorders>
            <w:shd w:val="clear" w:color="FFFFFF" w:fill="FFFFFF"/>
            <w:noWrap/>
            <w:vAlign w:val="bottom"/>
            <w:hideMark/>
          </w:tcPr>
          <w:p w14:paraId="269C6F0A" w14:textId="77777777" w:rsidR="00A43992" w:rsidRDefault="00A43992" w:rsidP="007211E3">
            <w:pPr>
              <w:jc w:val="right"/>
              <w:rPr>
                <w:rFonts w:ascii="Arial" w:hAnsi="Arial" w:cs="Arial"/>
                <w:sz w:val="18"/>
                <w:szCs w:val="18"/>
              </w:rPr>
            </w:pPr>
            <w:r>
              <w:rPr>
                <w:rFonts w:ascii="Arial" w:hAnsi="Arial" w:cs="Arial"/>
                <w:sz w:val="18"/>
                <w:szCs w:val="18"/>
              </w:rPr>
              <w:t>18,395</w:t>
            </w:r>
          </w:p>
        </w:tc>
      </w:tr>
      <w:tr w:rsidR="00A43992" w14:paraId="5A450D14" w14:textId="77777777" w:rsidTr="007211E3">
        <w:trPr>
          <w:trHeight w:val="120"/>
        </w:trPr>
        <w:tc>
          <w:tcPr>
            <w:tcW w:w="4592" w:type="dxa"/>
            <w:tcBorders>
              <w:top w:val="nil"/>
              <w:left w:val="nil"/>
              <w:bottom w:val="nil"/>
              <w:right w:val="nil"/>
            </w:tcBorders>
            <w:shd w:val="clear" w:color="FFFFFF" w:fill="FFFFFF"/>
            <w:noWrap/>
            <w:vAlign w:val="bottom"/>
            <w:hideMark/>
          </w:tcPr>
          <w:p w14:paraId="2C663CC4" w14:textId="77777777" w:rsidR="00A43992" w:rsidRDefault="00A43992" w:rsidP="007211E3">
            <w:pPr>
              <w:rPr>
                <w:rFonts w:ascii="Arial" w:hAnsi="Arial" w:cs="Arial"/>
                <w:sz w:val="18"/>
                <w:szCs w:val="18"/>
              </w:rPr>
            </w:pPr>
            <w:r>
              <w:rPr>
                <w:rFonts w:ascii="Arial" w:hAnsi="Arial" w:cs="Arial"/>
                <w:sz w:val="18"/>
                <w:szCs w:val="18"/>
              </w:rPr>
              <w:t> </w:t>
            </w:r>
          </w:p>
        </w:tc>
        <w:tc>
          <w:tcPr>
            <w:tcW w:w="1047" w:type="dxa"/>
            <w:tcBorders>
              <w:top w:val="nil"/>
              <w:left w:val="nil"/>
              <w:bottom w:val="nil"/>
              <w:right w:val="nil"/>
            </w:tcBorders>
            <w:shd w:val="clear" w:color="FFFFFF" w:fill="FFFFFF"/>
            <w:noWrap/>
            <w:vAlign w:val="bottom"/>
            <w:hideMark/>
          </w:tcPr>
          <w:p w14:paraId="6935F109" w14:textId="77777777" w:rsidR="00A43992" w:rsidRDefault="00A43992" w:rsidP="007211E3">
            <w:pPr>
              <w:jc w:val="center"/>
              <w:rPr>
                <w:rFonts w:ascii="Arial" w:hAnsi="Arial" w:cs="Arial"/>
                <w:sz w:val="18"/>
                <w:szCs w:val="18"/>
              </w:rPr>
            </w:pPr>
            <w:r>
              <w:rPr>
                <w:rFonts w:ascii="Arial" w:hAnsi="Arial" w:cs="Arial"/>
                <w:sz w:val="18"/>
                <w:szCs w:val="18"/>
              </w:rPr>
              <w:t> </w:t>
            </w:r>
          </w:p>
        </w:tc>
        <w:tc>
          <w:tcPr>
            <w:tcW w:w="1012" w:type="dxa"/>
            <w:tcBorders>
              <w:top w:val="nil"/>
              <w:left w:val="nil"/>
              <w:bottom w:val="nil"/>
              <w:right w:val="nil"/>
            </w:tcBorders>
            <w:shd w:val="clear" w:color="FFFFFF" w:fill="FFFFFF"/>
            <w:noWrap/>
            <w:vAlign w:val="bottom"/>
            <w:hideMark/>
          </w:tcPr>
          <w:p w14:paraId="556CCB32" w14:textId="77777777" w:rsidR="00A43992" w:rsidRDefault="00A43992" w:rsidP="007211E3">
            <w:pPr>
              <w:rPr>
                <w:rFonts w:ascii="Arial" w:hAnsi="Arial" w:cs="Arial"/>
                <w:sz w:val="18"/>
                <w:szCs w:val="18"/>
              </w:rPr>
            </w:pPr>
            <w:r>
              <w:rPr>
                <w:rFonts w:ascii="Arial" w:hAnsi="Arial" w:cs="Arial"/>
                <w:sz w:val="18"/>
                <w:szCs w:val="18"/>
              </w:rPr>
              <w:t> </w:t>
            </w:r>
          </w:p>
        </w:tc>
        <w:tc>
          <w:tcPr>
            <w:tcW w:w="236" w:type="dxa"/>
            <w:tcBorders>
              <w:top w:val="nil"/>
              <w:left w:val="nil"/>
              <w:bottom w:val="nil"/>
              <w:right w:val="nil"/>
            </w:tcBorders>
            <w:shd w:val="clear" w:color="FFFFFF" w:fill="FFFFFF"/>
            <w:noWrap/>
            <w:vAlign w:val="bottom"/>
            <w:hideMark/>
          </w:tcPr>
          <w:p w14:paraId="49BC30B4" w14:textId="77777777" w:rsidR="00A43992" w:rsidRDefault="00A43992" w:rsidP="007211E3">
            <w:pPr>
              <w:rPr>
                <w:rFonts w:ascii="Arial" w:hAnsi="Arial" w:cs="Arial"/>
                <w:sz w:val="18"/>
                <w:szCs w:val="18"/>
              </w:rPr>
            </w:pPr>
            <w:r>
              <w:rPr>
                <w:rFonts w:ascii="Arial" w:hAnsi="Arial" w:cs="Arial"/>
                <w:sz w:val="18"/>
                <w:szCs w:val="18"/>
              </w:rPr>
              <w:t> </w:t>
            </w:r>
          </w:p>
        </w:tc>
        <w:tc>
          <w:tcPr>
            <w:tcW w:w="982" w:type="dxa"/>
            <w:tcBorders>
              <w:top w:val="nil"/>
              <w:left w:val="nil"/>
              <w:bottom w:val="nil"/>
              <w:right w:val="nil"/>
            </w:tcBorders>
            <w:shd w:val="clear" w:color="FFFFFF" w:fill="FFFFFF"/>
            <w:noWrap/>
            <w:vAlign w:val="bottom"/>
            <w:hideMark/>
          </w:tcPr>
          <w:p w14:paraId="53A546AD" w14:textId="77777777" w:rsidR="00A43992" w:rsidRDefault="00A43992" w:rsidP="007211E3">
            <w:pPr>
              <w:rPr>
                <w:rFonts w:ascii="Arial" w:hAnsi="Arial" w:cs="Arial"/>
                <w:sz w:val="18"/>
                <w:szCs w:val="18"/>
              </w:rPr>
            </w:pPr>
            <w:r>
              <w:rPr>
                <w:rFonts w:ascii="Arial" w:hAnsi="Arial" w:cs="Arial"/>
                <w:sz w:val="18"/>
                <w:szCs w:val="18"/>
              </w:rPr>
              <w:t> </w:t>
            </w:r>
          </w:p>
        </w:tc>
        <w:tc>
          <w:tcPr>
            <w:tcW w:w="236" w:type="dxa"/>
            <w:tcBorders>
              <w:top w:val="nil"/>
              <w:left w:val="nil"/>
              <w:bottom w:val="nil"/>
              <w:right w:val="nil"/>
            </w:tcBorders>
            <w:shd w:val="clear" w:color="FFFFFF" w:fill="FFFFFF"/>
            <w:noWrap/>
            <w:vAlign w:val="bottom"/>
            <w:hideMark/>
          </w:tcPr>
          <w:p w14:paraId="06953A29" w14:textId="77777777" w:rsidR="00A43992" w:rsidRDefault="00A43992" w:rsidP="007211E3">
            <w:pPr>
              <w:rPr>
                <w:rFonts w:ascii="Arial" w:hAnsi="Arial" w:cs="Arial"/>
                <w:sz w:val="18"/>
                <w:szCs w:val="18"/>
              </w:rPr>
            </w:pPr>
            <w:r>
              <w:rPr>
                <w:rFonts w:ascii="Arial" w:hAnsi="Arial" w:cs="Arial"/>
                <w:sz w:val="18"/>
                <w:szCs w:val="18"/>
              </w:rPr>
              <w:t> </w:t>
            </w:r>
          </w:p>
        </w:tc>
        <w:tc>
          <w:tcPr>
            <w:tcW w:w="982" w:type="dxa"/>
            <w:tcBorders>
              <w:top w:val="nil"/>
              <w:left w:val="nil"/>
              <w:bottom w:val="nil"/>
              <w:right w:val="nil"/>
            </w:tcBorders>
            <w:shd w:val="clear" w:color="FFFFFF" w:fill="FFFFFF"/>
            <w:noWrap/>
            <w:vAlign w:val="bottom"/>
            <w:hideMark/>
          </w:tcPr>
          <w:p w14:paraId="25E4EC2C" w14:textId="77777777" w:rsidR="00A43992" w:rsidRDefault="00A43992" w:rsidP="007211E3">
            <w:pPr>
              <w:rPr>
                <w:rFonts w:ascii="Arial" w:hAnsi="Arial" w:cs="Arial"/>
                <w:sz w:val="18"/>
                <w:szCs w:val="18"/>
              </w:rPr>
            </w:pPr>
            <w:r>
              <w:rPr>
                <w:rFonts w:ascii="Arial" w:hAnsi="Arial" w:cs="Arial"/>
                <w:sz w:val="18"/>
                <w:szCs w:val="18"/>
              </w:rPr>
              <w:t> </w:t>
            </w:r>
          </w:p>
        </w:tc>
      </w:tr>
      <w:tr w:rsidR="00A43992" w14:paraId="76FD5878" w14:textId="77777777" w:rsidTr="007211E3">
        <w:trPr>
          <w:trHeight w:val="255"/>
        </w:trPr>
        <w:tc>
          <w:tcPr>
            <w:tcW w:w="4592" w:type="dxa"/>
            <w:tcBorders>
              <w:top w:val="nil"/>
              <w:left w:val="nil"/>
              <w:bottom w:val="nil"/>
              <w:right w:val="nil"/>
            </w:tcBorders>
            <w:shd w:val="clear" w:color="FFFFFF" w:fill="FFFFFF"/>
            <w:vAlign w:val="bottom"/>
            <w:hideMark/>
          </w:tcPr>
          <w:p w14:paraId="2613A1D7" w14:textId="77777777" w:rsidR="00A43992" w:rsidRDefault="00A43992" w:rsidP="007211E3">
            <w:pPr>
              <w:rPr>
                <w:rFonts w:ascii="Arial" w:hAnsi="Arial" w:cs="Arial"/>
                <w:b/>
                <w:bCs/>
                <w:sz w:val="18"/>
                <w:szCs w:val="18"/>
              </w:rPr>
            </w:pPr>
            <w:r>
              <w:rPr>
                <w:rFonts w:ascii="Arial" w:hAnsi="Arial" w:cs="Arial"/>
                <w:b/>
                <w:bCs/>
                <w:sz w:val="18"/>
                <w:szCs w:val="18"/>
              </w:rPr>
              <w:t>INVESTING ACTIVITIES</w:t>
            </w:r>
          </w:p>
        </w:tc>
        <w:tc>
          <w:tcPr>
            <w:tcW w:w="1047" w:type="dxa"/>
            <w:tcBorders>
              <w:top w:val="nil"/>
              <w:left w:val="nil"/>
              <w:bottom w:val="nil"/>
              <w:right w:val="nil"/>
            </w:tcBorders>
            <w:shd w:val="clear" w:color="FFFFFF" w:fill="FFFFFF"/>
            <w:noWrap/>
            <w:vAlign w:val="bottom"/>
            <w:hideMark/>
          </w:tcPr>
          <w:p w14:paraId="5A348C52" w14:textId="77777777" w:rsidR="00A43992" w:rsidRDefault="00A43992" w:rsidP="007211E3">
            <w:pPr>
              <w:jc w:val="center"/>
              <w:rPr>
                <w:rFonts w:ascii="Arial" w:hAnsi="Arial" w:cs="Arial"/>
                <w:sz w:val="18"/>
                <w:szCs w:val="18"/>
              </w:rPr>
            </w:pPr>
            <w:r>
              <w:rPr>
                <w:rFonts w:ascii="Arial" w:hAnsi="Arial" w:cs="Arial"/>
                <w:sz w:val="18"/>
                <w:szCs w:val="18"/>
              </w:rPr>
              <w:t> </w:t>
            </w:r>
          </w:p>
        </w:tc>
        <w:tc>
          <w:tcPr>
            <w:tcW w:w="1012" w:type="dxa"/>
            <w:tcBorders>
              <w:top w:val="nil"/>
              <w:left w:val="nil"/>
              <w:bottom w:val="nil"/>
              <w:right w:val="nil"/>
            </w:tcBorders>
            <w:shd w:val="clear" w:color="FFFFFF" w:fill="FFFFFF"/>
            <w:noWrap/>
            <w:vAlign w:val="bottom"/>
            <w:hideMark/>
          </w:tcPr>
          <w:p w14:paraId="2CF8101D" w14:textId="77777777" w:rsidR="00A43992" w:rsidRDefault="00A43992" w:rsidP="007211E3">
            <w:pPr>
              <w:rPr>
                <w:rFonts w:ascii="Arial" w:hAnsi="Arial" w:cs="Arial"/>
                <w:sz w:val="18"/>
                <w:szCs w:val="18"/>
              </w:rPr>
            </w:pPr>
            <w:r>
              <w:rPr>
                <w:rFonts w:ascii="Arial" w:hAnsi="Arial" w:cs="Arial"/>
                <w:sz w:val="18"/>
                <w:szCs w:val="18"/>
              </w:rPr>
              <w:t> </w:t>
            </w:r>
          </w:p>
        </w:tc>
        <w:tc>
          <w:tcPr>
            <w:tcW w:w="236" w:type="dxa"/>
            <w:tcBorders>
              <w:top w:val="nil"/>
              <w:left w:val="nil"/>
              <w:bottom w:val="nil"/>
              <w:right w:val="nil"/>
            </w:tcBorders>
            <w:shd w:val="clear" w:color="FFFFFF" w:fill="FFFFFF"/>
            <w:noWrap/>
            <w:vAlign w:val="bottom"/>
            <w:hideMark/>
          </w:tcPr>
          <w:p w14:paraId="438EF8B5" w14:textId="77777777" w:rsidR="00A43992" w:rsidRDefault="00A43992" w:rsidP="007211E3">
            <w:pPr>
              <w:rPr>
                <w:rFonts w:ascii="Arial" w:hAnsi="Arial" w:cs="Arial"/>
                <w:sz w:val="18"/>
                <w:szCs w:val="18"/>
              </w:rPr>
            </w:pPr>
            <w:r>
              <w:rPr>
                <w:rFonts w:ascii="Arial" w:hAnsi="Arial" w:cs="Arial"/>
                <w:sz w:val="18"/>
                <w:szCs w:val="18"/>
              </w:rPr>
              <w:t> </w:t>
            </w:r>
          </w:p>
        </w:tc>
        <w:tc>
          <w:tcPr>
            <w:tcW w:w="982" w:type="dxa"/>
            <w:tcBorders>
              <w:top w:val="nil"/>
              <w:left w:val="nil"/>
              <w:bottom w:val="nil"/>
              <w:right w:val="nil"/>
            </w:tcBorders>
            <w:shd w:val="clear" w:color="FFFFFF" w:fill="FFFFFF"/>
            <w:noWrap/>
            <w:vAlign w:val="bottom"/>
            <w:hideMark/>
          </w:tcPr>
          <w:p w14:paraId="5EE81F3A" w14:textId="77777777" w:rsidR="00A43992" w:rsidRDefault="00A43992" w:rsidP="007211E3">
            <w:pPr>
              <w:rPr>
                <w:rFonts w:ascii="Arial" w:hAnsi="Arial" w:cs="Arial"/>
                <w:sz w:val="18"/>
                <w:szCs w:val="18"/>
              </w:rPr>
            </w:pPr>
            <w:r>
              <w:rPr>
                <w:rFonts w:ascii="Arial" w:hAnsi="Arial" w:cs="Arial"/>
                <w:sz w:val="18"/>
                <w:szCs w:val="18"/>
              </w:rPr>
              <w:t> </w:t>
            </w:r>
          </w:p>
        </w:tc>
        <w:tc>
          <w:tcPr>
            <w:tcW w:w="236" w:type="dxa"/>
            <w:tcBorders>
              <w:top w:val="nil"/>
              <w:left w:val="nil"/>
              <w:bottom w:val="nil"/>
              <w:right w:val="nil"/>
            </w:tcBorders>
            <w:shd w:val="clear" w:color="FFFFFF" w:fill="FFFFFF"/>
            <w:noWrap/>
            <w:vAlign w:val="bottom"/>
            <w:hideMark/>
          </w:tcPr>
          <w:p w14:paraId="0A02EE5B" w14:textId="77777777" w:rsidR="00A43992" w:rsidRDefault="00A43992" w:rsidP="007211E3">
            <w:pPr>
              <w:rPr>
                <w:rFonts w:ascii="Arial" w:hAnsi="Arial" w:cs="Arial"/>
                <w:sz w:val="18"/>
                <w:szCs w:val="18"/>
              </w:rPr>
            </w:pPr>
            <w:r>
              <w:rPr>
                <w:rFonts w:ascii="Arial" w:hAnsi="Arial" w:cs="Arial"/>
                <w:sz w:val="18"/>
                <w:szCs w:val="18"/>
              </w:rPr>
              <w:t> </w:t>
            </w:r>
          </w:p>
        </w:tc>
        <w:tc>
          <w:tcPr>
            <w:tcW w:w="982" w:type="dxa"/>
            <w:tcBorders>
              <w:top w:val="nil"/>
              <w:left w:val="nil"/>
              <w:bottom w:val="nil"/>
              <w:right w:val="nil"/>
            </w:tcBorders>
            <w:shd w:val="clear" w:color="FFFFFF" w:fill="FFFFFF"/>
            <w:noWrap/>
            <w:vAlign w:val="bottom"/>
            <w:hideMark/>
          </w:tcPr>
          <w:p w14:paraId="2D7EDD52" w14:textId="77777777" w:rsidR="00A43992" w:rsidRDefault="00A43992" w:rsidP="007211E3">
            <w:pPr>
              <w:rPr>
                <w:rFonts w:ascii="Arial" w:hAnsi="Arial" w:cs="Arial"/>
                <w:sz w:val="18"/>
                <w:szCs w:val="18"/>
              </w:rPr>
            </w:pPr>
            <w:r>
              <w:rPr>
                <w:rFonts w:ascii="Arial" w:hAnsi="Arial" w:cs="Arial"/>
                <w:sz w:val="18"/>
                <w:szCs w:val="18"/>
              </w:rPr>
              <w:t> </w:t>
            </w:r>
          </w:p>
        </w:tc>
      </w:tr>
      <w:tr w:rsidR="00A43992" w14:paraId="03EA7921" w14:textId="77777777" w:rsidTr="007211E3">
        <w:trPr>
          <w:trHeight w:val="255"/>
        </w:trPr>
        <w:tc>
          <w:tcPr>
            <w:tcW w:w="4592" w:type="dxa"/>
            <w:tcBorders>
              <w:top w:val="nil"/>
              <w:left w:val="nil"/>
              <w:bottom w:val="nil"/>
              <w:right w:val="nil"/>
            </w:tcBorders>
            <w:shd w:val="clear" w:color="FFFFFF" w:fill="FFFFFF"/>
            <w:noWrap/>
            <w:vAlign w:val="bottom"/>
            <w:hideMark/>
          </w:tcPr>
          <w:p w14:paraId="7037F0F2" w14:textId="77777777" w:rsidR="00A43992" w:rsidRDefault="00A43992" w:rsidP="007211E3">
            <w:pPr>
              <w:rPr>
                <w:rFonts w:ascii="Arial" w:hAnsi="Arial" w:cs="Arial"/>
                <w:b/>
                <w:bCs/>
                <w:sz w:val="18"/>
                <w:szCs w:val="18"/>
              </w:rPr>
            </w:pPr>
            <w:r>
              <w:rPr>
                <w:rFonts w:ascii="Arial" w:hAnsi="Arial" w:cs="Arial"/>
                <w:b/>
                <w:bCs/>
                <w:sz w:val="18"/>
                <w:szCs w:val="18"/>
              </w:rPr>
              <w:t>Cash received</w:t>
            </w:r>
          </w:p>
        </w:tc>
        <w:tc>
          <w:tcPr>
            <w:tcW w:w="1047" w:type="dxa"/>
            <w:tcBorders>
              <w:top w:val="nil"/>
              <w:left w:val="nil"/>
              <w:bottom w:val="nil"/>
              <w:right w:val="nil"/>
            </w:tcBorders>
            <w:shd w:val="clear" w:color="FFFFFF" w:fill="FFFFFF"/>
            <w:noWrap/>
            <w:vAlign w:val="bottom"/>
            <w:hideMark/>
          </w:tcPr>
          <w:p w14:paraId="2D236FC6" w14:textId="77777777" w:rsidR="00A43992" w:rsidRDefault="00A43992" w:rsidP="007211E3">
            <w:pPr>
              <w:rPr>
                <w:rFonts w:ascii="Arial" w:hAnsi="Arial" w:cs="Arial"/>
                <w:sz w:val="18"/>
                <w:szCs w:val="18"/>
              </w:rPr>
            </w:pPr>
            <w:r>
              <w:rPr>
                <w:rFonts w:ascii="Arial" w:hAnsi="Arial" w:cs="Arial"/>
                <w:sz w:val="18"/>
                <w:szCs w:val="18"/>
              </w:rPr>
              <w:t> </w:t>
            </w:r>
          </w:p>
        </w:tc>
        <w:tc>
          <w:tcPr>
            <w:tcW w:w="1012" w:type="dxa"/>
            <w:tcBorders>
              <w:top w:val="nil"/>
              <w:left w:val="nil"/>
              <w:bottom w:val="nil"/>
              <w:right w:val="nil"/>
            </w:tcBorders>
            <w:shd w:val="clear" w:color="FFFFFF" w:fill="FFFFFF"/>
            <w:noWrap/>
            <w:vAlign w:val="bottom"/>
            <w:hideMark/>
          </w:tcPr>
          <w:p w14:paraId="4383BC25" w14:textId="77777777" w:rsidR="00A43992" w:rsidRDefault="00A43992" w:rsidP="007211E3">
            <w:pPr>
              <w:rPr>
                <w:rFonts w:ascii="Arial" w:hAnsi="Arial" w:cs="Arial"/>
                <w:sz w:val="18"/>
                <w:szCs w:val="18"/>
              </w:rPr>
            </w:pPr>
            <w:r>
              <w:rPr>
                <w:rFonts w:ascii="Arial" w:hAnsi="Arial" w:cs="Arial"/>
                <w:sz w:val="18"/>
                <w:szCs w:val="18"/>
              </w:rPr>
              <w:t> </w:t>
            </w:r>
          </w:p>
        </w:tc>
        <w:tc>
          <w:tcPr>
            <w:tcW w:w="236" w:type="dxa"/>
            <w:tcBorders>
              <w:top w:val="nil"/>
              <w:left w:val="nil"/>
              <w:bottom w:val="nil"/>
              <w:right w:val="nil"/>
            </w:tcBorders>
            <w:shd w:val="clear" w:color="FFFFFF" w:fill="FFFFFF"/>
            <w:noWrap/>
            <w:vAlign w:val="bottom"/>
            <w:hideMark/>
          </w:tcPr>
          <w:p w14:paraId="2FD5C0A4" w14:textId="77777777" w:rsidR="00A43992" w:rsidRDefault="00A43992" w:rsidP="007211E3">
            <w:pPr>
              <w:rPr>
                <w:rFonts w:ascii="Arial" w:hAnsi="Arial" w:cs="Arial"/>
                <w:sz w:val="18"/>
                <w:szCs w:val="18"/>
              </w:rPr>
            </w:pPr>
            <w:r>
              <w:rPr>
                <w:rFonts w:ascii="Arial" w:hAnsi="Arial" w:cs="Arial"/>
                <w:sz w:val="18"/>
                <w:szCs w:val="18"/>
              </w:rPr>
              <w:t> </w:t>
            </w:r>
          </w:p>
        </w:tc>
        <w:tc>
          <w:tcPr>
            <w:tcW w:w="982" w:type="dxa"/>
            <w:tcBorders>
              <w:top w:val="nil"/>
              <w:left w:val="nil"/>
              <w:bottom w:val="nil"/>
              <w:right w:val="nil"/>
            </w:tcBorders>
            <w:shd w:val="clear" w:color="FFFFFF" w:fill="FFFFFF"/>
            <w:noWrap/>
            <w:vAlign w:val="bottom"/>
            <w:hideMark/>
          </w:tcPr>
          <w:p w14:paraId="364C2E51" w14:textId="77777777" w:rsidR="00A43992" w:rsidRDefault="00A43992" w:rsidP="007211E3">
            <w:pPr>
              <w:rPr>
                <w:rFonts w:ascii="Arial" w:hAnsi="Arial" w:cs="Arial"/>
                <w:sz w:val="18"/>
                <w:szCs w:val="18"/>
              </w:rPr>
            </w:pPr>
            <w:r>
              <w:rPr>
                <w:rFonts w:ascii="Arial" w:hAnsi="Arial" w:cs="Arial"/>
                <w:sz w:val="18"/>
                <w:szCs w:val="18"/>
              </w:rPr>
              <w:t> </w:t>
            </w:r>
          </w:p>
        </w:tc>
        <w:tc>
          <w:tcPr>
            <w:tcW w:w="236" w:type="dxa"/>
            <w:tcBorders>
              <w:top w:val="nil"/>
              <w:left w:val="nil"/>
              <w:bottom w:val="nil"/>
              <w:right w:val="nil"/>
            </w:tcBorders>
            <w:shd w:val="clear" w:color="FFFFFF" w:fill="FFFFFF"/>
            <w:noWrap/>
            <w:vAlign w:val="bottom"/>
            <w:hideMark/>
          </w:tcPr>
          <w:p w14:paraId="2399B1FE" w14:textId="77777777" w:rsidR="00A43992" w:rsidRDefault="00A43992" w:rsidP="007211E3">
            <w:pPr>
              <w:rPr>
                <w:rFonts w:ascii="Arial" w:hAnsi="Arial" w:cs="Arial"/>
                <w:sz w:val="18"/>
                <w:szCs w:val="18"/>
              </w:rPr>
            </w:pPr>
            <w:r>
              <w:rPr>
                <w:rFonts w:ascii="Arial" w:hAnsi="Arial" w:cs="Arial"/>
                <w:sz w:val="18"/>
                <w:szCs w:val="18"/>
              </w:rPr>
              <w:t> </w:t>
            </w:r>
          </w:p>
        </w:tc>
        <w:tc>
          <w:tcPr>
            <w:tcW w:w="982" w:type="dxa"/>
            <w:tcBorders>
              <w:top w:val="nil"/>
              <w:left w:val="nil"/>
              <w:bottom w:val="nil"/>
              <w:right w:val="nil"/>
            </w:tcBorders>
            <w:shd w:val="clear" w:color="FFFFFF" w:fill="FFFFFF"/>
            <w:noWrap/>
            <w:vAlign w:val="bottom"/>
            <w:hideMark/>
          </w:tcPr>
          <w:p w14:paraId="5A4E2B92" w14:textId="77777777" w:rsidR="00A43992" w:rsidRDefault="00A43992" w:rsidP="007211E3">
            <w:pPr>
              <w:rPr>
                <w:rFonts w:ascii="Arial" w:hAnsi="Arial" w:cs="Arial"/>
                <w:sz w:val="18"/>
                <w:szCs w:val="18"/>
              </w:rPr>
            </w:pPr>
            <w:r>
              <w:rPr>
                <w:rFonts w:ascii="Arial" w:hAnsi="Arial" w:cs="Arial"/>
                <w:sz w:val="18"/>
                <w:szCs w:val="18"/>
              </w:rPr>
              <w:t> </w:t>
            </w:r>
          </w:p>
        </w:tc>
      </w:tr>
      <w:tr w:rsidR="00A43992" w14:paraId="459EF326" w14:textId="77777777" w:rsidTr="007211E3">
        <w:trPr>
          <w:trHeight w:val="255"/>
        </w:trPr>
        <w:tc>
          <w:tcPr>
            <w:tcW w:w="4592" w:type="dxa"/>
            <w:tcBorders>
              <w:top w:val="nil"/>
              <w:left w:val="nil"/>
              <w:bottom w:val="nil"/>
              <w:right w:val="nil"/>
            </w:tcBorders>
            <w:shd w:val="clear" w:color="FFFFFF" w:fill="FFFFFF"/>
            <w:vAlign w:val="bottom"/>
            <w:hideMark/>
          </w:tcPr>
          <w:p w14:paraId="5535887B" w14:textId="77777777" w:rsidR="00A43992" w:rsidRDefault="00A43992" w:rsidP="007211E3">
            <w:pPr>
              <w:ind w:firstLineChars="100" w:firstLine="180"/>
              <w:rPr>
                <w:rFonts w:ascii="Arial" w:hAnsi="Arial" w:cs="Arial"/>
                <w:sz w:val="18"/>
                <w:szCs w:val="18"/>
              </w:rPr>
            </w:pPr>
            <w:r>
              <w:rPr>
                <w:rFonts w:ascii="Arial" w:hAnsi="Arial" w:cs="Arial"/>
                <w:sz w:val="18"/>
                <w:szCs w:val="18"/>
              </w:rPr>
              <w:t>Proceeds from sales of financial instruments</w:t>
            </w:r>
          </w:p>
        </w:tc>
        <w:tc>
          <w:tcPr>
            <w:tcW w:w="1047" w:type="dxa"/>
            <w:tcBorders>
              <w:top w:val="nil"/>
              <w:left w:val="nil"/>
              <w:bottom w:val="nil"/>
              <w:right w:val="nil"/>
            </w:tcBorders>
            <w:shd w:val="clear" w:color="FFFFFF" w:fill="FFFFFF"/>
            <w:noWrap/>
            <w:vAlign w:val="bottom"/>
            <w:hideMark/>
          </w:tcPr>
          <w:p w14:paraId="01C1B7F2" w14:textId="77777777" w:rsidR="00A43992" w:rsidRDefault="00A43992" w:rsidP="007211E3">
            <w:pPr>
              <w:jc w:val="center"/>
              <w:rPr>
                <w:rFonts w:ascii="Arial" w:hAnsi="Arial" w:cs="Arial"/>
                <w:sz w:val="18"/>
                <w:szCs w:val="18"/>
              </w:rPr>
            </w:pPr>
            <w:r>
              <w:rPr>
                <w:rFonts w:ascii="Arial" w:hAnsi="Arial" w:cs="Arial"/>
                <w:sz w:val="18"/>
                <w:szCs w:val="18"/>
              </w:rPr>
              <w:t> </w:t>
            </w:r>
          </w:p>
        </w:tc>
        <w:tc>
          <w:tcPr>
            <w:tcW w:w="1012" w:type="dxa"/>
            <w:tcBorders>
              <w:top w:val="nil"/>
              <w:left w:val="nil"/>
              <w:bottom w:val="nil"/>
              <w:right w:val="nil"/>
            </w:tcBorders>
            <w:shd w:val="clear" w:color="FFFFFF" w:fill="FFFFFF"/>
            <w:noWrap/>
            <w:vAlign w:val="bottom"/>
            <w:hideMark/>
          </w:tcPr>
          <w:p w14:paraId="7FBA698B" w14:textId="77777777" w:rsidR="00A43992" w:rsidRDefault="00A43992" w:rsidP="007211E3">
            <w:pPr>
              <w:jc w:val="right"/>
              <w:rPr>
                <w:rFonts w:ascii="Arial" w:hAnsi="Arial" w:cs="Arial"/>
                <w:b/>
                <w:bCs/>
                <w:sz w:val="18"/>
                <w:szCs w:val="18"/>
              </w:rPr>
            </w:pPr>
            <w:r>
              <w:rPr>
                <w:rFonts w:ascii="Arial" w:hAnsi="Arial" w:cs="Arial"/>
                <w:b/>
                <w:bCs/>
                <w:sz w:val="18"/>
                <w:szCs w:val="18"/>
              </w:rPr>
              <w:t>219,375</w:t>
            </w:r>
          </w:p>
        </w:tc>
        <w:tc>
          <w:tcPr>
            <w:tcW w:w="236" w:type="dxa"/>
            <w:tcBorders>
              <w:top w:val="nil"/>
              <w:left w:val="nil"/>
              <w:bottom w:val="nil"/>
              <w:right w:val="nil"/>
            </w:tcBorders>
            <w:shd w:val="clear" w:color="FFFFFF" w:fill="FFFFFF"/>
            <w:noWrap/>
            <w:vAlign w:val="bottom"/>
            <w:hideMark/>
          </w:tcPr>
          <w:p w14:paraId="2D700744" w14:textId="77777777" w:rsidR="00A43992" w:rsidRDefault="00A43992" w:rsidP="007211E3">
            <w:pPr>
              <w:rPr>
                <w:rFonts w:ascii="Arial" w:hAnsi="Arial" w:cs="Arial"/>
                <w:sz w:val="18"/>
                <w:szCs w:val="18"/>
              </w:rPr>
            </w:pPr>
            <w:r>
              <w:rPr>
                <w:rFonts w:ascii="Arial" w:hAnsi="Arial" w:cs="Arial"/>
                <w:sz w:val="18"/>
                <w:szCs w:val="18"/>
              </w:rPr>
              <w:t> </w:t>
            </w:r>
          </w:p>
        </w:tc>
        <w:tc>
          <w:tcPr>
            <w:tcW w:w="982" w:type="dxa"/>
            <w:tcBorders>
              <w:top w:val="nil"/>
              <w:left w:val="nil"/>
              <w:bottom w:val="nil"/>
              <w:right w:val="nil"/>
            </w:tcBorders>
            <w:shd w:val="clear" w:color="FFFFFF" w:fill="FFFFFF"/>
            <w:noWrap/>
            <w:vAlign w:val="bottom"/>
            <w:hideMark/>
          </w:tcPr>
          <w:p w14:paraId="3DD3795F" w14:textId="77777777" w:rsidR="00A43992" w:rsidRDefault="00A43992" w:rsidP="007211E3">
            <w:pPr>
              <w:jc w:val="right"/>
              <w:rPr>
                <w:rFonts w:ascii="Arial" w:hAnsi="Arial" w:cs="Arial"/>
                <w:sz w:val="18"/>
                <w:szCs w:val="18"/>
              </w:rPr>
            </w:pPr>
            <w:r>
              <w:rPr>
                <w:rFonts w:ascii="Arial" w:hAnsi="Arial" w:cs="Arial"/>
                <w:sz w:val="18"/>
                <w:szCs w:val="18"/>
              </w:rPr>
              <w:t xml:space="preserve"> -</w:t>
            </w:r>
          </w:p>
        </w:tc>
        <w:tc>
          <w:tcPr>
            <w:tcW w:w="236" w:type="dxa"/>
            <w:tcBorders>
              <w:top w:val="nil"/>
              <w:left w:val="nil"/>
              <w:bottom w:val="nil"/>
              <w:right w:val="nil"/>
            </w:tcBorders>
            <w:shd w:val="clear" w:color="FFFFFF" w:fill="FFFFFF"/>
            <w:noWrap/>
            <w:vAlign w:val="bottom"/>
            <w:hideMark/>
          </w:tcPr>
          <w:p w14:paraId="74E3F7CB" w14:textId="77777777" w:rsidR="00A43992" w:rsidRDefault="00A43992" w:rsidP="007211E3">
            <w:pPr>
              <w:rPr>
                <w:rFonts w:ascii="Arial" w:hAnsi="Arial" w:cs="Arial"/>
                <w:sz w:val="18"/>
                <w:szCs w:val="18"/>
              </w:rPr>
            </w:pPr>
            <w:r>
              <w:rPr>
                <w:rFonts w:ascii="Arial" w:hAnsi="Arial" w:cs="Arial"/>
                <w:sz w:val="18"/>
                <w:szCs w:val="18"/>
              </w:rPr>
              <w:t> </w:t>
            </w:r>
          </w:p>
        </w:tc>
        <w:tc>
          <w:tcPr>
            <w:tcW w:w="982" w:type="dxa"/>
            <w:tcBorders>
              <w:top w:val="nil"/>
              <w:left w:val="nil"/>
              <w:bottom w:val="nil"/>
              <w:right w:val="nil"/>
            </w:tcBorders>
            <w:shd w:val="clear" w:color="FFFFFF" w:fill="FFFFFF"/>
            <w:noWrap/>
            <w:vAlign w:val="bottom"/>
            <w:hideMark/>
          </w:tcPr>
          <w:p w14:paraId="68A60F1E" w14:textId="77777777" w:rsidR="00A43992" w:rsidRDefault="00A43992" w:rsidP="007211E3">
            <w:pPr>
              <w:jc w:val="right"/>
              <w:rPr>
                <w:rFonts w:ascii="Arial" w:hAnsi="Arial" w:cs="Arial"/>
                <w:sz w:val="18"/>
                <w:szCs w:val="18"/>
              </w:rPr>
            </w:pPr>
            <w:r>
              <w:rPr>
                <w:rFonts w:ascii="Arial" w:hAnsi="Arial" w:cs="Arial"/>
                <w:sz w:val="18"/>
                <w:szCs w:val="18"/>
              </w:rPr>
              <w:t xml:space="preserve"> -</w:t>
            </w:r>
          </w:p>
        </w:tc>
      </w:tr>
      <w:tr w:rsidR="00A43992" w14:paraId="41CBCADA" w14:textId="77777777" w:rsidTr="007211E3">
        <w:trPr>
          <w:trHeight w:val="255"/>
        </w:trPr>
        <w:tc>
          <w:tcPr>
            <w:tcW w:w="4592" w:type="dxa"/>
            <w:tcBorders>
              <w:top w:val="nil"/>
              <w:left w:val="nil"/>
              <w:bottom w:val="nil"/>
              <w:right w:val="nil"/>
            </w:tcBorders>
            <w:shd w:val="clear" w:color="FFFFFF" w:fill="FFFFFF"/>
            <w:vAlign w:val="bottom"/>
            <w:hideMark/>
          </w:tcPr>
          <w:p w14:paraId="7DE2DF4E" w14:textId="77777777" w:rsidR="00A43992" w:rsidRDefault="00A43992" w:rsidP="007211E3">
            <w:pPr>
              <w:rPr>
                <w:rFonts w:ascii="Arial" w:hAnsi="Arial" w:cs="Arial"/>
                <w:b/>
                <w:bCs/>
                <w:sz w:val="18"/>
                <w:szCs w:val="18"/>
              </w:rPr>
            </w:pPr>
            <w:r>
              <w:rPr>
                <w:rFonts w:ascii="Arial" w:hAnsi="Arial" w:cs="Arial"/>
                <w:b/>
                <w:bCs/>
                <w:sz w:val="18"/>
                <w:szCs w:val="18"/>
              </w:rPr>
              <w:t>Total cash received</w:t>
            </w:r>
          </w:p>
        </w:tc>
        <w:tc>
          <w:tcPr>
            <w:tcW w:w="1047" w:type="dxa"/>
            <w:tcBorders>
              <w:top w:val="nil"/>
              <w:left w:val="nil"/>
              <w:bottom w:val="nil"/>
              <w:right w:val="nil"/>
            </w:tcBorders>
            <w:shd w:val="clear" w:color="FFFFFF" w:fill="FFFFFF"/>
            <w:noWrap/>
            <w:vAlign w:val="bottom"/>
            <w:hideMark/>
          </w:tcPr>
          <w:p w14:paraId="039D9FC3" w14:textId="77777777" w:rsidR="00A43992" w:rsidRDefault="00A43992" w:rsidP="007211E3">
            <w:pPr>
              <w:jc w:val="center"/>
              <w:rPr>
                <w:rFonts w:ascii="Arial" w:hAnsi="Arial" w:cs="Arial"/>
                <w:sz w:val="18"/>
                <w:szCs w:val="18"/>
              </w:rPr>
            </w:pPr>
            <w:r>
              <w:rPr>
                <w:rFonts w:ascii="Arial" w:hAnsi="Arial" w:cs="Arial"/>
                <w:sz w:val="18"/>
                <w:szCs w:val="18"/>
              </w:rPr>
              <w:t> </w:t>
            </w:r>
          </w:p>
        </w:tc>
        <w:tc>
          <w:tcPr>
            <w:tcW w:w="1012" w:type="dxa"/>
            <w:tcBorders>
              <w:top w:val="single" w:sz="4" w:space="0" w:color="auto"/>
              <w:left w:val="nil"/>
              <w:bottom w:val="single" w:sz="4" w:space="0" w:color="auto"/>
              <w:right w:val="nil"/>
            </w:tcBorders>
            <w:shd w:val="clear" w:color="FFFFFF" w:fill="FFFFFF"/>
            <w:noWrap/>
            <w:vAlign w:val="bottom"/>
            <w:hideMark/>
          </w:tcPr>
          <w:p w14:paraId="5106A905" w14:textId="77777777" w:rsidR="00A43992" w:rsidRDefault="00A43992" w:rsidP="007211E3">
            <w:pPr>
              <w:jc w:val="right"/>
              <w:rPr>
                <w:rFonts w:ascii="Arial" w:hAnsi="Arial" w:cs="Arial"/>
                <w:b/>
                <w:bCs/>
                <w:sz w:val="18"/>
                <w:szCs w:val="18"/>
              </w:rPr>
            </w:pPr>
            <w:r>
              <w:rPr>
                <w:rFonts w:ascii="Arial" w:hAnsi="Arial" w:cs="Arial"/>
                <w:b/>
                <w:bCs/>
                <w:sz w:val="18"/>
                <w:szCs w:val="18"/>
              </w:rPr>
              <w:t>219,375</w:t>
            </w:r>
          </w:p>
        </w:tc>
        <w:tc>
          <w:tcPr>
            <w:tcW w:w="236" w:type="dxa"/>
            <w:tcBorders>
              <w:top w:val="nil"/>
              <w:left w:val="nil"/>
              <w:bottom w:val="nil"/>
              <w:right w:val="nil"/>
            </w:tcBorders>
            <w:shd w:val="clear" w:color="FFFFFF" w:fill="FFFFFF"/>
            <w:noWrap/>
            <w:vAlign w:val="bottom"/>
            <w:hideMark/>
          </w:tcPr>
          <w:p w14:paraId="078F12F7" w14:textId="77777777" w:rsidR="00A43992" w:rsidRDefault="00A43992" w:rsidP="007211E3">
            <w:pPr>
              <w:rPr>
                <w:rFonts w:ascii="Arial" w:hAnsi="Arial" w:cs="Arial"/>
                <w:sz w:val="18"/>
                <w:szCs w:val="18"/>
              </w:rPr>
            </w:pPr>
            <w:r>
              <w:rPr>
                <w:rFonts w:ascii="Arial" w:hAnsi="Arial" w:cs="Arial"/>
                <w:sz w:val="18"/>
                <w:szCs w:val="18"/>
              </w:rPr>
              <w:t> </w:t>
            </w:r>
          </w:p>
        </w:tc>
        <w:tc>
          <w:tcPr>
            <w:tcW w:w="982" w:type="dxa"/>
            <w:tcBorders>
              <w:top w:val="single" w:sz="4" w:space="0" w:color="auto"/>
              <w:left w:val="nil"/>
              <w:bottom w:val="single" w:sz="4" w:space="0" w:color="auto"/>
              <w:right w:val="nil"/>
            </w:tcBorders>
            <w:shd w:val="clear" w:color="FFFFFF" w:fill="FFFFFF"/>
            <w:noWrap/>
            <w:vAlign w:val="bottom"/>
            <w:hideMark/>
          </w:tcPr>
          <w:p w14:paraId="16D741A9" w14:textId="77777777" w:rsidR="00A43992" w:rsidRDefault="00A43992" w:rsidP="007211E3">
            <w:pPr>
              <w:jc w:val="right"/>
              <w:rPr>
                <w:rFonts w:ascii="Arial" w:hAnsi="Arial" w:cs="Arial"/>
                <w:sz w:val="18"/>
                <w:szCs w:val="18"/>
              </w:rPr>
            </w:pPr>
            <w:r>
              <w:rPr>
                <w:rFonts w:ascii="Arial" w:hAnsi="Arial" w:cs="Arial"/>
                <w:sz w:val="18"/>
                <w:szCs w:val="18"/>
              </w:rPr>
              <w:t>-</w:t>
            </w:r>
          </w:p>
        </w:tc>
        <w:tc>
          <w:tcPr>
            <w:tcW w:w="236" w:type="dxa"/>
            <w:tcBorders>
              <w:top w:val="nil"/>
              <w:left w:val="nil"/>
              <w:bottom w:val="nil"/>
              <w:right w:val="nil"/>
            </w:tcBorders>
            <w:shd w:val="clear" w:color="FFFFFF" w:fill="FFFFFF"/>
            <w:noWrap/>
            <w:vAlign w:val="bottom"/>
            <w:hideMark/>
          </w:tcPr>
          <w:p w14:paraId="5AFE9F26" w14:textId="77777777" w:rsidR="00A43992" w:rsidRDefault="00A43992" w:rsidP="007211E3">
            <w:pPr>
              <w:rPr>
                <w:rFonts w:ascii="Arial" w:hAnsi="Arial" w:cs="Arial"/>
                <w:sz w:val="18"/>
                <w:szCs w:val="18"/>
              </w:rPr>
            </w:pPr>
            <w:r>
              <w:rPr>
                <w:rFonts w:ascii="Arial" w:hAnsi="Arial" w:cs="Arial"/>
                <w:sz w:val="18"/>
                <w:szCs w:val="18"/>
              </w:rPr>
              <w:t> </w:t>
            </w:r>
          </w:p>
        </w:tc>
        <w:tc>
          <w:tcPr>
            <w:tcW w:w="982" w:type="dxa"/>
            <w:tcBorders>
              <w:top w:val="single" w:sz="4" w:space="0" w:color="auto"/>
              <w:left w:val="nil"/>
              <w:bottom w:val="single" w:sz="4" w:space="0" w:color="auto"/>
              <w:right w:val="nil"/>
            </w:tcBorders>
            <w:shd w:val="clear" w:color="FFFFFF" w:fill="FFFFFF"/>
            <w:noWrap/>
            <w:vAlign w:val="bottom"/>
            <w:hideMark/>
          </w:tcPr>
          <w:p w14:paraId="752C5BD4" w14:textId="77777777" w:rsidR="00A43992" w:rsidRDefault="00A43992" w:rsidP="007211E3">
            <w:pPr>
              <w:jc w:val="right"/>
              <w:rPr>
                <w:rFonts w:ascii="Arial" w:hAnsi="Arial" w:cs="Arial"/>
                <w:sz w:val="18"/>
                <w:szCs w:val="18"/>
              </w:rPr>
            </w:pPr>
            <w:r>
              <w:rPr>
                <w:rFonts w:ascii="Arial" w:hAnsi="Arial" w:cs="Arial"/>
                <w:sz w:val="18"/>
                <w:szCs w:val="18"/>
              </w:rPr>
              <w:t>-</w:t>
            </w:r>
          </w:p>
        </w:tc>
      </w:tr>
      <w:tr w:rsidR="00A43992" w14:paraId="0A85A0C4" w14:textId="77777777" w:rsidTr="007211E3">
        <w:trPr>
          <w:trHeight w:val="255"/>
        </w:trPr>
        <w:tc>
          <w:tcPr>
            <w:tcW w:w="4592" w:type="dxa"/>
            <w:tcBorders>
              <w:top w:val="nil"/>
              <w:left w:val="nil"/>
              <w:bottom w:val="nil"/>
              <w:right w:val="nil"/>
            </w:tcBorders>
            <w:shd w:val="clear" w:color="FFFFFF" w:fill="FFFFFF"/>
            <w:vAlign w:val="bottom"/>
            <w:hideMark/>
          </w:tcPr>
          <w:p w14:paraId="4231EA55" w14:textId="77777777" w:rsidR="00A43992" w:rsidRDefault="00A43992" w:rsidP="007211E3">
            <w:pPr>
              <w:rPr>
                <w:rFonts w:ascii="Arial" w:hAnsi="Arial" w:cs="Arial"/>
                <w:b/>
                <w:bCs/>
                <w:sz w:val="18"/>
                <w:szCs w:val="18"/>
              </w:rPr>
            </w:pPr>
            <w:r>
              <w:rPr>
                <w:rFonts w:ascii="Arial" w:hAnsi="Arial" w:cs="Arial"/>
                <w:b/>
                <w:bCs/>
                <w:sz w:val="18"/>
                <w:szCs w:val="18"/>
              </w:rPr>
              <w:lastRenderedPageBreak/>
              <w:t>Cash used</w:t>
            </w:r>
          </w:p>
        </w:tc>
        <w:tc>
          <w:tcPr>
            <w:tcW w:w="1047" w:type="dxa"/>
            <w:tcBorders>
              <w:top w:val="nil"/>
              <w:left w:val="nil"/>
              <w:bottom w:val="nil"/>
              <w:right w:val="nil"/>
            </w:tcBorders>
            <w:shd w:val="clear" w:color="FFFFFF" w:fill="FFFFFF"/>
            <w:noWrap/>
            <w:vAlign w:val="bottom"/>
            <w:hideMark/>
          </w:tcPr>
          <w:p w14:paraId="0FF79041" w14:textId="77777777" w:rsidR="00A43992" w:rsidRDefault="00A43992" w:rsidP="007211E3">
            <w:pPr>
              <w:jc w:val="center"/>
              <w:rPr>
                <w:rFonts w:ascii="Arial" w:hAnsi="Arial" w:cs="Arial"/>
                <w:sz w:val="18"/>
                <w:szCs w:val="18"/>
              </w:rPr>
            </w:pPr>
            <w:r>
              <w:rPr>
                <w:rFonts w:ascii="Arial" w:hAnsi="Arial" w:cs="Arial"/>
                <w:sz w:val="18"/>
                <w:szCs w:val="18"/>
              </w:rPr>
              <w:t> </w:t>
            </w:r>
          </w:p>
        </w:tc>
        <w:tc>
          <w:tcPr>
            <w:tcW w:w="1012" w:type="dxa"/>
            <w:tcBorders>
              <w:top w:val="nil"/>
              <w:left w:val="nil"/>
              <w:bottom w:val="nil"/>
              <w:right w:val="nil"/>
            </w:tcBorders>
            <w:shd w:val="clear" w:color="FFFFFF" w:fill="FFFFFF"/>
            <w:noWrap/>
            <w:vAlign w:val="bottom"/>
            <w:hideMark/>
          </w:tcPr>
          <w:p w14:paraId="2765CB22" w14:textId="77777777" w:rsidR="00A43992" w:rsidRDefault="00A43992" w:rsidP="007211E3">
            <w:pPr>
              <w:rPr>
                <w:rFonts w:ascii="Arial" w:hAnsi="Arial" w:cs="Arial"/>
                <w:sz w:val="18"/>
                <w:szCs w:val="18"/>
              </w:rPr>
            </w:pPr>
            <w:r>
              <w:rPr>
                <w:rFonts w:ascii="Arial" w:hAnsi="Arial" w:cs="Arial"/>
                <w:sz w:val="18"/>
                <w:szCs w:val="18"/>
              </w:rPr>
              <w:t> </w:t>
            </w:r>
          </w:p>
        </w:tc>
        <w:tc>
          <w:tcPr>
            <w:tcW w:w="236" w:type="dxa"/>
            <w:tcBorders>
              <w:top w:val="nil"/>
              <w:left w:val="nil"/>
              <w:bottom w:val="nil"/>
              <w:right w:val="nil"/>
            </w:tcBorders>
            <w:shd w:val="clear" w:color="FFFFFF" w:fill="FFFFFF"/>
            <w:noWrap/>
            <w:vAlign w:val="bottom"/>
            <w:hideMark/>
          </w:tcPr>
          <w:p w14:paraId="072E8FB4" w14:textId="77777777" w:rsidR="00A43992" w:rsidRDefault="00A43992" w:rsidP="007211E3">
            <w:pPr>
              <w:rPr>
                <w:rFonts w:ascii="Arial" w:hAnsi="Arial" w:cs="Arial"/>
                <w:sz w:val="18"/>
                <w:szCs w:val="18"/>
              </w:rPr>
            </w:pPr>
            <w:r>
              <w:rPr>
                <w:rFonts w:ascii="Arial" w:hAnsi="Arial" w:cs="Arial"/>
                <w:sz w:val="18"/>
                <w:szCs w:val="18"/>
              </w:rPr>
              <w:t> </w:t>
            </w:r>
          </w:p>
        </w:tc>
        <w:tc>
          <w:tcPr>
            <w:tcW w:w="982" w:type="dxa"/>
            <w:tcBorders>
              <w:top w:val="nil"/>
              <w:left w:val="nil"/>
              <w:bottom w:val="nil"/>
              <w:right w:val="nil"/>
            </w:tcBorders>
            <w:shd w:val="clear" w:color="FFFFFF" w:fill="FFFFFF"/>
            <w:noWrap/>
            <w:vAlign w:val="bottom"/>
            <w:hideMark/>
          </w:tcPr>
          <w:p w14:paraId="204B9049" w14:textId="77777777" w:rsidR="00A43992" w:rsidRDefault="00A43992" w:rsidP="007211E3">
            <w:pPr>
              <w:rPr>
                <w:rFonts w:ascii="Arial" w:hAnsi="Arial" w:cs="Arial"/>
                <w:sz w:val="18"/>
                <w:szCs w:val="18"/>
              </w:rPr>
            </w:pPr>
            <w:r>
              <w:rPr>
                <w:rFonts w:ascii="Arial" w:hAnsi="Arial" w:cs="Arial"/>
                <w:sz w:val="18"/>
                <w:szCs w:val="18"/>
              </w:rPr>
              <w:t> </w:t>
            </w:r>
          </w:p>
        </w:tc>
        <w:tc>
          <w:tcPr>
            <w:tcW w:w="236" w:type="dxa"/>
            <w:tcBorders>
              <w:top w:val="nil"/>
              <w:left w:val="nil"/>
              <w:bottom w:val="nil"/>
              <w:right w:val="nil"/>
            </w:tcBorders>
            <w:shd w:val="clear" w:color="FFFFFF" w:fill="FFFFFF"/>
            <w:noWrap/>
            <w:vAlign w:val="bottom"/>
            <w:hideMark/>
          </w:tcPr>
          <w:p w14:paraId="0DEAF439" w14:textId="77777777" w:rsidR="00A43992" w:rsidRDefault="00A43992" w:rsidP="007211E3">
            <w:pPr>
              <w:rPr>
                <w:rFonts w:ascii="Arial" w:hAnsi="Arial" w:cs="Arial"/>
                <w:sz w:val="18"/>
                <w:szCs w:val="18"/>
              </w:rPr>
            </w:pPr>
            <w:r>
              <w:rPr>
                <w:rFonts w:ascii="Arial" w:hAnsi="Arial" w:cs="Arial"/>
                <w:sz w:val="18"/>
                <w:szCs w:val="18"/>
              </w:rPr>
              <w:t> </w:t>
            </w:r>
          </w:p>
        </w:tc>
        <w:tc>
          <w:tcPr>
            <w:tcW w:w="982" w:type="dxa"/>
            <w:tcBorders>
              <w:top w:val="nil"/>
              <w:left w:val="nil"/>
              <w:bottom w:val="nil"/>
              <w:right w:val="nil"/>
            </w:tcBorders>
            <w:shd w:val="clear" w:color="FFFFFF" w:fill="FFFFFF"/>
            <w:noWrap/>
            <w:vAlign w:val="bottom"/>
            <w:hideMark/>
          </w:tcPr>
          <w:p w14:paraId="09A7EEED" w14:textId="77777777" w:rsidR="00A43992" w:rsidRDefault="00A43992" w:rsidP="007211E3">
            <w:pPr>
              <w:rPr>
                <w:rFonts w:ascii="Arial" w:hAnsi="Arial" w:cs="Arial"/>
                <w:sz w:val="18"/>
                <w:szCs w:val="18"/>
              </w:rPr>
            </w:pPr>
            <w:r>
              <w:rPr>
                <w:rFonts w:ascii="Arial" w:hAnsi="Arial" w:cs="Arial"/>
                <w:sz w:val="18"/>
                <w:szCs w:val="18"/>
              </w:rPr>
              <w:t> </w:t>
            </w:r>
          </w:p>
        </w:tc>
      </w:tr>
      <w:tr w:rsidR="00A43992" w14:paraId="2E3A659F" w14:textId="77777777" w:rsidTr="007211E3">
        <w:trPr>
          <w:trHeight w:val="255"/>
        </w:trPr>
        <w:tc>
          <w:tcPr>
            <w:tcW w:w="4592" w:type="dxa"/>
            <w:tcBorders>
              <w:top w:val="nil"/>
              <w:left w:val="nil"/>
              <w:bottom w:val="nil"/>
              <w:right w:val="nil"/>
            </w:tcBorders>
            <w:shd w:val="clear" w:color="FFFFFF" w:fill="FFFFFF"/>
            <w:vAlign w:val="bottom"/>
            <w:hideMark/>
          </w:tcPr>
          <w:p w14:paraId="43752830" w14:textId="77777777" w:rsidR="00A43992" w:rsidRDefault="00A43992" w:rsidP="007211E3">
            <w:pPr>
              <w:ind w:firstLineChars="100" w:firstLine="180"/>
              <w:rPr>
                <w:rFonts w:ascii="Arial" w:hAnsi="Arial" w:cs="Arial"/>
                <w:sz w:val="18"/>
                <w:szCs w:val="18"/>
              </w:rPr>
            </w:pPr>
            <w:r>
              <w:rPr>
                <w:rFonts w:ascii="Arial" w:hAnsi="Arial" w:cs="Arial"/>
                <w:sz w:val="18"/>
                <w:szCs w:val="18"/>
              </w:rPr>
              <w:t>Purchase of property, plant and equipment, and intangibles</w:t>
            </w:r>
          </w:p>
        </w:tc>
        <w:tc>
          <w:tcPr>
            <w:tcW w:w="1047" w:type="dxa"/>
            <w:tcBorders>
              <w:top w:val="nil"/>
              <w:left w:val="nil"/>
              <w:bottom w:val="nil"/>
              <w:right w:val="nil"/>
            </w:tcBorders>
            <w:shd w:val="clear" w:color="FFFFFF" w:fill="FFFFFF"/>
            <w:noWrap/>
            <w:vAlign w:val="bottom"/>
            <w:hideMark/>
          </w:tcPr>
          <w:p w14:paraId="0093A0FE" w14:textId="77777777" w:rsidR="00A43992" w:rsidRDefault="00A43992" w:rsidP="007211E3">
            <w:pPr>
              <w:jc w:val="center"/>
              <w:rPr>
                <w:rFonts w:ascii="Arial" w:hAnsi="Arial" w:cs="Arial"/>
                <w:sz w:val="18"/>
                <w:szCs w:val="18"/>
              </w:rPr>
            </w:pPr>
            <w:r>
              <w:rPr>
                <w:rFonts w:ascii="Arial" w:hAnsi="Arial" w:cs="Arial"/>
                <w:sz w:val="18"/>
                <w:szCs w:val="18"/>
              </w:rPr>
              <w:t> </w:t>
            </w:r>
          </w:p>
        </w:tc>
        <w:tc>
          <w:tcPr>
            <w:tcW w:w="1012" w:type="dxa"/>
            <w:tcBorders>
              <w:top w:val="nil"/>
              <w:left w:val="nil"/>
              <w:bottom w:val="nil"/>
              <w:right w:val="nil"/>
            </w:tcBorders>
            <w:shd w:val="clear" w:color="FFFFFF" w:fill="FFFFFF"/>
            <w:noWrap/>
            <w:vAlign w:val="bottom"/>
            <w:hideMark/>
          </w:tcPr>
          <w:p w14:paraId="3A93E4CD" w14:textId="77777777" w:rsidR="00A43992" w:rsidRDefault="00A43992" w:rsidP="007211E3">
            <w:pPr>
              <w:jc w:val="right"/>
              <w:rPr>
                <w:rFonts w:ascii="Arial" w:hAnsi="Arial" w:cs="Arial"/>
                <w:b/>
                <w:bCs/>
                <w:sz w:val="18"/>
                <w:szCs w:val="18"/>
              </w:rPr>
            </w:pPr>
            <w:r>
              <w:rPr>
                <w:rFonts w:ascii="Arial" w:hAnsi="Arial" w:cs="Arial"/>
                <w:b/>
                <w:bCs/>
                <w:sz w:val="18"/>
                <w:szCs w:val="18"/>
              </w:rPr>
              <w:t>961</w:t>
            </w:r>
          </w:p>
        </w:tc>
        <w:tc>
          <w:tcPr>
            <w:tcW w:w="236" w:type="dxa"/>
            <w:tcBorders>
              <w:top w:val="nil"/>
              <w:left w:val="nil"/>
              <w:bottom w:val="nil"/>
              <w:right w:val="nil"/>
            </w:tcBorders>
            <w:shd w:val="clear" w:color="FFFFFF" w:fill="FFFFFF"/>
            <w:noWrap/>
            <w:vAlign w:val="bottom"/>
            <w:hideMark/>
          </w:tcPr>
          <w:p w14:paraId="56BD4C9D" w14:textId="77777777" w:rsidR="00A43992" w:rsidRDefault="00A43992" w:rsidP="007211E3">
            <w:pPr>
              <w:rPr>
                <w:rFonts w:ascii="Arial" w:hAnsi="Arial" w:cs="Arial"/>
                <w:sz w:val="18"/>
                <w:szCs w:val="18"/>
              </w:rPr>
            </w:pPr>
            <w:r>
              <w:rPr>
                <w:rFonts w:ascii="Arial" w:hAnsi="Arial" w:cs="Arial"/>
                <w:sz w:val="18"/>
                <w:szCs w:val="18"/>
              </w:rPr>
              <w:t> </w:t>
            </w:r>
          </w:p>
        </w:tc>
        <w:tc>
          <w:tcPr>
            <w:tcW w:w="982" w:type="dxa"/>
            <w:tcBorders>
              <w:top w:val="nil"/>
              <w:left w:val="nil"/>
              <w:bottom w:val="nil"/>
              <w:right w:val="nil"/>
            </w:tcBorders>
            <w:shd w:val="clear" w:color="FFFFFF" w:fill="FFFFFF"/>
            <w:noWrap/>
            <w:vAlign w:val="bottom"/>
            <w:hideMark/>
          </w:tcPr>
          <w:p w14:paraId="3730F48F" w14:textId="77777777" w:rsidR="00A43992" w:rsidRDefault="00A43992" w:rsidP="007211E3">
            <w:pPr>
              <w:jc w:val="right"/>
              <w:rPr>
                <w:rFonts w:ascii="Arial" w:hAnsi="Arial" w:cs="Arial"/>
                <w:sz w:val="18"/>
                <w:szCs w:val="18"/>
              </w:rPr>
            </w:pPr>
            <w:r>
              <w:rPr>
                <w:rFonts w:ascii="Arial" w:hAnsi="Arial" w:cs="Arial"/>
                <w:sz w:val="18"/>
                <w:szCs w:val="18"/>
              </w:rPr>
              <w:t xml:space="preserve">17,828 </w:t>
            </w:r>
          </w:p>
        </w:tc>
        <w:tc>
          <w:tcPr>
            <w:tcW w:w="236" w:type="dxa"/>
            <w:tcBorders>
              <w:top w:val="nil"/>
              <w:left w:val="nil"/>
              <w:bottom w:val="nil"/>
              <w:right w:val="nil"/>
            </w:tcBorders>
            <w:shd w:val="clear" w:color="FFFFFF" w:fill="FFFFFF"/>
            <w:noWrap/>
            <w:vAlign w:val="bottom"/>
            <w:hideMark/>
          </w:tcPr>
          <w:p w14:paraId="6C22DD66" w14:textId="77777777" w:rsidR="00A43992" w:rsidRDefault="00A43992" w:rsidP="007211E3">
            <w:pPr>
              <w:rPr>
                <w:rFonts w:ascii="Arial" w:hAnsi="Arial" w:cs="Arial"/>
                <w:sz w:val="18"/>
                <w:szCs w:val="18"/>
              </w:rPr>
            </w:pPr>
            <w:r>
              <w:rPr>
                <w:rFonts w:ascii="Arial" w:hAnsi="Arial" w:cs="Arial"/>
                <w:sz w:val="18"/>
                <w:szCs w:val="18"/>
              </w:rPr>
              <w:t> </w:t>
            </w:r>
          </w:p>
        </w:tc>
        <w:tc>
          <w:tcPr>
            <w:tcW w:w="982" w:type="dxa"/>
            <w:tcBorders>
              <w:top w:val="nil"/>
              <w:left w:val="nil"/>
              <w:bottom w:val="nil"/>
              <w:right w:val="nil"/>
            </w:tcBorders>
            <w:shd w:val="clear" w:color="FFFFFF" w:fill="FFFFFF"/>
            <w:noWrap/>
            <w:vAlign w:val="bottom"/>
            <w:hideMark/>
          </w:tcPr>
          <w:p w14:paraId="10948EE3" w14:textId="77777777" w:rsidR="00A43992" w:rsidRDefault="00A43992" w:rsidP="007211E3">
            <w:pPr>
              <w:jc w:val="right"/>
              <w:rPr>
                <w:rFonts w:ascii="Arial" w:hAnsi="Arial" w:cs="Arial"/>
                <w:sz w:val="18"/>
                <w:szCs w:val="18"/>
              </w:rPr>
            </w:pPr>
            <w:r>
              <w:rPr>
                <w:rFonts w:ascii="Arial" w:hAnsi="Arial" w:cs="Arial"/>
                <w:sz w:val="18"/>
                <w:szCs w:val="18"/>
              </w:rPr>
              <w:t xml:space="preserve">57,756 </w:t>
            </w:r>
          </w:p>
        </w:tc>
      </w:tr>
      <w:tr w:rsidR="00A43992" w14:paraId="0CEDC91C" w14:textId="77777777" w:rsidTr="007211E3">
        <w:trPr>
          <w:trHeight w:val="255"/>
        </w:trPr>
        <w:tc>
          <w:tcPr>
            <w:tcW w:w="4592" w:type="dxa"/>
            <w:tcBorders>
              <w:top w:val="nil"/>
              <w:left w:val="nil"/>
              <w:bottom w:val="nil"/>
              <w:right w:val="nil"/>
            </w:tcBorders>
            <w:shd w:val="clear" w:color="FFFFFF" w:fill="FFFFFF"/>
            <w:vAlign w:val="bottom"/>
            <w:hideMark/>
          </w:tcPr>
          <w:p w14:paraId="11593F5C" w14:textId="77777777" w:rsidR="00A43992" w:rsidRDefault="00A43992" w:rsidP="007211E3">
            <w:pPr>
              <w:ind w:firstLineChars="100" w:firstLine="180"/>
              <w:rPr>
                <w:rFonts w:ascii="Arial" w:hAnsi="Arial" w:cs="Arial"/>
                <w:sz w:val="18"/>
                <w:szCs w:val="18"/>
              </w:rPr>
            </w:pPr>
            <w:r>
              <w:rPr>
                <w:rFonts w:ascii="Arial" w:hAnsi="Arial" w:cs="Arial"/>
                <w:sz w:val="18"/>
                <w:szCs w:val="18"/>
              </w:rPr>
              <w:t>Purchase of financial instruments</w:t>
            </w:r>
          </w:p>
        </w:tc>
        <w:tc>
          <w:tcPr>
            <w:tcW w:w="1047" w:type="dxa"/>
            <w:tcBorders>
              <w:top w:val="nil"/>
              <w:left w:val="nil"/>
              <w:bottom w:val="nil"/>
              <w:right w:val="nil"/>
            </w:tcBorders>
            <w:shd w:val="clear" w:color="FFFFFF" w:fill="FFFFFF"/>
            <w:noWrap/>
            <w:vAlign w:val="bottom"/>
            <w:hideMark/>
          </w:tcPr>
          <w:p w14:paraId="27E0618C" w14:textId="77777777" w:rsidR="00A43992" w:rsidRDefault="00A43992" w:rsidP="007211E3">
            <w:pPr>
              <w:jc w:val="center"/>
              <w:rPr>
                <w:rFonts w:ascii="Arial" w:hAnsi="Arial" w:cs="Arial"/>
                <w:sz w:val="18"/>
                <w:szCs w:val="18"/>
              </w:rPr>
            </w:pPr>
            <w:r>
              <w:rPr>
                <w:rFonts w:ascii="Arial" w:hAnsi="Arial" w:cs="Arial"/>
                <w:sz w:val="18"/>
                <w:szCs w:val="18"/>
              </w:rPr>
              <w:t> </w:t>
            </w:r>
          </w:p>
        </w:tc>
        <w:tc>
          <w:tcPr>
            <w:tcW w:w="1012" w:type="dxa"/>
            <w:tcBorders>
              <w:top w:val="nil"/>
              <w:left w:val="nil"/>
              <w:bottom w:val="nil"/>
              <w:right w:val="nil"/>
            </w:tcBorders>
            <w:shd w:val="clear" w:color="FFFFFF" w:fill="FFFFFF"/>
            <w:noWrap/>
            <w:vAlign w:val="bottom"/>
            <w:hideMark/>
          </w:tcPr>
          <w:p w14:paraId="660B0961" w14:textId="77777777" w:rsidR="00A43992" w:rsidRDefault="00A43992" w:rsidP="007211E3">
            <w:pPr>
              <w:jc w:val="right"/>
              <w:rPr>
                <w:rFonts w:ascii="Arial" w:hAnsi="Arial" w:cs="Arial"/>
                <w:b/>
                <w:bCs/>
                <w:sz w:val="18"/>
                <w:szCs w:val="18"/>
              </w:rPr>
            </w:pPr>
            <w:r>
              <w:rPr>
                <w:rFonts w:ascii="Arial" w:hAnsi="Arial" w:cs="Arial"/>
                <w:b/>
                <w:bCs/>
                <w:sz w:val="18"/>
                <w:szCs w:val="18"/>
              </w:rPr>
              <w:t>252,569</w:t>
            </w:r>
          </w:p>
        </w:tc>
        <w:tc>
          <w:tcPr>
            <w:tcW w:w="236" w:type="dxa"/>
            <w:tcBorders>
              <w:top w:val="nil"/>
              <w:left w:val="nil"/>
              <w:bottom w:val="nil"/>
              <w:right w:val="nil"/>
            </w:tcBorders>
            <w:shd w:val="clear" w:color="FFFFFF" w:fill="FFFFFF"/>
            <w:noWrap/>
            <w:vAlign w:val="bottom"/>
            <w:hideMark/>
          </w:tcPr>
          <w:p w14:paraId="5073C00E" w14:textId="77777777" w:rsidR="00A43992" w:rsidRDefault="00A43992" w:rsidP="007211E3">
            <w:pPr>
              <w:rPr>
                <w:rFonts w:ascii="Arial" w:hAnsi="Arial" w:cs="Arial"/>
                <w:sz w:val="18"/>
                <w:szCs w:val="18"/>
              </w:rPr>
            </w:pPr>
            <w:r>
              <w:rPr>
                <w:rFonts w:ascii="Arial" w:hAnsi="Arial" w:cs="Arial"/>
                <w:sz w:val="18"/>
                <w:szCs w:val="18"/>
              </w:rPr>
              <w:t> </w:t>
            </w:r>
          </w:p>
        </w:tc>
        <w:tc>
          <w:tcPr>
            <w:tcW w:w="982" w:type="dxa"/>
            <w:tcBorders>
              <w:top w:val="nil"/>
              <w:left w:val="nil"/>
              <w:bottom w:val="nil"/>
              <w:right w:val="nil"/>
            </w:tcBorders>
            <w:shd w:val="clear" w:color="FFFFFF" w:fill="FFFFFF"/>
            <w:noWrap/>
            <w:vAlign w:val="bottom"/>
            <w:hideMark/>
          </w:tcPr>
          <w:p w14:paraId="039BAF8F" w14:textId="77777777" w:rsidR="00A43992" w:rsidRDefault="00A43992" w:rsidP="007211E3">
            <w:pPr>
              <w:jc w:val="right"/>
              <w:rPr>
                <w:rFonts w:ascii="Arial" w:hAnsi="Arial" w:cs="Arial"/>
                <w:sz w:val="18"/>
                <w:szCs w:val="18"/>
              </w:rPr>
            </w:pPr>
            <w:r>
              <w:rPr>
                <w:rFonts w:ascii="Arial" w:hAnsi="Arial" w:cs="Arial"/>
                <w:sz w:val="18"/>
                <w:szCs w:val="18"/>
              </w:rPr>
              <w:t xml:space="preserve"> -</w:t>
            </w:r>
          </w:p>
        </w:tc>
        <w:tc>
          <w:tcPr>
            <w:tcW w:w="236" w:type="dxa"/>
            <w:tcBorders>
              <w:top w:val="nil"/>
              <w:left w:val="nil"/>
              <w:bottom w:val="nil"/>
              <w:right w:val="nil"/>
            </w:tcBorders>
            <w:shd w:val="clear" w:color="FFFFFF" w:fill="FFFFFF"/>
            <w:noWrap/>
            <w:vAlign w:val="bottom"/>
            <w:hideMark/>
          </w:tcPr>
          <w:p w14:paraId="06AAA598" w14:textId="77777777" w:rsidR="00A43992" w:rsidRDefault="00A43992" w:rsidP="007211E3">
            <w:pPr>
              <w:rPr>
                <w:rFonts w:ascii="Arial" w:hAnsi="Arial" w:cs="Arial"/>
                <w:sz w:val="18"/>
                <w:szCs w:val="18"/>
              </w:rPr>
            </w:pPr>
            <w:r>
              <w:rPr>
                <w:rFonts w:ascii="Arial" w:hAnsi="Arial" w:cs="Arial"/>
                <w:sz w:val="18"/>
                <w:szCs w:val="18"/>
              </w:rPr>
              <w:t> </w:t>
            </w:r>
          </w:p>
        </w:tc>
        <w:tc>
          <w:tcPr>
            <w:tcW w:w="982" w:type="dxa"/>
            <w:tcBorders>
              <w:top w:val="nil"/>
              <w:left w:val="nil"/>
              <w:bottom w:val="nil"/>
              <w:right w:val="nil"/>
            </w:tcBorders>
            <w:shd w:val="clear" w:color="FFFFFF" w:fill="FFFFFF"/>
            <w:noWrap/>
            <w:vAlign w:val="bottom"/>
            <w:hideMark/>
          </w:tcPr>
          <w:p w14:paraId="5B9F64E0" w14:textId="77777777" w:rsidR="00A43992" w:rsidRDefault="00A43992" w:rsidP="007211E3">
            <w:pPr>
              <w:jc w:val="right"/>
              <w:rPr>
                <w:rFonts w:ascii="Arial" w:hAnsi="Arial" w:cs="Arial"/>
                <w:sz w:val="18"/>
                <w:szCs w:val="18"/>
              </w:rPr>
            </w:pPr>
            <w:r>
              <w:rPr>
                <w:rFonts w:ascii="Arial" w:hAnsi="Arial" w:cs="Arial"/>
                <w:sz w:val="18"/>
                <w:szCs w:val="18"/>
              </w:rPr>
              <w:t xml:space="preserve"> -</w:t>
            </w:r>
          </w:p>
        </w:tc>
      </w:tr>
      <w:tr w:rsidR="00A43992" w14:paraId="3878BF1C" w14:textId="77777777" w:rsidTr="007211E3">
        <w:trPr>
          <w:trHeight w:val="255"/>
        </w:trPr>
        <w:tc>
          <w:tcPr>
            <w:tcW w:w="4592" w:type="dxa"/>
            <w:tcBorders>
              <w:top w:val="nil"/>
              <w:left w:val="nil"/>
              <w:bottom w:val="nil"/>
              <w:right w:val="nil"/>
            </w:tcBorders>
            <w:shd w:val="clear" w:color="FFFFFF" w:fill="FFFFFF"/>
            <w:vAlign w:val="bottom"/>
            <w:hideMark/>
          </w:tcPr>
          <w:p w14:paraId="1948E195" w14:textId="77777777" w:rsidR="00A43992" w:rsidRDefault="00A43992" w:rsidP="007211E3">
            <w:pPr>
              <w:rPr>
                <w:rFonts w:ascii="Arial" w:hAnsi="Arial" w:cs="Arial"/>
                <w:b/>
                <w:bCs/>
                <w:sz w:val="18"/>
                <w:szCs w:val="18"/>
              </w:rPr>
            </w:pPr>
            <w:r>
              <w:rPr>
                <w:rFonts w:ascii="Arial" w:hAnsi="Arial" w:cs="Arial"/>
                <w:b/>
                <w:bCs/>
                <w:sz w:val="18"/>
                <w:szCs w:val="18"/>
              </w:rPr>
              <w:t>Total cash used</w:t>
            </w:r>
          </w:p>
        </w:tc>
        <w:tc>
          <w:tcPr>
            <w:tcW w:w="1047" w:type="dxa"/>
            <w:tcBorders>
              <w:top w:val="nil"/>
              <w:left w:val="nil"/>
              <w:bottom w:val="nil"/>
              <w:right w:val="nil"/>
            </w:tcBorders>
            <w:shd w:val="clear" w:color="FFFFFF" w:fill="FFFFFF"/>
            <w:noWrap/>
            <w:vAlign w:val="bottom"/>
            <w:hideMark/>
          </w:tcPr>
          <w:p w14:paraId="1C02E3A1" w14:textId="77777777" w:rsidR="00A43992" w:rsidRDefault="00A43992" w:rsidP="007211E3">
            <w:pPr>
              <w:jc w:val="center"/>
              <w:rPr>
                <w:rFonts w:ascii="Arial" w:hAnsi="Arial" w:cs="Arial"/>
                <w:sz w:val="18"/>
                <w:szCs w:val="18"/>
              </w:rPr>
            </w:pPr>
            <w:r>
              <w:rPr>
                <w:rFonts w:ascii="Arial" w:hAnsi="Arial" w:cs="Arial"/>
                <w:sz w:val="18"/>
                <w:szCs w:val="18"/>
              </w:rPr>
              <w:t> </w:t>
            </w:r>
          </w:p>
        </w:tc>
        <w:tc>
          <w:tcPr>
            <w:tcW w:w="1012" w:type="dxa"/>
            <w:tcBorders>
              <w:top w:val="single" w:sz="4" w:space="0" w:color="auto"/>
              <w:left w:val="nil"/>
              <w:bottom w:val="single" w:sz="4" w:space="0" w:color="auto"/>
              <w:right w:val="nil"/>
            </w:tcBorders>
            <w:shd w:val="clear" w:color="FFFFFF" w:fill="FFFFFF"/>
            <w:noWrap/>
            <w:vAlign w:val="bottom"/>
            <w:hideMark/>
          </w:tcPr>
          <w:p w14:paraId="35E34A71" w14:textId="77777777" w:rsidR="00A43992" w:rsidRDefault="00A43992" w:rsidP="007211E3">
            <w:pPr>
              <w:jc w:val="right"/>
              <w:rPr>
                <w:rFonts w:ascii="Arial" w:hAnsi="Arial" w:cs="Arial"/>
                <w:b/>
                <w:bCs/>
                <w:sz w:val="18"/>
                <w:szCs w:val="18"/>
              </w:rPr>
            </w:pPr>
            <w:r>
              <w:rPr>
                <w:rFonts w:ascii="Arial" w:hAnsi="Arial" w:cs="Arial"/>
                <w:b/>
                <w:bCs/>
                <w:sz w:val="18"/>
                <w:szCs w:val="18"/>
              </w:rPr>
              <w:t>253,530</w:t>
            </w:r>
          </w:p>
        </w:tc>
        <w:tc>
          <w:tcPr>
            <w:tcW w:w="236" w:type="dxa"/>
            <w:tcBorders>
              <w:top w:val="nil"/>
              <w:left w:val="nil"/>
              <w:bottom w:val="nil"/>
              <w:right w:val="nil"/>
            </w:tcBorders>
            <w:shd w:val="clear" w:color="FFFFFF" w:fill="FFFFFF"/>
            <w:noWrap/>
            <w:vAlign w:val="bottom"/>
            <w:hideMark/>
          </w:tcPr>
          <w:p w14:paraId="6BAB984E" w14:textId="77777777" w:rsidR="00A43992" w:rsidRDefault="00A43992" w:rsidP="007211E3">
            <w:pPr>
              <w:rPr>
                <w:rFonts w:ascii="Arial" w:hAnsi="Arial" w:cs="Arial"/>
                <w:sz w:val="18"/>
                <w:szCs w:val="18"/>
              </w:rPr>
            </w:pPr>
            <w:r>
              <w:rPr>
                <w:rFonts w:ascii="Arial" w:hAnsi="Arial" w:cs="Arial"/>
                <w:sz w:val="18"/>
                <w:szCs w:val="18"/>
              </w:rPr>
              <w:t> </w:t>
            </w:r>
          </w:p>
        </w:tc>
        <w:tc>
          <w:tcPr>
            <w:tcW w:w="982" w:type="dxa"/>
            <w:tcBorders>
              <w:top w:val="single" w:sz="4" w:space="0" w:color="auto"/>
              <w:left w:val="nil"/>
              <w:bottom w:val="single" w:sz="4" w:space="0" w:color="auto"/>
              <w:right w:val="nil"/>
            </w:tcBorders>
            <w:shd w:val="clear" w:color="FFFFFF" w:fill="FFFFFF"/>
            <w:noWrap/>
            <w:vAlign w:val="bottom"/>
            <w:hideMark/>
          </w:tcPr>
          <w:p w14:paraId="30FEDE93" w14:textId="77777777" w:rsidR="00A43992" w:rsidRDefault="00A43992" w:rsidP="007211E3">
            <w:pPr>
              <w:jc w:val="right"/>
              <w:rPr>
                <w:rFonts w:ascii="Arial" w:hAnsi="Arial" w:cs="Arial"/>
                <w:sz w:val="18"/>
                <w:szCs w:val="18"/>
              </w:rPr>
            </w:pPr>
            <w:r>
              <w:rPr>
                <w:rFonts w:ascii="Arial" w:hAnsi="Arial" w:cs="Arial"/>
                <w:sz w:val="18"/>
                <w:szCs w:val="18"/>
              </w:rPr>
              <w:t>17,828</w:t>
            </w:r>
          </w:p>
        </w:tc>
        <w:tc>
          <w:tcPr>
            <w:tcW w:w="236" w:type="dxa"/>
            <w:tcBorders>
              <w:top w:val="nil"/>
              <w:left w:val="nil"/>
              <w:bottom w:val="nil"/>
              <w:right w:val="nil"/>
            </w:tcBorders>
            <w:shd w:val="clear" w:color="FFFFFF" w:fill="FFFFFF"/>
            <w:noWrap/>
            <w:vAlign w:val="bottom"/>
            <w:hideMark/>
          </w:tcPr>
          <w:p w14:paraId="3CAD7928" w14:textId="77777777" w:rsidR="00A43992" w:rsidRDefault="00A43992" w:rsidP="007211E3">
            <w:pPr>
              <w:rPr>
                <w:rFonts w:ascii="Arial" w:hAnsi="Arial" w:cs="Arial"/>
                <w:sz w:val="18"/>
                <w:szCs w:val="18"/>
              </w:rPr>
            </w:pPr>
            <w:r>
              <w:rPr>
                <w:rFonts w:ascii="Arial" w:hAnsi="Arial" w:cs="Arial"/>
                <w:sz w:val="18"/>
                <w:szCs w:val="18"/>
              </w:rPr>
              <w:t> </w:t>
            </w:r>
          </w:p>
        </w:tc>
        <w:tc>
          <w:tcPr>
            <w:tcW w:w="982" w:type="dxa"/>
            <w:tcBorders>
              <w:top w:val="single" w:sz="4" w:space="0" w:color="auto"/>
              <w:left w:val="nil"/>
              <w:bottom w:val="single" w:sz="4" w:space="0" w:color="auto"/>
              <w:right w:val="nil"/>
            </w:tcBorders>
            <w:shd w:val="clear" w:color="FFFFFF" w:fill="FFFFFF"/>
            <w:noWrap/>
            <w:vAlign w:val="bottom"/>
            <w:hideMark/>
          </w:tcPr>
          <w:p w14:paraId="660DBF82" w14:textId="77777777" w:rsidR="00A43992" w:rsidRDefault="00A43992" w:rsidP="007211E3">
            <w:pPr>
              <w:jc w:val="right"/>
              <w:rPr>
                <w:rFonts w:ascii="Arial" w:hAnsi="Arial" w:cs="Arial"/>
                <w:sz w:val="18"/>
                <w:szCs w:val="18"/>
              </w:rPr>
            </w:pPr>
            <w:r>
              <w:rPr>
                <w:rFonts w:ascii="Arial" w:hAnsi="Arial" w:cs="Arial"/>
                <w:sz w:val="18"/>
                <w:szCs w:val="18"/>
              </w:rPr>
              <w:t>57,756</w:t>
            </w:r>
          </w:p>
        </w:tc>
      </w:tr>
      <w:tr w:rsidR="00A43992" w14:paraId="5CD83F0D" w14:textId="77777777" w:rsidTr="007211E3">
        <w:trPr>
          <w:trHeight w:val="255"/>
        </w:trPr>
        <w:tc>
          <w:tcPr>
            <w:tcW w:w="4592" w:type="dxa"/>
            <w:tcBorders>
              <w:top w:val="nil"/>
              <w:left w:val="nil"/>
              <w:bottom w:val="nil"/>
              <w:right w:val="nil"/>
            </w:tcBorders>
            <w:shd w:val="clear" w:color="FFFFFF" w:fill="FFFFFF"/>
            <w:vAlign w:val="bottom"/>
            <w:hideMark/>
          </w:tcPr>
          <w:p w14:paraId="0B4869B2" w14:textId="77777777" w:rsidR="00A43992" w:rsidRDefault="00A43992" w:rsidP="007211E3">
            <w:pPr>
              <w:rPr>
                <w:rFonts w:ascii="Arial" w:hAnsi="Arial" w:cs="Arial"/>
                <w:b/>
                <w:bCs/>
                <w:sz w:val="18"/>
                <w:szCs w:val="18"/>
              </w:rPr>
            </w:pPr>
            <w:r>
              <w:rPr>
                <w:rFonts w:ascii="Arial" w:hAnsi="Arial" w:cs="Arial"/>
                <w:b/>
                <w:bCs/>
                <w:sz w:val="18"/>
                <w:szCs w:val="18"/>
              </w:rPr>
              <w:t>Net cash used by investing activities</w:t>
            </w:r>
          </w:p>
        </w:tc>
        <w:tc>
          <w:tcPr>
            <w:tcW w:w="1047" w:type="dxa"/>
            <w:tcBorders>
              <w:top w:val="nil"/>
              <w:left w:val="nil"/>
              <w:bottom w:val="nil"/>
              <w:right w:val="nil"/>
            </w:tcBorders>
            <w:shd w:val="clear" w:color="FFFFFF" w:fill="FFFFFF"/>
            <w:noWrap/>
            <w:vAlign w:val="bottom"/>
            <w:hideMark/>
          </w:tcPr>
          <w:p w14:paraId="740B80F1" w14:textId="77777777" w:rsidR="00A43992" w:rsidRDefault="00A43992" w:rsidP="007211E3">
            <w:pPr>
              <w:jc w:val="center"/>
              <w:rPr>
                <w:rFonts w:ascii="Arial" w:hAnsi="Arial" w:cs="Arial"/>
                <w:sz w:val="18"/>
                <w:szCs w:val="18"/>
              </w:rPr>
            </w:pPr>
            <w:r>
              <w:rPr>
                <w:rFonts w:ascii="Arial" w:hAnsi="Arial" w:cs="Arial"/>
                <w:sz w:val="18"/>
                <w:szCs w:val="18"/>
              </w:rPr>
              <w:t> </w:t>
            </w:r>
          </w:p>
        </w:tc>
        <w:tc>
          <w:tcPr>
            <w:tcW w:w="1012" w:type="dxa"/>
            <w:tcBorders>
              <w:top w:val="nil"/>
              <w:left w:val="nil"/>
              <w:bottom w:val="single" w:sz="4" w:space="0" w:color="auto"/>
              <w:right w:val="nil"/>
            </w:tcBorders>
            <w:shd w:val="clear" w:color="FFFFFF" w:fill="FFFFFF"/>
            <w:noWrap/>
            <w:vAlign w:val="bottom"/>
            <w:hideMark/>
          </w:tcPr>
          <w:p w14:paraId="785E8EFD" w14:textId="77777777" w:rsidR="00A43992" w:rsidRDefault="00A43992" w:rsidP="007211E3">
            <w:pPr>
              <w:jc w:val="right"/>
              <w:rPr>
                <w:rFonts w:ascii="Arial" w:hAnsi="Arial" w:cs="Arial"/>
                <w:b/>
                <w:bCs/>
                <w:sz w:val="18"/>
                <w:szCs w:val="18"/>
              </w:rPr>
            </w:pPr>
            <w:r>
              <w:rPr>
                <w:rFonts w:ascii="Arial" w:hAnsi="Arial" w:cs="Arial"/>
                <w:b/>
                <w:bCs/>
                <w:sz w:val="18"/>
                <w:szCs w:val="18"/>
              </w:rPr>
              <w:t>(34,155)</w:t>
            </w:r>
          </w:p>
        </w:tc>
        <w:tc>
          <w:tcPr>
            <w:tcW w:w="236" w:type="dxa"/>
            <w:tcBorders>
              <w:top w:val="nil"/>
              <w:left w:val="nil"/>
              <w:bottom w:val="nil"/>
              <w:right w:val="nil"/>
            </w:tcBorders>
            <w:shd w:val="clear" w:color="FFFFFF" w:fill="FFFFFF"/>
            <w:noWrap/>
            <w:vAlign w:val="bottom"/>
            <w:hideMark/>
          </w:tcPr>
          <w:p w14:paraId="5EA08069" w14:textId="77777777" w:rsidR="00A43992" w:rsidRDefault="00A43992" w:rsidP="007211E3">
            <w:pPr>
              <w:rPr>
                <w:rFonts w:ascii="Arial" w:hAnsi="Arial" w:cs="Arial"/>
                <w:sz w:val="18"/>
                <w:szCs w:val="18"/>
              </w:rPr>
            </w:pPr>
            <w:r>
              <w:rPr>
                <w:rFonts w:ascii="Arial" w:hAnsi="Arial" w:cs="Arial"/>
                <w:sz w:val="18"/>
                <w:szCs w:val="18"/>
              </w:rPr>
              <w:t> </w:t>
            </w:r>
          </w:p>
        </w:tc>
        <w:tc>
          <w:tcPr>
            <w:tcW w:w="982" w:type="dxa"/>
            <w:tcBorders>
              <w:top w:val="nil"/>
              <w:left w:val="nil"/>
              <w:bottom w:val="single" w:sz="4" w:space="0" w:color="auto"/>
              <w:right w:val="nil"/>
            </w:tcBorders>
            <w:shd w:val="clear" w:color="FFFFFF" w:fill="FFFFFF"/>
            <w:noWrap/>
            <w:vAlign w:val="bottom"/>
            <w:hideMark/>
          </w:tcPr>
          <w:p w14:paraId="4E6B29C4" w14:textId="77777777" w:rsidR="00A43992" w:rsidRDefault="00A43992" w:rsidP="007211E3">
            <w:pPr>
              <w:jc w:val="right"/>
              <w:rPr>
                <w:rFonts w:ascii="Arial" w:hAnsi="Arial" w:cs="Arial"/>
                <w:sz w:val="18"/>
                <w:szCs w:val="18"/>
              </w:rPr>
            </w:pPr>
            <w:r>
              <w:rPr>
                <w:rFonts w:ascii="Arial" w:hAnsi="Arial" w:cs="Arial"/>
                <w:sz w:val="18"/>
                <w:szCs w:val="18"/>
              </w:rPr>
              <w:t>(17,828)</w:t>
            </w:r>
          </w:p>
        </w:tc>
        <w:tc>
          <w:tcPr>
            <w:tcW w:w="236" w:type="dxa"/>
            <w:tcBorders>
              <w:top w:val="nil"/>
              <w:left w:val="nil"/>
              <w:bottom w:val="nil"/>
              <w:right w:val="nil"/>
            </w:tcBorders>
            <w:shd w:val="clear" w:color="FFFFFF" w:fill="FFFFFF"/>
            <w:noWrap/>
            <w:vAlign w:val="bottom"/>
            <w:hideMark/>
          </w:tcPr>
          <w:p w14:paraId="002E1415" w14:textId="77777777" w:rsidR="00A43992" w:rsidRDefault="00A43992" w:rsidP="007211E3">
            <w:pPr>
              <w:rPr>
                <w:rFonts w:ascii="Arial" w:hAnsi="Arial" w:cs="Arial"/>
                <w:sz w:val="18"/>
                <w:szCs w:val="18"/>
              </w:rPr>
            </w:pPr>
            <w:r>
              <w:rPr>
                <w:rFonts w:ascii="Arial" w:hAnsi="Arial" w:cs="Arial"/>
                <w:sz w:val="18"/>
                <w:szCs w:val="18"/>
              </w:rPr>
              <w:t> </w:t>
            </w:r>
          </w:p>
        </w:tc>
        <w:tc>
          <w:tcPr>
            <w:tcW w:w="982" w:type="dxa"/>
            <w:tcBorders>
              <w:top w:val="nil"/>
              <w:left w:val="nil"/>
              <w:bottom w:val="single" w:sz="4" w:space="0" w:color="auto"/>
              <w:right w:val="nil"/>
            </w:tcBorders>
            <w:shd w:val="clear" w:color="FFFFFF" w:fill="FFFFFF"/>
            <w:noWrap/>
            <w:vAlign w:val="bottom"/>
            <w:hideMark/>
          </w:tcPr>
          <w:p w14:paraId="02C50EDF" w14:textId="77777777" w:rsidR="00A43992" w:rsidRDefault="00A43992" w:rsidP="007211E3">
            <w:pPr>
              <w:jc w:val="right"/>
              <w:rPr>
                <w:rFonts w:ascii="Arial" w:hAnsi="Arial" w:cs="Arial"/>
                <w:sz w:val="18"/>
                <w:szCs w:val="18"/>
              </w:rPr>
            </w:pPr>
            <w:r>
              <w:rPr>
                <w:rFonts w:ascii="Arial" w:hAnsi="Arial" w:cs="Arial"/>
                <w:sz w:val="18"/>
                <w:szCs w:val="18"/>
              </w:rPr>
              <w:t>(57,756)</w:t>
            </w:r>
          </w:p>
        </w:tc>
      </w:tr>
      <w:tr w:rsidR="00A43992" w14:paraId="1EA8AE96" w14:textId="77777777" w:rsidTr="007211E3">
        <w:trPr>
          <w:trHeight w:val="120"/>
        </w:trPr>
        <w:tc>
          <w:tcPr>
            <w:tcW w:w="4592" w:type="dxa"/>
            <w:tcBorders>
              <w:top w:val="nil"/>
              <w:left w:val="nil"/>
              <w:bottom w:val="nil"/>
              <w:right w:val="nil"/>
            </w:tcBorders>
            <w:shd w:val="clear" w:color="FFFFFF" w:fill="FFFFFF"/>
            <w:noWrap/>
            <w:vAlign w:val="bottom"/>
            <w:hideMark/>
          </w:tcPr>
          <w:p w14:paraId="6EF7CD38" w14:textId="77777777" w:rsidR="00A43992" w:rsidRDefault="00A43992" w:rsidP="007211E3">
            <w:pPr>
              <w:rPr>
                <w:rFonts w:ascii="Arial" w:hAnsi="Arial" w:cs="Arial"/>
                <w:sz w:val="18"/>
                <w:szCs w:val="18"/>
              </w:rPr>
            </w:pPr>
            <w:r>
              <w:rPr>
                <w:rFonts w:ascii="Arial" w:hAnsi="Arial" w:cs="Arial"/>
                <w:sz w:val="18"/>
                <w:szCs w:val="18"/>
              </w:rPr>
              <w:t> </w:t>
            </w:r>
          </w:p>
        </w:tc>
        <w:tc>
          <w:tcPr>
            <w:tcW w:w="1047" w:type="dxa"/>
            <w:tcBorders>
              <w:top w:val="nil"/>
              <w:left w:val="nil"/>
              <w:bottom w:val="nil"/>
              <w:right w:val="nil"/>
            </w:tcBorders>
            <w:shd w:val="clear" w:color="FFFFFF" w:fill="FFFFFF"/>
            <w:noWrap/>
            <w:vAlign w:val="bottom"/>
            <w:hideMark/>
          </w:tcPr>
          <w:p w14:paraId="3388D2C2" w14:textId="77777777" w:rsidR="00A43992" w:rsidRDefault="00A43992" w:rsidP="007211E3">
            <w:pPr>
              <w:jc w:val="center"/>
              <w:rPr>
                <w:rFonts w:ascii="Arial" w:hAnsi="Arial" w:cs="Arial"/>
                <w:sz w:val="18"/>
                <w:szCs w:val="18"/>
              </w:rPr>
            </w:pPr>
            <w:r>
              <w:rPr>
                <w:rFonts w:ascii="Arial" w:hAnsi="Arial" w:cs="Arial"/>
                <w:sz w:val="18"/>
                <w:szCs w:val="18"/>
              </w:rPr>
              <w:t> </w:t>
            </w:r>
          </w:p>
        </w:tc>
        <w:tc>
          <w:tcPr>
            <w:tcW w:w="1012" w:type="dxa"/>
            <w:tcBorders>
              <w:top w:val="nil"/>
              <w:left w:val="nil"/>
              <w:bottom w:val="nil"/>
              <w:right w:val="nil"/>
            </w:tcBorders>
            <w:shd w:val="clear" w:color="FFFFFF" w:fill="FFFFFF"/>
            <w:noWrap/>
            <w:vAlign w:val="bottom"/>
            <w:hideMark/>
          </w:tcPr>
          <w:p w14:paraId="230A283B" w14:textId="77777777" w:rsidR="00A43992" w:rsidRDefault="00A43992" w:rsidP="007211E3">
            <w:pPr>
              <w:rPr>
                <w:rFonts w:ascii="Arial" w:hAnsi="Arial" w:cs="Arial"/>
                <w:sz w:val="18"/>
                <w:szCs w:val="18"/>
              </w:rPr>
            </w:pPr>
            <w:r>
              <w:rPr>
                <w:rFonts w:ascii="Arial" w:hAnsi="Arial" w:cs="Arial"/>
                <w:sz w:val="18"/>
                <w:szCs w:val="18"/>
              </w:rPr>
              <w:t> </w:t>
            </w:r>
          </w:p>
        </w:tc>
        <w:tc>
          <w:tcPr>
            <w:tcW w:w="236" w:type="dxa"/>
            <w:tcBorders>
              <w:top w:val="nil"/>
              <w:left w:val="nil"/>
              <w:bottom w:val="nil"/>
              <w:right w:val="nil"/>
            </w:tcBorders>
            <w:shd w:val="clear" w:color="FFFFFF" w:fill="FFFFFF"/>
            <w:noWrap/>
            <w:vAlign w:val="bottom"/>
            <w:hideMark/>
          </w:tcPr>
          <w:p w14:paraId="57B62B69" w14:textId="77777777" w:rsidR="00A43992" w:rsidRDefault="00A43992" w:rsidP="007211E3">
            <w:pPr>
              <w:rPr>
                <w:rFonts w:ascii="Arial" w:hAnsi="Arial" w:cs="Arial"/>
                <w:sz w:val="18"/>
                <w:szCs w:val="18"/>
              </w:rPr>
            </w:pPr>
            <w:r>
              <w:rPr>
                <w:rFonts w:ascii="Arial" w:hAnsi="Arial" w:cs="Arial"/>
                <w:sz w:val="18"/>
                <w:szCs w:val="18"/>
              </w:rPr>
              <w:t> </w:t>
            </w:r>
          </w:p>
        </w:tc>
        <w:tc>
          <w:tcPr>
            <w:tcW w:w="982" w:type="dxa"/>
            <w:tcBorders>
              <w:top w:val="nil"/>
              <w:left w:val="nil"/>
              <w:bottom w:val="nil"/>
              <w:right w:val="nil"/>
            </w:tcBorders>
            <w:shd w:val="clear" w:color="FFFFFF" w:fill="FFFFFF"/>
            <w:noWrap/>
            <w:vAlign w:val="bottom"/>
            <w:hideMark/>
          </w:tcPr>
          <w:p w14:paraId="02AC3C08" w14:textId="77777777" w:rsidR="00A43992" w:rsidRDefault="00A43992" w:rsidP="007211E3">
            <w:pPr>
              <w:rPr>
                <w:rFonts w:ascii="Arial" w:hAnsi="Arial" w:cs="Arial"/>
                <w:sz w:val="18"/>
                <w:szCs w:val="18"/>
              </w:rPr>
            </w:pPr>
            <w:r>
              <w:rPr>
                <w:rFonts w:ascii="Arial" w:hAnsi="Arial" w:cs="Arial"/>
                <w:sz w:val="18"/>
                <w:szCs w:val="18"/>
              </w:rPr>
              <w:t> </w:t>
            </w:r>
          </w:p>
        </w:tc>
        <w:tc>
          <w:tcPr>
            <w:tcW w:w="236" w:type="dxa"/>
            <w:tcBorders>
              <w:top w:val="nil"/>
              <w:left w:val="nil"/>
              <w:bottom w:val="nil"/>
              <w:right w:val="nil"/>
            </w:tcBorders>
            <w:shd w:val="clear" w:color="FFFFFF" w:fill="FFFFFF"/>
            <w:noWrap/>
            <w:vAlign w:val="bottom"/>
            <w:hideMark/>
          </w:tcPr>
          <w:p w14:paraId="2487AD10" w14:textId="77777777" w:rsidR="00A43992" w:rsidRDefault="00A43992" w:rsidP="007211E3">
            <w:pPr>
              <w:rPr>
                <w:rFonts w:ascii="Arial" w:hAnsi="Arial" w:cs="Arial"/>
                <w:sz w:val="18"/>
                <w:szCs w:val="18"/>
              </w:rPr>
            </w:pPr>
            <w:r>
              <w:rPr>
                <w:rFonts w:ascii="Arial" w:hAnsi="Arial" w:cs="Arial"/>
                <w:sz w:val="18"/>
                <w:szCs w:val="18"/>
              </w:rPr>
              <w:t> </w:t>
            </w:r>
          </w:p>
        </w:tc>
        <w:tc>
          <w:tcPr>
            <w:tcW w:w="982" w:type="dxa"/>
            <w:tcBorders>
              <w:top w:val="nil"/>
              <w:left w:val="nil"/>
              <w:bottom w:val="nil"/>
              <w:right w:val="nil"/>
            </w:tcBorders>
            <w:shd w:val="clear" w:color="FFFFFF" w:fill="FFFFFF"/>
            <w:noWrap/>
            <w:vAlign w:val="bottom"/>
            <w:hideMark/>
          </w:tcPr>
          <w:p w14:paraId="04071476" w14:textId="77777777" w:rsidR="00A43992" w:rsidRDefault="00A43992" w:rsidP="007211E3">
            <w:pPr>
              <w:rPr>
                <w:rFonts w:ascii="Arial" w:hAnsi="Arial" w:cs="Arial"/>
                <w:sz w:val="18"/>
                <w:szCs w:val="18"/>
              </w:rPr>
            </w:pPr>
            <w:r>
              <w:rPr>
                <w:rFonts w:ascii="Arial" w:hAnsi="Arial" w:cs="Arial"/>
                <w:sz w:val="18"/>
                <w:szCs w:val="18"/>
              </w:rPr>
              <w:t> </w:t>
            </w:r>
          </w:p>
        </w:tc>
      </w:tr>
      <w:tr w:rsidR="00A43992" w14:paraId="76F85F87" w14:textId="77777777" w:rsidTr="007211E3">
        <w:trPr>
          <w:trHeight w:val="255"/>
        </w:trPr>
        <w:tc>
          <w:tcPr>
            <w:tcW w:w="4592" w:type="dxa"/>
            <w:tcBorders>
              <w:top w:val="nil"/>
              <w:left w:val="nil"/>
              <w:bottom w:val="nil"/>
              <w:right w:val="nil"/>
            </w:tcBorders>
            <w:shd w:val="clear" w:color="FFFFFF" w:fill="FFFFFF"/>
            <w:vAlign w:val="bottom"/>
            <w:hideMark/>
          </w:tcPr>
          <w:p w14:paraId="483E816A" w14:textId="77777777" w:rsidR="00A43992" w:rsidRDefault="00A43992" w:rsidP="007211E3">
            <w:pPr>
              <w:rPr>
                <w:rFonts w:ascii="Arial" w:hAnsi="Arial" w:cs="Arial"/>
                <w:b/>
                <w:bCs/>
                <w:sz w:val="18"/>
                <w:szCs w:val="18"/>
              </w:rPr>
            </w:pPr>
            <w:r>
              <w:rPr>
                <w:rFonts w:ascii="Arial" w:hAnsi="Arial" w:cs="Arial"/>
                <w:b/>
                <w:bCs/>
                <w:sz w:val="18"/>
                <w:szCs w:val="18"/>
              </w:rPr>
              <w:t>FINANCING ACTIVITIES</w:t>
            </w:r>
          </w:p>
        </w:tc>
        <w:tc>
          <w:tcPr>
            <w:tcW w:w="1047" w:type="dxa"/>
            <w:tcBorders>
              <w:top w:val="nil"/>
              <w:left w:val="nil"/>
              <w:bottom w:val="nil"/>
              <w:right w:val="nil"/>
            </w:tcBorders>
            <w:shd w:val="clear" w:color="FFFFFF" w:fill="FFFFFF"/>
            <w:noWrap/>
            <w:vAlign w:val="bottom"/>
            <w:hideMark/>
          </w:tcPr>
          <w:p w14:paraId="20F79FF1" w14:textId="77777777" w:rsidR="00A43992" w:rsidRDefault="00A43992" w:rsidP="007211E3">
            <w:pPr>
              <w:jc w:val="center"/>
              <w:rPr>
                <w:rFonts w:ascii="Arial" w:hAnsi="Arial" w:cs="Arial"/>
                <w:sz w:val="18"/>
                <w:szCs w:val="18"/>
              </w:rPr>
            </w:pPr>
            <w:r>
              <w:rPr>
                <w:rFonts w:ascii="Arial" w:hAnsi="Arial" w:cs="Arial"/>
                <w:sz w:val="18"/>
                <w:szCs w:val="18"/>
              </w:rPr>
              <w:t> </w:t>
            </w:r>
          </w:p>
        </w:tc>
        <w:tc>
          <w:tcPr>
            <w:tcW w:w="1012" w:type="dxa"/>
            <w:tcBorders>
              <w:top w:val="nil"/>
              <w:left w:val="nil"/>
              <w:bottom w:val="nil"/>
              <w:right w:val="nil"/>
            </w:tcBorders>
            <w:shd w:val="clear" w:color="FFFFFF" w:fill="FFFFFF"/>
            <w:noWrap/>
            <w:vAlign w:val="bottom"/>
            <w:hideMark/>
          </w:tcPr>
          <w:p w14:paraId="56BFB19F" w14:textId="77777777" w:rsidR="00A43992" w:rsidRDefault="00A43992" w:rsidP="007211E3">
            <w:pPr>
              <w:rPr>
                <w:rFonts w:ascii="Arial" w:hAnsi="Arial" w:cs="Arial"/>
                <w:sz w:val="18"/>
                <w:szCs w:val="18"/>
              </w:rPr>
            </w:pPr>
            <w:r>
              <w:rPr>
                <w:rFonts w:ascii="Arial" w:hAnsi="Arial" w:cs="Arial"/>
                <w:sz w:val="18"/>
                <w:szCs w:val="18"/>
              </w:rPr>
              <w:t> </w:t>
            </w:r>
          </w:p>
        </w:tc>
        <w:tc>
          <w:tcPr>
            <w:tcW w:w="236" w:type="dxa"/>
            <w:tcBorders>
              <w:top w:val="nil"/>
              <w:left w:val="nil"/>
              <w:bottom w:val="nil"/>
              <w:right w:val="nil"/>
            </w:tcBorders>
            <w:shd w:val="clear" w:color="FFFFFF" w:fill="FFFFFF"/>
            <w:noWrap/>
            <w:vAlign w:val="bottom"/>
            <w:hideMark/>
          </w:tcPr>
          <w:p w14:paraId="130E0F22" w14:textId="77777777" w:rsidR="00A43992" w:rsidRDefault="00A43992" w:rsidP="007211E3">
            <w:pPr>
              <w:rPr>
                <w:rFonts w:ascii="Arial" w:hAnsi="Arial" w:cs="Arial"/>
                <w:sz w:val="18"/>
                <w:szCs w:val="18"/>
              </w:rPr>
            </w:pPr>
            <w:r>
              <w:rPr>
                <w:rFonts w:ascii="Arial" w:hAnsi="Arial" w:cs="Arial"/>
                <w:sz w:val="18"/>
                <w:szCs w:val="18"/>
              </w:rPr>
              <w:t> </w:t>
            </w:r>
          </w:p>
        </w:tc>
        <w:tc>
          <w:tcPr>
            <w:tcW w:w="982" w:type="dxa"/>
            <w:tcBorders>
              <w:top w:val="nil"/>
              <w:left w:val="nil"/>
              <w:bottom w:val="nil"/>
              <w:right w:val="nil"/>
            </w:tcBorders>
            <w:shd w:val="clear" w:color="FFFFFF" w:fill="FFFFFF"/>
            <w:noWrap/>
            <w:vAlign w:val="bottom"/>
            <w:hideMark/>
          </w:tcPr>
          <w:p w14:paraId="1D67542F" w14:textId="77777777" w:rsidR="00A43992" w:rsidRDefault="00A43992" w:rsidP="007211E3">
            <w:pPr>
              <w:rPr>
                <w:rFonts w:ascii="Arial" w:hAnsi="Arial" w:cs="Arial"/>
                <w:sz w:val="18"/>
                <w:szCs w:val="18"/>
              </w:rPr>
            </w:pPr>
            <w:r>
              <w:rPr>
                <w:rFonts w:ascii="Arial" w:hAnsi="Arial" w:cs="Arial"/>
                <w:sz w:val="18"/>
                <w:szCs w:val="18"/>
              </w:rPr>
              <w:t> </w:t>
            </w:r>
          </w:p>
        </w:tc>
        <w:tc>
          <w:tcPr>
            <w:tcW w:w="236" w:type="dxa"/>
            <w:tcBorders>
              <w:top w:val="nil"/>
              <w:left w:val="nil"/>
              <w:bottom w:val="nil"/>
              <w:right w:val="nil"/>
            </w:tcBorders>
            <w:shd w:val="clear" w:color="FFFFFF" w:fill="FFFFFF"/>
            <w:noWrap/>
            <w:vAlign w:val="bottom"/>
            <w:hideMark/>
          </w:tcPr>
          <w:p w14:paraId="201557D5" w14:textId="77777777" w:rsidR="00A43992" w:rsidRDefault="00A43992" w:rsidP="007211E3">
            <w:pPr>
              <w:rPr>
                <w:rFonts w:ascii="Arial" w:hAnsi="Arial" w:cs="Arial"/>
                <w:sz w:val="18"/>
                <w:szCs w:val="18"/>
              </w:rPr>
            </w:pPr>
            <w:r>
              <w:rPr>
                <w:rFonts w:ascii="Arial" w:hAnsi="Arial" w:cs="Arial"/>
                <w:sz w:val="18"/>
                <w:szCs w:val="18"/>
              </w:rPr>
              <w:t> </w:t>
            </w:r>
          </w:p>
        </w:tc>
        <w:tc>
          <w:tcPr>
            <w:tcW w:w="982" w:type="dxa"/>
            <w:tcBorders>
              <w:top w:val="nil"/>
              <w:left w:val="nil"/>
              <w:bottom w:val="nil"/>
              <w:right w:val="nil"/>
            </w:tcBorders>
            <w:shd w:val="clear" w:color="FFFFFF" w:fill="FFFFFF"/>
            <w:noWrap/>
            <w:vAlign w:val="bottom"/>
            <w:hideMark/>
          </w:tcPr>
          <w:p w14:paraId="6DD7482A" w14:textId="77777777" w:rsidR="00A43992" w:rsidRDefault="00A43992" w:rsidP="007211E3">
            <w:pPr>
              <w:rPr>
                <w:rFonts w:ascii="Arial" w:hAnsi="Arial" w:cs="Arial"/>
                <w:sz w:val="18"/>
                <w:szCs w:val="18"/>
              </w:rPr>
            </w:pPr>
            <w:r>
              <w:rPr>
                <w:rFonts w:ascii="Arial" w:hAnsi="Arial" w:cs="Arial"/>
                <w:sz w:val="18"/>
                <w:szCs w:val="18"/>
              </w:rPr>
              <w:t> </w:t>
            </w:r>
          </w:p>
        </w:tc>
      </w:tr>
      <w:tr w:rsidR="00A43992" w14:paraId="36ED5296" w14:textId="77777777" w:rsidTr="007211E3">
        <w:trPr>
          <w:trHeight w:val="255"/>
        </w:trPr>
        <w:tc>
          <w:tcPr>
            <w:tcW w:w="4592" w:type="dxa"/>
            <w:tcBorders>
              <w:top w:val="nil"/>
              <w:left w:val="nil"/>
              <w:bottom w:val="nil"/>
              <w:right w:val="nil"/>
            </w:tcBorders>
            <w:shd w:val="clear" w:color="FFFFFF" w:fill="FFFFFF"/>
            <w:vAlign w:val="bottom"/>
            <w:hideMark/>
          </w:tcPr>
          <w:p w14:paraId="3175AA04" w14:textId="77777777" w:rsidR="00A43992" w:rsidRDefault="00A43992" w:rsidP="007211E3">
            <w:pPr>
              <w:rPr>
                <w:rFonts w:ascii="Arial" w:hAnsi="Arial" w:cs="Arial"/>
                <w:b/>
                <w:bCs/>
                <w:sz w:val="18"/>
                <w:szCs w:val="18"/>
              </w:rPr>
            </w:pPr>
            <w:r>
              <w:rPr>
                <w:rFonts w:ascii="Arial" w:hAnsi="Arial" w:cs="Arial"/>
                <w:b/>
                <w:bCs/>
                <w:sz w:val="18"/>
                <w:szCs w:val="18"/>
              </w:rPr>
              <w:t>Cash received</w:t>
            </w:r>
          </w:p>
        </w:tc>
        <w:tc>
          <w:tcPr>
            <w:tcW w:w="1047" w:type="dxa"/>
            <w:tcBorders>
              <w:top w:val="nil"/>
              <w:left w:val="nil"/>
              <w:bottom w:val="nil"/>
              <w:right w:val="nil"/>
            </w:tcBorders>
            <w:shd w:val="clear" w:color="FFFFFF" w:fill="FFFFFF"/>
            <w:noWrap/>
            <w:vAlign w:val="bottom"/>
            <w:hideMark/>
          </w:tcPr>
          <w:p w14:paraId="0A082B8E" w14:textId="77777777" w:rsidR="00A43992" w:rsidRDefault="00A43992" w:rsidP="007211E3">
            <w:pPr>
              <w:jc w:val="center"/>
              <w:rPr>
                <w:rFonts w:ascii="Arial" w:hAnsi="Arial" w:cs="Arial"/>
                <w:sz w:val="18"/>
                <w:szCs w:val="18"/>
              </w:rPr>
            </w:pPr>
            <w:r>
              <w:rPr>
                <w:rFonts w:ascii="Arial" w:hAnsi="Arial" w:cs="Arial"/>
                <w:sz w:val="18"/>
                <w:szCs w:val="18"/>
              </w:rPr>
              <w:t> </w:t>
            </w:r>
          </w:p>
        </w:tc>
        <w:tc>
          <w:tcPr>
            <w:tcW w:w="1012" w:type="dxa"/>
            <w:tcBorders>
              <w:top w:val="nil"/>
              <w:left w:val="nil"/>
              <w:bottom w:val="nil"/>
              <w:right w:val="nil"/>
            </w:tcBorders>
            <w:shd w:val="clear" w:color="FFFFFF" w:fill="FFFFFF"/>
            <w:noWrap/>
            <w:vAlign w:val="bottom"/>
            <w:hideMark/>
          </w:tcPr>
          <w:p w14:paraId="767BA0BA" w14:textId="77777777" w:rsidR="00A43992" w:rsidRDefault="00A43992" w:rsidP="007211E3">
            <w:pPr>
              <w:rPr>
                <w:rFonts w:ascii="Arial" w:hAnsi="Arial" w:cs="Arial"/>
                <w:sz w:val="18"/>
                <w:szCs w:val="18"/>
              </w:rPr>
            </w:pPr>
            <w:r>
              <w:rPr>
                <w:rFonts w:ascii="Arial" w:hAnsi="Arial" w:cs="Arial"/>
                <w:sz w:val="18"/>
                <w:szCs w:val="18"/>
              </w:rPr>
              <w:t> </w:t>
            </w:r>
          </w:p>
        </w:tc>
        <w:tc>
          <w:tcPr>
            <w:tcW w:w="236" w:type="dxa"/>
            <w:tcBorders>
              <w:top w:val="nil"/>
              <w:left w:val="nil"/>
              <w:bottom w:val="nil"/>
              <w:right w:val="nil"/>
            </w:tcBorders>
            <w:shd w:val="clear" w:color="FFFFFF" w:fill="FFFFFF"/>
            <w:noWrap/>
            <w:vAlign w:val="bottom"/>
            <w:hideMark/>
          </w:tcPr>
          <w:p w14:paraId="7FD1FDF9" w14:textId="77777777" w:rsidR="00A43992" w:rsidRDefault="00A43992" w:rsidP="007211E3">
            <w:pPr>
              <w:rPr>
                <w:rFonts w:ascii="Arial" w:hAnsi="Arial" w:cs="Arial"/>
                <w:sz w:val="18"/>
                <w:szCs w:val="18"/>
              </w:rPr>
            </w:pPr>
            <w:r>
              <w:rPr>
                <w:rFonts w:ascii="Arial" w:hAnsi="Arial" w:cs="Arial"/>
                <w:sz w:val="18"/>
                <w:szCs w:val="18"/>
              </w:rPr>
              <w:t> </w:t>
            </w:r>
          </w:p>
        </w:tc>
        <w:tc>
          <w:tcPr>
            <w:tcW w:w="982" w:type="dxa"/>
            <w:tcBorders>
              <w:top w:val="nil"/>
              <w:left w:val="nil"/>
              <w:bottom w:val="nil"/>
              <w:right w:val="nil"/>
            </w:tcBorders>
            <w:shd w:val="clear" w:color="FFFFFF" w:fill="FFFFFF"/>
            <w:noWrap/>
            <w:vAlign w:val="bottom"/>
            <w:hideMark/>
          </w:tcPr>
          <w:p w14:paraId="360923C8" w14:textId="77777777" w:rsidR="00A43992" w:rsidRDefault="00A43992" w:rsidP="007211E3">
            <w:pPr>
              <w:rPr>
                <w:rFonts w:ascii="Arial" w:hAnsi="Arial" w:cs="Arial"/>
                <w:sz w:val="18"/>
                <w:szCs w:val="18"/>
              </w:rPr>
            </w:pPr>
            <w:r>
              <w:rPr>
                <w:rFonts w:ascii="Arial" w:hAnsi="Arial" w:cs="Arial"/>
                <w:sz w:val="18"/>
                <w:szCs w:val="18"/>
              </w:rPr>
              <w:t> </w:t>
            </w:r>
          </w:p>
        </w:tc>
        <w:tc>
          <w:tcPr>
            <w:tcW w:w="236" w:type="dxa"/>
            <w:tcBorders>
              <w:top w:val="nil"/>
              <w:left w:val="nil"/>
              <w:bottom w:val="nil"/>
              <w:right w:val="nil"/>
            </w:tcBorders>
            <w:shd w:val="clear" w:color="FFFFFF" w:fill="FFFFFF"/>
            <w:noWrap/>
            <w:vAlign w:val="bottom"/>
            <w:hideMark/>
          </w:tcPr>
          <w:p w14:paraId="17AE7FE8" w14:textId="77777777" w:rsidR="00A43992" w:rsidRDefault="00A43992" w:rsidP="007211E3">
            <w:pPr>
              <w:rPr>
                <w:rFonts w:ascii="Arial" w:hAnsi="Arial" w:cs="Arial"/>
                <w:sz w:val="18"/>
                <w:szCs w:val="18"/>
              </w:rPr>
            </w:pPr>
            <w:r>
              <w:rPr>
                <w:rFonts w:ascii="Arial" w:hAnsi="Arial" w:cs="Arial"/>
                <w:sz w:val="18"/>
                <w:szCs w:val="18"/>
              </w:rPr>
              <w:t> </w:t>
            </w:r>
          </w:p>
        </w:tc>
        <w:tc>
          <w:tcPr>
            <w:tcW w:w="982" w:type="dxa"/>
            <w:tcBorders>
              <w:top w:val="nil"/>
              <w:left w:val="nil"/>
              <w:bottom w:val="nil"/>
              <w:right w:val="nil"/>
            </w:tcBorders>
            <w:shd w:val="clear" w:color="FFFFFF" w:fill="FFFFFF"/>
            <w:noWrap/>
            <w:vAlign w:val="bottom"/>
            <w:hideMark/>
          </w:tcPr>
          <w:p w14:paraId="1C6DAF5D" w14:textId="77777777" w:rsidR="00A43992" w:rsidRDefault="00A43992" w:rsidP="007211E3">
            <w:pPr>
              <w:rPr>
                <w:rFonts w:ascii="Arial" w:hAnsi="Arial" w:cs="Arial"/>
                <w:sz w:val="18"/>
                <w:szCs w:val="18"/>
              </w:rPr>
            </w:pPr>
            <w:r>
              <w:rPr>
                <w:rFonts w:ascii="Arial" w:hAnsi="Arial" w:cs="Arial"/>
                <w:sz w:val="18"/>
                <w:szCs w:val="18"/>
              </w:rPr>
              <w:t> </w:t>
            </w:r>
          </w:p>
        </w:tc>
      </w:tr>
      <w:tr w:rsidR="00A43992" w14:paraId="15C50C59" w14:textId="77777777" w:rsidTr="007211E3">
        <w:trPr>
          <w:trHeight w:val="255"/>
        </w:trPr>
        <w:tc>
          <w:tcPr>
            <w:tcW w:w="4592" w:type="dxa"/>
            <w:tcBorders>
              <w:top w:val="nil"/>
              <w:left w:val="nil"/>
              <w:bottom w:val="nil"/>
              <w:right w:val="nil"/>
            </w:tcBorders>
            <w:shd w:val="clear" w:color="FFFFFF" w:fill="FFFFFF"/>
            <w:vAlign w:val="bottom"/>
            <w:hideMark/>
          </w:tcPr>
          <w:p w14:paraId="49860920" w14:textId="77777777" w:rsidR="00A43992" w:rsidRDefault="00A43992" w:rsidP="007211E3">
            <w:pPr>
              <w:ind w:firstLineChars="100" w:firstLine="180"/>
              <w:rPr>
                <w:rFonts w:ascii="Arial" w:hAnsi="Arial" w:cs="Arial"/>
                <w:sz w:val="18"/>
                <w:szCs w:val="18"/>
              </w:rPr>
            </w:pPr>
            <w:r>
              <w:rPr>
                <w:rFonts w:ascii="Arial" w:hAnsi="Arial" w:cs="Arial"/>
                <w:sz w:val="18"/>
                <w:szCs w:val="18"/>
              </w:rPr>
              <w:t>Corporate Commonwealth entity payment</w:t>
            </w:r>
          </w:p>
        </w:tc>
        <w:tc>
          <w:tcPr>
            <w:tcW w:w="1047" w:type="dxa"/>
            <w:tcBorders>
              <w:top w:val="nil"/>
              <w:left w:val="nil"/>
              <w:bottom w:val="nil"/>
              <w:right w:val="nil"/>
            </w:tcBorders>
            <w:shd w:val="clear" w:color="FFFFFF" w:fill="FFFFFF"/>
            <w:noWrap/>
            <w:vAlign w:val="bottom"/>
            <w:hideMark/>
          </w:tcPr>
          <w:p w14:paraId="3618F927" w14:textId="77777777" w:rsidR="00A43992" w:rsidRDefault="00A43992" w:rsidP="007211E3">
            <w:pPr>
              <w:jc w:val="center"/>
              <w:rPr>
                <w:rFonts w:ascii="Arial" w:hAnsi="Arial" w:cs="Arial"/>
                <w:sz w:val="18"/>
                <w:szCs w:val="18"/>
              </w:rPr>
            </w:pPr>
            <w:r>
              <w:rPr>
                <w:rFonts w:ascii="Arial" w:hAnsi="Arial" w:cs="Arial"/>
                <w:sz w:val="18"/>
                <w:szCs w:val="18"/>
              </w:rPr>
              <w:t> </w:t>
            </w:r>
          </w:p>
        </w:tc>
        <w:tc>
          <w:tcPr>
            <w:tcW w:w="1012" w:type="dxa"/>
            <w:tcBorders>
              <w:top w:val="nil"/>
              <w:left w:val="nil"/>
              <w:bottom w:val="nil"/>
              <w:right w:val="nil"/>
            </w:tcBorders>
            <w:shd w:val="clear" w:color="FFFFFF" w:fill="FFFFFF"/>
            <w:noWrap/>
            <w:vAlign w:val="bottom"/>
            <w:hideMark/>
          </w:tcPr>
          <w:p w14:paraId="771B0F8D" w14:textId="77777777" w:rsidR="00A43992" w:rsidRDefault="00A43992" w:rsidP="007211E3">
            <w:pPr>
              <w:jc w:val="right"/>
              <w:rPr>
                <w:rFonts w:ascii="Arial" w:hAnsi="Arial" w:cs="Arial"/>
                <w:b/>
                <w:bCs/>
                <w:sz w:val="18"/>
                <w:szCs w:val="18"/>
              </w:rPr>
            </w:pPr>
            <w:r>
              <w:rPr>
                <w:rFonts w:ascii="Arial" w:hAnsi="Arial" w:cs="Arial"/>
                <w:b/>
                <w:bCs/>
                <w:sz w:val="18"/>
                <w:szCs w:val="18"/>
              </w:rPr>
              <w:t>57,756</w:t>
            </w:r>
          </w:p>
        </w:tc>
        <w:tc>
          <w:tcPr>
            <w:tcW w:w="236" w:type="dxa"/>
            <w:tcBorders>
              <w:top w:val="nil"/>
              <w:left w:val="nil"/>
              <w:bottom w:val="nil"/>
              <w:right w:val="nil"/>
            </w:tcBorders>
            <w:shd w:val="clear" w:color="FFFFFF" w:fill="FFFFFF"/>
            <w:noWrap/>
            <w:vAlign w:val="bottom"/>
            <w:hideMark/>
          </w:tcPr>
          <w:p w14:paraId="643091E0" w14:textId="77777777" w:rsidR="00A43992" w:rsidRDefault="00A43992" w:rsidP="007211E3">
            <w:pPr>
              <w:rPr>
                <w:rFonts w:ascii="Arial" w:hAnsi="Arial" w:cs="Arial"/>
                <w:sz w:val="18"/>
                <w:szCs w:val="18"/>
              </w:rPr>
            </w:pPr>
            <w:r>
              <w:rPr>
                <w:rFonts w:ascii="Arial" w:hAnsi="Arial" w:cs="Arial"/>
                <w:sz w:val="18"/>
                <w:szCs w:val="18"/>
              </w:rPr>
              <w:t> </w:t>
            </w:r>
          </w:p>
        </w:tc>
        <w:tc>
          <w:tcPr>
            <w:tcW w:w="982" w:type="dxa"/>
            <w:tcBorders>
              <w:top w:val="nil"/>
              <w:left w:val="nil"/>
              <w:bottom w:val="nil"/>
              <w:right w:val="nil"/>
            </w:tcBorders>
            <w:shd w:val="clear" w:color="FFFFFF" w:fill="FFFFFF"/>
            <w:noWrap/>
            <w:vAlign w:val="bottom"/>
            <w:hideMark/>
          </w:tcPr>
          <w:p w14:paraId="36592FBE" w14:textId="77777777" w:rsidR="00A43992" w:rsidRDefault="00A43992" w:rsidP="007211E3">
            <w:pPr>
              <w:jc w:val="right"/>
              <w:rPr>
                <w:rFonts w:ascii="Arial" w:hAnsi="Arial" w:cs="Arial"/>
                <w:sz w:val="18"/>
                <w:szCs w:val="18"/>
              </w:rPr>
            </w:pPr>
            <w:r>
              <w:rPr>
                <w:rFonts w:ascii="Arial" w:hAnsi="Arial" w:cs="Arial"/>
                <w:sz w:val="18"/>
                <w:szCs w:val="18"/>
              </w:rPr>
              <w:t xml:space="preserve">23,349 </w:t>
            </w:r>
          </w:p>
        </w:tc>
        <w:tc>
          <w:tcPr>
            <w:tcW w:w="236" w:type="dxa"/>
            <w:tcBorders>
              <w:top w:val="nil"/>
              <w:left w:val="nil"/>
              <w:bottom w:val="nil"/>
              <w:right w:val="nil"/>
            </w:tcBorders>
            <w:shd w:val="clear" w:color="FFFFFF" w:fill="FFFFFF"/>
            <w:noWrap/>
            <w:vAlign w:val="bottom"/>
            <w:hideMark/>
          </w:tcPr>
          <w:p w14:paraId="16895F0C" w14:textId="77777777" w:rsidR="00A43992" w:rsidRDefault="00A43992" w:rsidP="007211E3">
            <w:pPr>
              <w:rPr>
                <w:rFonts w:ascii="Arial" w:hAnsi="Arial" w:cs="Arial"/>
                <w:sz w:val="18"/>
                <w:szCs w:val="18"/>
              </w:rPr>
            </w:pPr>
            <w:r>
              <w:rPr>
                <w:rFonts w:ascii="Arial" w:hAnsi="Arial" w:cs="Arial"/>
                <w:sz w:val="18"/>
                <w:szCs w:val="18"/>
              </w:rPr>
              <w:t> </w:t>
            </w:r>
          </w:p>
        </w:tc>
        <w:tc>
          <w:tcPr>
            <w:tcW w:w="982" w:type="dxa"/>
            <w:tcBorders>
              <w:top w:val="nil"/>
              <w:left w:val="nil"/>
              <w:bottom w:val="nil"/>
              <w:right w:val="nil"/>
            </w:tcBorders>
            <w:shd w:val="clear" w:color="FFFFFF" w:fill="FFFFFF"/>
            <w:noWrap/>
            <w:vAlign w:val="bottom"/>
            <w:hideMark/>
          </w:tcPr>
          <w:p w14:paraId="2F100CBA" w14:textId="77777777" w:rsidR="00A43992" w:rsidRDefault="00A43992" w:rsidP="007211E3">
            <w:pPr>
              <w:jc w:val="right"/>
              <w:rPr>
                <w:rFonts w:ascii="Arial" w:hAnsi="Arial" w:cs="Arial"/>
                <w:sz w:val="18"/>
                <w:szCs w:val="18"/>
              </w:rPr>
            </w:pPr>
            <w:r>
              <w:rPr>
                <w:rFonts w:ascii="Arial" w:hAnsi="Arial" w:cs="Arial"/>
                <w:sz w:val="18"/>
                <w:szCs w:val="18"/>
              </w:rPr>
              <w:t xml:space="preserve">57,756 </w:t>
            </w:r>
          </w:p>
        </w:tc>
      </w:tr>
      <w:tr w:rsidR="00A43992" w14:paraId="0DA635ED" w14:textId="77777777" w:rsidTr="007211E3">
        <w:trPr>
          <w:trHeight w:val="255"/>
        </w:trPr>
        <w:tc>
          <w:tcPr>
            <w:tcW w:w="4592" w:type="dxa"/>
            <w:tcBorders>
              <w:top w:val="nil"/>
              <w:left w:val="nil"/>
              <w:bottom w:val="nil"/>
              <w:right w:val="nil"/>
            </w:tcBorders>
            <w:shd w:val="clear" w:color="FFFFFF" w:fill="FFFFFF"/>
            <w:vAlign w:val="bottom"/>
            <w:hideMark/>
          </w:tcPr>
          <w:p w14:paraId="43775E77" w14:textId="77777777" w:rsidR="00A43992" w:rsidRDefault="00A43992" w:rsidP="007211E3">
            <w:pPr>
              <w:rPr>
                <w:rFonts w:ascii="Arial" w:hAnsi="Arial" w:cs="Arial"/>
                <w:b/>
                <w:bCs/>
                <w:sz w:val="18"/>
                <w:szCs w:val="18"/>
              </w:rPr>
            </w:pPr>
            <w:r>
              <w:rPr>
                <w:rFonts w:ascii="Arial" w:hAnsi="Arial" w:cs="Arial"/>
                <w:b/>
                <w:bCs/>
                <w:sz w:val="18"/>
                <w:szCs w:val="18"/>
              </w:rPr>
              <w:t>Total cash received</w:t>
            </w:r>
          </w:p>
        </w:tc>
        <w:tc>
          <w:tcPr>
            <w:tcW w:w="1047" w:type="dxa"/>
            <w:tcBorders>
              <w:top w:val="nil"/>
              <w:left w:val="nil"/>
              <w:bottom w:val="nil"/>
              <w:right w:val="nil"/>
            </w:tcBorders>
            <w:shd w:val="clear" w:color="FFFFFF" w:fill="FFFFFF"/>
            <w:noWrap/>
            <w:vAlign w:val="bottom"/>
            <w:hideMark/>
          </w:tcPr>
          <w:p w14:paraId="556FD48B" w14:textId="77777777" w:rsidR="00A43992" w:rsidRDefault="00A43992" w:rsidP="007211E3">
            <w:pPr>
              <w:jc w:val="center"/>
              <w:rPr>
                <w:rFonts w:ascii="Arial" w:hAnsi="Arial" w:cs="Arial"/>
                <w:sz w:val="18"/>
                <w:szCs w:val="18"/>
              </w:rPr>
            </w:pPr>
            <w:r>
              <w:rPr>
                <w:rFonts w:ascii="Arial" w:hAnsi="Arial" w:cs="Arial"/>
                <w:sz w:val="18"/>
                <w:szCs w:val="18"/>
              </w:rPr>
              <w:t> </w:t>
            </w:r>
          </w:p>
        </w:tc>
        <w:tc>
          <w:tcPr>
            <w:tcW w:w="1012" w:type="dxa"/>
            <w:tcBorders>
              <w:top w:val="single" w:sz="4" w:space="0" w:color="auto"/>
              <w:left w:val="nil"/>
              <w:bottom w:val="single" w:sz="4" w:space="0" w:color="auto"/>
              <w:right w:val="nil"/>
            </w:tcBorders>
            <w:shd w:val="clear" w:color="FFFFFF" w:fill="FFFFFF"/>
            <w:noWrap/>
            <w:vAlign w:val="bottom"/>
            <w:hideMark/>
          </w:tcPr>
          <w:p w14:paraId="3E39C61E" w14:textId="77777777" w:rsidR="00A43992" w:rsidRDefault="00A43992" w:rsidP="007211E3">
            <w:pPr>
              <w:jc w:val="right"/>
              <w:rPr>
                <w:rFonts w:ascii="Arial" w:hAnsi="Arial" w:cs="Arial"/>
                <w:b/>
                <w:bCs/>
                <w:sz w:val="18"/>
                <w:szCs w:val="18"/>
              </w:rPr>
            </w:pPr>
            <w:r>
              <w:rPr>
                <w:rFonts w:ascii="Arial" w:hAnsi="Arial" w:cs="Arial"/>
                <w:b/>
                <w:bCs/>
                <w:sz w:val="18"/>
                <w:szCs w:val="18"/>
              </w:rPr>
              <w:t>57,756</w:t>
            </w:r>
          </w:p>
        </w:tc>
        <w:tc>
          <w:tcPr>
            <w:tcW w:w="236" w:type="dxa"/>
            <w:tcBorders>
              <w:top w:val="nil"/>
              <w:left w:val="nil"/>
              <w:bottom w:val="nil"/>
              <w:right w:val="nil"/>
            </w:tcBorders>
            <w:shd w:val="clear" w:color="FFFFFF" w:fill="FFFFFF"/>
            <w:noWrap/>
            <w:vAlign w:val="bottom"/>
            <w:hideMark/>
          </w:tcPr>
          <w:p w14:paraId="49723CC6" w14:textId="77777777" w:rsidR="00A43992" w:rsidRDefault="00A43992" w:rsidP="007211E3">
            <w:pPr>
              <w:rPr>
                <w:rFonts w:ascii="Arial" w:hAnsi="Arial" w:cs="Arial"/>
                <w:sz w:val="18"/>
                <w:szCs w:val="18"/>
              </w:rPr>
            </w:pPr>
            <w:r>
              <w:rPr>
                <w:rFonts w:ascii="Arial" w:hAnsi="Arial" w:cs="Arial"/>
                <w:sz w:val="18"/>
                <w:szCs w:val="18"/>
              </w:rPr>
              <w:t> </w:t>
            </w:r>
          </w:p>
        </w:tc>
        <w:tc>
          <w:tcPr>
            <w:tcW w:w="982" w:type="dxa"/>
            <w:tcBorders>
              <w:top w:val="single" w:sz="4" w:space="0" w:color="auto"/>
              <w:left w:val="nil"/>
              <w:bottom w:val="single" w:sz="4" w:space="0" w:color="auto"/>
              <w:right w:val="nil"/>
            </w:tcBorders>
            <w:shd w:val="clear" w:color="FFFFFF" w:fill="FFFFFF"/>
            <w:noWrap/>
            <w:vAlign w:val="bottom"/>
            <w:hideMark/>
          </w:tcPr>
          <w:p w14:paraId="3E924388" w14:textId="77777777" w:rsidR="00A43992" w:rsidRDefault="00A43992" w:rsidP="007211E3">
            <w:pPr>
              <w:jc w:val="right"/>
              <w:rPr>
                <w:rFonts w:ascii="Arial" w:hAnsi="Arial" w:cs="Arial"/>
                <w:sz w:val="18"/>
                <w:szCs w:val="18"/>
              </w:rPr>
            </w:pPr>
            <w:r>
              <w:rPr>
                <w:rFonts w:ascii="Arial" w:hAnsi="Arial" w:cs="Arial"/>
                <w:sz w:val="18"/>
                <w:szCs w:val="18"/>
              </w:rPr>
              <w:t>23,349</w:t>
            </w:r>
          </w:p>
        </w:tc>
        <w:tc>
          <w:tcPr>
            <w:tcW w:w="236" w:type="dxa"/>
            <w:tcBorders>
              <w:top w:val="nil"/>
              <w:left w:val="nil"/>
              <w:bottom w:val="nil"/>
              <w:right w:val="nil"/>
            </w:tcBorders>
            <w:shd w:val="clear" w:color="FFFFFF" w:fill="FFFFFF"/>
            <w:noWrap/>
            <w:vAlign w:val="bottom"/>
            <w:hideMark/>
          </w:tcPr>
          <w:p w14:paraId="0C359CD0" w14:textId="77777777" w:rsidR="00A43992" w:rsidRDefault="00A43992" w:rsidP="007211E3">
            <w:pPr>
              <w:rPr>
                <w:rFonts w:ascii="Arial" w:hAnsi="Arial" w:cs="Arial"/>
                <w:sz w:val="18"/>
                <w:szCs w:val="18"/>
              </w:rPr>
            </w:pPr>
            <w:r>
              <w:rPr>
                <w:rFonts w:ascii="Arial" w:hAnsi="Arial" w:cs="Arial"/>
                <w:sz w:val="18"/>
                <w:szCs w:val="18"/>
              </w:rPr>
              <w:t> </w:t>
            </w:r>
          </w:p>
        </w:tc>
        <w:tc>
          <w:tcPr>
            <w:tcW w:w="982" w:type="dxa"/>
            <w:tcBorders>
              <w:top w:val="single" w:sz="4" w:space="0" w:color="auto"/>
              <w:left w:val="nil"/>
              <w:bottom w:val="single" w:sz="4" w:space="0" w:color="auto"/>
              <w:right w:val="nil"/>
            </w:tcBorders>
            <w:shd w:val="clear" w:color="FFFFFF" w:fill="FFFFFF"/>
            <w:noWrap/>
            <w:vAlign w:val="bottom"/>
            <w:hideMark/>
          </w:tcPr>
          <w:p w14:paraId="7FCD9A52" w14:textId="77777777" w:rsidR="00A43992" w:rsidRDefault="00A43992" w:rsidP="007211E3">
            <w:pPr>
              <w:jc w:val="right"/>
              <w:rPr>
                <w:rFonts w:ascii="Arial" w:hAnsi="Arial" w:cs="Arial"/>
                <w:sz w:val="18"/>
                <w:szCs w:val="18"/>
              </w:rPr>
            </w:pPr>
            <w:r>
              <w:rPr>
                <w:rFonts w:ascii="Arial" w:hAnsi="Arial" w:cs="Arial"/>
                <w:sz w:val="18"/>
                <w:szCs w:val="18"/>
              </w:rPr>
              <w:t>57,756</w:t>
            </w:r>
          </w:p>
        </w:tc>
      </w:tr>
      <w:tr w:rsidR="00A43992" w14:paraId="44433321" w14:textId="77777777" w:rsidTr="007211E3">
        <w:trPr>
          <w:trHeight w:val="255"/>
        </w:trPr>
        <w:tc>
          <w:tcPr>
            <w:tcW w:w="4592" w:type="dxa"/>
            <w:tcBorders>
              <w:top w:val="nil"/>
              <w:left w:val="nil"/>
              <w:bottom w:val="nil"/>
              <w:right w:val="nil"/>
            </w:tcBorders>
            <w:shd w:val="clear" w:color="FFFFFF" w:fill="FFFFFF"/>
            <w:vAlign w:val="bottom"/>
            <w:hideMark/>
          </w:tcPr>
          <w:p w14:paraId="3C6F7B92" w14:textId="77777777" w:rsidR="00A43992" w:rsidRDefault="00A43992" w:rsidP="007211E3">
            <w:pPr>
              <w:rPr>
                <w:rFonts w:ascii="Arial" w:hAnsi="Arial" w:cs="Arial"/>
                <w:b/>
                <w:bCs/>
                <w:sz w:val="18"/>
                <w:szCs w:val="18"/>
              </w:rPr>
            </w:pPr>
            <w:r>
              <w:rPr>
                <w:rFonts w:ascii="Arial" w:hAnsi="Arial" w:cs="Arial"/>
                <w:b/>
                <w:bCs/>
                <w:sz w:val="18"/>
                <w:szCs w:val="18"/>
              </w:rPr>
              <w:t>Cash used</w:t>
            </w:r>
          </w:p>
        </w:tc>
        <w:tc>
          <w:tcPr>
            <w:tcW w:w="1047" w:type="dxa"/>
            <w:tcBorders>
              <w:top w:val="nil"/>
              <w:left w:val="nil"/>
              <w:bottom w:val="nil"/>
              <w:right w:val="nil"/>
            </w:tcBorders>
            <w:shd w:val="clear" w:color="FFFFFF" w:fill="FFFFFF"/>
            <w:noWrap/>
            <w:vAlign w:val="bottom"/>
            <w:hideMark/>
          </w:tcPr>
          <w:p w14:paraId="1BE46BE7" w14:textId="77777777" w:rsidR="00A43992" w:rsidRDefault="00A43992" w:rsidP="007211E3">
            <w:pPr>
              <w:jc w:val="center"/>
              <w:rPr>
                <w:rFonts w:ascii="Arial" w:hAnsi="Arial" w:cs="Arial"/>
                <w:sz w:val="18"/>
                <w:szCs w:val="18"/>
              </w:rPr>
            </w:pPr>
            <w:r>
              <w:rPr>
                <w:rFonts w:ascii="Arial" w:hAnsi="Arial" w:cs="Arial"/>
                <w:sz w:val="18"/>
                <w:szCs w:val="18"/>
              </w:rPr>
              <w:t> </w:t>
            </w:r>
          </w:p>
        </w:tc>
        <w:tc>
          <w:tcPr>
            <w:tcW w:w="1012" w:type="dxa"/>
            <w:tcBorders>
              <w:top w:val="nil"/>
              <w:left w:val="nil"/>
              <w:bottom w:val="nil"/>
              <w:right w:val="nil"/>
            </w:tcBorders>
            <w:shd w:val="clear" w:color="FFFFFF" w:fill="FFFFFF"/>
            <w:noWrap/>
            <w:vAlign w:val="bottom"/>
            <w:hideMark/>
          </w:tcPr>
          <w:p w14:paraId="250C4AEC" w14:textId="77777777" w:rsidR="00A43992" w:rsidRDefault="00A43992" w:rsidP="007211E3">
            <w:pPr>
              <w:rPr>
                <w:rFonts w:ascii="Arial" w:hAnsi="Arial" w:cs="Arial"/>
                <w:sz w:val="18"/>
                <w:szCs w:val="18"/>
              </w:rPr>
            </w:pPr>
            <w:r>
              <w:rPr>
                <w:rFonts w:ascii="Arial" w:hAnsi="Arial" w:cs="Arial"/>
                <w:sz w:val="18"/>
                <w:szCs w:val="18"/>
              </w:rPr>
              <w:t> </w:t>
            </w:r>
          </w:p>
        </w:tc>
        <w:tc>
          <w:tcPr>
            <w:tcW w:w="236" w:type="dxa"/>
            <w:tcBorders>
              <w:top w:val="nil"/>
              <w:left w:val="nil"/>
              <w:bottom w:val="nil"/>
              <w:right w:val="nil"/>
            </w:tcBorders>
            <w:shd w:val="clear" w:color="FFFFFF" w:fill="FFFFFF"/>
            <w:noWrap/>
            <w:vAlign w:val="bottom"/>
            <w:hideMark/>
          </w:tcPr>
          <w:p w14:paraId="63A2F694" w14:textId="77777777" w:rsidR="00A43992" w:rsidRDefault="00A43992" w:rsidP="007211E3">
            <w:pPr>
              <w:rPr>
                <w:rFonts w:ascii="Arial" w:hAnsi="Arial" w:cs="Arial"/>
                <w:sz w:val="18"/>
                <w:szCs w:val="18"/>
              </w:rPr>
            </w:pPr>
            <w:r>
              <w:rPr>
                <w:rFonts w:ascii="Arial" w:hAnsi="Arial" w:cs="Arial"/>
                <w:sz w:val="18"/>
                <w:szCs w:val="18"/>
              </w:rPr>
              <w:t> </w:t>
            </w:r>
          </w:p>
        </w:tc>
        <w:tc>
          <w:tcPr>
            <w:tcW w:w="982" w:type="dxa"/>
            <w:tcBorders>
              <w:top w:val="nil"/>
              <w:left w:val="nil"/>
              <w:bottom w:val="nil"/>
              <w:right w:val="nil"/>
            </w:tcBorders>
            <w:shd w:val="clear" w:color="FFFFFF" w:fill="FFFFFF"/>
            <w:noWrap/>
            <w:vAlign w:val="bottom"/>
            <w:hideMark/>
          </w:tcPr>
          <w:p w14:paraId="7DDA8A77" w14:textId="77777777" w:rsidR="00A43992" w:rsidRDefault="00A43992" w:rsidP="007211E3">
            <w:pPr>
              <w:rPr>
                <w:rFonts w:ascii="Arial" w:hAnsi="Arial" w:cs="Arial"/>
                <w:sz w:val="18"/>
                <w:szCs w:val="18"/>
              </w:rPr>
            </w:pPr>
            <w:r>
              <w:rPr>
                <w:rFonts w:ascii="Arial" w:hAnsi="Arial" w:cs="Arial"/>
                <w:sz w:val="18"/>
                <w:szCs w:val="18"/>
              </w:rPr>
              <w:t> </w:t>
            </w:r>
          </w:p>
        </w:tc>
        <w:tc>
          <w:tcPr>
            <w:tcW w:w="236" w:type="dxa"/>
            <w:tcBorders>
              <w:top w:val="nil"/>
              <w:left w:val="nil"/>
              <w:bottom w:val="nil"/>
              <w:right w:val="nil"/>
            </w:tcBorders>
            <w:shd w:val="clear" w:color="FFFFFF" w:fill="FFFFFF"/>
            <w:noWrap/>
            <w:vAlign w:val="bottom"/>
            <w:hideMark/>
          </w:tcPr>
          <w:p w14:paraId="43FEFD5A" w14:textId="77777777" w:rsidR="00A43992" w:rsidRDefault="00A43992" w:rsidP="007211E3">
            <w:pPr>
              <w:rPr>
                <w:rFonts w:ascii="Arial" w:hAnsi="Arial" w:cs="Arial"/>
                <w:sz w:val="18"/>
                <w:szCs w:val="18"/>
              </w:rPr>
            </w:pPr>
            <w:r>
              <w:rPr>
                <w:rFonts w:ascii="Arial" w:hAnsi="Arial" w:cs="Arial"/>
                <w:sz w:val="18"/>
                <w:szCs w:val="18"/>
              </w:rPr>
              <w:t> </w:t>
            </w:r>
          </w:p>
        </w:tc>
        <w:tc>
          <w:tcPr>
            <w:tcW w:w="982" w:type="dxa"/>
            <w:tcBorders>
              <w:top w:val="nil"/>
              <w:left w:val="nil"/>
              <w:bottom w:val="nil"/>
              <w:right w:val="nil"/>
            </w:tcBorders>
            <w:shd w:val="clear" w:color="FFFFFF" w:fill="FFFFFF"/>
            <w:noWrap/>
            <w:vAlign w:val="bottom"/>
            <w:hideMark/>
          </w:tcPr>
          <w:p w14:paraId="284A44EE" w14:textId="77777777" w:rsidR="00A43992" w:rsidRDefault="00A43992" w:rsidP="007211E3">
            <w:pPr>
              <w:rPr>
                <w:rFonts w:ascii="Arial" w:hAnsi="Arial" w:cs="Arial"/>
                <w:sz w:val="18"/>
                <w:szCs w:val="18"/>
              </w:rPr>
            </w:pPr>
            <w:r>
              <w:rPr>
                <w:rFonts w:ascii="Arial" w:hAnsi="Arial" w:cs="Arial"/>
                <w:sz w:val="18"/>
                <w:szCs w:val="18"/>
              </w:rPr>
              <w:t> </w:t>
            </w:r>
          </w:p>
        </w:tc>
      </w:tr>
      <w:tr w:rsidR="00A43992" w14:paraId="688D34CC" w14:textId="77777777" w:rsidTr="007211E3">
        <w:trPr>
          <w:trHeight w:val="255"/>
        </w:trPr>
        <w:tc>
          <w:tcPr>
            <w:tcW w:w="4592" w:type="dxa"/>
            <w:tcBorders>
              <w:top w:val="nil"/>
              <w:left w:val="nil"/>
              <w:bottom w:val="nil"/>
              <w:right w:val="nil"/>
            </w:tcBorders>
            <w:shd w:val="clear" w:color="FFFFFF" w:fill="FFFFFF"/>
            <w:vAlign w:val="bottom"/>
            <w:hideMark/>
          </w:tcPr>
          <w:p w14:paraId="610D5C91" w14:textId="77777777" w:rsidR="00A43992" w:rsidRDefault="00A43992" w:rsidP="007211E3">
            <w:pPr>
              <w:ind w:firstLineChars="100" w:firstLine="180"/>
              <w:rPr>
                <w:rFonts w:ascii="Arial" w:hAnsi="Arial" w:cs="Arial"/>
                <w:sz w:val="18"/>
                <w:szCs w:val="18"/>
              </w:rPr>
            </w:pPr>
            <w:r>
              <w:rPr>
                <w:rFonts w:ascii="Arial" w:hAnsi="Arial" w:cs="Arial"/>
                <w:sz w:val="18"/>
                <w:szCs w:val="18"/>
              </w:rPr>
              <w:t>Transfer to other entities</w:t>
            </w:r>
          </w:p>
        </w:tc>
        <w:tc>
          <w:tcPr>
            <w:tcW w:w="1047" w:type="dxa"/>
            <w:tcBorders>
              <w:top w:val="nil"/>
              <w:left w:val="nil"/>
              <w:bottom w:val="nil"/>
              <w:right w:val="nil"/>
            </w:tcBorders>
            <w:shd w:val="clear" w:color="FFFFFF" w:fill="FFFFFF"/>
            <w:noWrap/>
            <w:vAlign w:val="bottom"/>
            <w:hideMark/>
          </w:tcPr>
          <w:p w14:paraId="58A50FE0" w14:textId="77777777" w:rsidR="00A43992" w:rsidRDefault="00A43992" w:rsidP="007211E3">
            <w:pPr>
              <w:jc w:val="center"/>
              <w:rPr>
                <w:rFonts w:ascii="Arial" w:hAnsi="Arial" w:cs="Arial"/>
                <w:sz w:val="18"/>
                <w:szCs w:val="18"/>
              </w:rPr>
            </w:pPr>
            <w:r>
              <w:rPr>
                <w:rFonts w:ascii="Arial" w:hAnsi="Arial" w:cs="Arial"/>
                <w:sz w:val="18"/>
                <w:szCs w:val="18"/>
              </w:rPr>
              <w:t> </w:t>
            </w:r>
          </w:p>
        </w:tc>
        <w:tc>
          <w:tcPr>
            <w:tcW w:w="1012" w:type="dxa"/>
            <w:tcBorders>
              <w:top w:val="nil"/>
              <w:left w:val="nil"/>
              <w:bottom w:val="nil"/>
              <w:right w:val="nil"/>
            </w:tcBorders>
            <w:shd w:val="clear" w:color="FFFFFF" w:fill="FFFFFF"/>
            <w:noWrap/>
            <w:vAlign w:val="bottom"/>
            <w:hideMark/>
          </w:tcPr>
          <w:p w14:paraId="4F5EDF1D" w14:textId="77777777" w:rsidR="00A43992" w:rsidRDefault="00A43992" w:rsidP="007211E3">
            <w:pPr>
              <w:jc w:val="right"/>
              <w:rPr>
                <w:rFonts w:ascii="Arial" w:hAnsi="Arial" w:cs="Arial"/>
                <w:b/>
                <w:bCs/>
                <w:sz w:val="18"/>
                <w:szCs w:val="18"/>
              </w:rPr>
            </w:pPr>
            <w:r>
              <w:rPr>
                <w:rFonts w:ascii="Arial" w:hAnsi="Arial" w:cs="Arial"/>
                <w:b/>
                <w:bCs/>
                <w:sz w:val="18"/>
                <w:szCs w:val="18"/>
              </w:rPr>
              <w:t>-</w:t>
            </w:r>
          </w:p>
        </w:tc>
        <w:tc>
          <w:tcPr>
            <w:tcW w:w="236" w:type="dxa"/>
            <w:tcBorders>
              <w:top w:val="nil"/>
              <w:left w:val="nil"/>
              <w:bottom w:val="nil"/>
              <w:right w:val="nil"/>
            </w:tcBorders>
            <w:shd w:val="clear" w:color="FFFFFF" w:fill="FFFFFF"/>
            <w:noWrap/>
            <w:vAlign w:val="bottom"/>
            <w:hideMark/>
          </w:tcPr>
          <w:p w14:paraId="05A2341B" w14:textId="77777777" w:rsidR="00A43992" w:rsidRDefault="00A43992" w:rsidP="007211E3">
            <w:pPr>
              <w:rPr>
                <w:rFonts w:ascii="Arial" w:hAnsi="Arial" w:cs="Arial"/>
                <w:sz w:val="18"/>
                <w:szCs w:val="18"/>
              </w:rPr>
            </w:pPr>
            <w:r>
              <w:rPr>
                <w:rFonts w:ascii="Arial" w:hAnsi="Arial" w:cs="Arial"/>
                <w:sz w:val="18"/>
                <w:szCs w:val="18"/>
              </w:rPr>
              <w:t> </w:t>
            </w:r>
          </w:p>
        </w:tc>
        <w:tc>
          <w:tcPr>
            <w:tcW w:w="982" w:type="dxa"/>
            <w:tcBorders>
              <w:top w:val="nil"/>
              <w:left w:val="nil"/>
              <w:bottom w:val="nil"/>
              <w:right w:val="nil"/>
            </w:tcBorders>
            <w:shd w:val="clear" w:color="FFFFFF" w:fill="FFFFFF"/>
            <w:noWrap/>
            <w:vAlign w:val="bottom"/>
            <w:hideMark/>
          </w:tcPr>
          <w:p w14:paraId="3AB597BF" w14:textId="77777777" w:rsidR="00A43992" w:rsidRDefault="00A43992" w:rsidP="007211E3">
            <w:pPr>
              <w:jc w:val="right"/>
              <w:rPr>
                <w:rFonts w:ascii="Arial" w:hAnsi="Arial" w:cs="Arial"/>
                <w:sz w:val="18"/>
                <w:szCs w:val="18"/>
              </w:rPr>
            </w:pPr>
            <w:r>
              <w:rPr>
                <w:rFonts w:ascii="Arial" w:hAnsi="Arial" w:cs="Arial"/>
                <w:sz w:val="18"/>
                <w:szCs w:val="18"/>
              </w:rPr>
              <w:t xml:space="preserve">30,259 </w:t>
            </w:r>
          </w:p>
        </w:tc>
        <w:tc>
          <w:tcPr>
            <w:tcW w:w="236" w:type="dxa"/>
            <w:tcBorders>
              <w:top w:val="nil"/>
              <w:left w:val="nil"/>
              <w:bottom w:val="nil"/>
              <w:right w:val="nil"/>
            </w:tcBorders>
            <w:shd w:val="clear" w:color="FFFFFF" w:fill="FFFFFF"/>
            <w:noWrap/>
            <w:vAlign w:val="bottom"/>
            <w:hideMark/>
          </w:tcPr>
          <w:p w14:paraId="638B4D1B" w14:textId="77777777" w:rsidR="00A43992" w:rsidRDefault="00A43992" w:rsidP="007211E3">
            <w:pPr>
              <w:rPr>
                <w:rFonts w:ascii="Arial" w:hAnsi="Arial" w:cs="Arial"/>
                <w:sz w:val="18"/>
                <w:szCs w:val="18"/>
              </w:rPr>
            </w:pPr>
            <w:r>
              <w:rPr>
                <w:rFonts w:ascii="Arial" w:hAnsi="Arial" w:cs="Arial"/>
                <w:sz w:val="18"/>
                <w:szCs w:val="18"/>
              </w:rPr>
              <w:t> </w:t>
            </w:r>
          </w:p>
        </w:tc>
        <w:tc>
          <w:tcPr>
            <w:tcW w:w="982" w:type="dxa"/>
            <w:tcBorders>
              <w:top w:val="nil"/>
              <w:left w:val="nil"/>
              <w:bottom w:val="nil"/>
              <w:right w:val="nil"/>
            </w:tcBorders>
            <w:shd w:val="clear" w:color="FFFFFF" w:fill="FFFFFF"/>
            <w:noWrap/>
            <w:vAlign w:val="bottom"/>
            <w:hideMark/>
          </w:tcPr>
          <w:p w14:paraId="7219F306" w14:textId="77777777" w:rsidR="00A43992" w:rsidRDefault="00A43992" w:rsidP="007211E3">
            <w:pPr>
              <w:jc w:val="right"/>
              <w:rPr>
                <w:rFonts w:ascii="Arial" w:hAnsi="Arial" w:cs="Arial"/>
                <w:sz w:val="18"/>
                <w:szCs w:val="18"/>
              </w:rPr>
            </w:pPr>
            <w:r>
              <w:rPr>
                <w:rFonts w:ascii="Arial" w:hAnsi="Arial" w:cs="Arial"/>
                <w:sz w:val="18"/>
                <w:szCs w:val="18"/>
              </w:rPr>
              <w:t xml:space="preserve"> -</w:t>
            </w:r>
          </w:p>
        </w:tc>
      </w:tr>
      <w:tr w:rsidR="00A43992" w14:paraId="6283A0ED" w14:textId="77777777" w:rsidTr="007211E3">
        <w:trPr>
          <w:trHeight w:val="255"/>
        </w:trPr>
        <w:tc>
          <w:tcPr>
            <w:tcW w:w="4592" w:type="dxa"/>
            <w:tcBorders>
              <w:top w:val="nil"/>
              <w:left w:val="nil"/>
              <w:bottom w:val="nil"/>
              <w:right w:val="nil"/>
            </w:tcBorders>
            <w:shd w:val="clear" w:color="FFFFFF" w:fill="FFFFFF"/>
            <w:vAlign w:val="bottom"/>
            <w:hideMark/>
          </w:tcPr>
          <w:p w14:paraId="0C2F6DA0" w14:textId="77777777" w:rsidR="00A43992" w:rsidRDefault="00A43992" w:rsidP="007211E3">
            <w:pPr>
              <w:rPr>
                <w:rFonts w:ascii="Arial" w:hAnsi="Arial" w:cs="Arial"/>
                <w:b/>
                <w:bCs/>
                <w:sz w:val="18"/>
                <w:szCs w:val="18"/>
              </w:rPr>
            </w:pPr>
            <w:r>
              <w:rPr>
                <w:rFonts w:ascii="Arial" w:hAnsi="Arial" w:cs="Arial"/>
                <w:b/>
                <w:bCs/>
                <w:sz w:val="18"/>
                <w:szCs w:val="18"/>
              </w:rPr>
              <w:t>Total cash used</w:t>
            </w:r>
          </w:p>
        </w:tc>
        <w:tc>
          <w:tcPr>
            <w:tcW w:w="1047" w:type="dxa"/>
            <w:tcBorders>
              <w:top w:val="nil"/>
              <w:left w:val="nil"/>
              <w:bottom w:val="nil"/>
              <w:right w:val="nil"/>
            </w:tcBorders>
            <w:shd w:val="clear" w:color="FFFFFF" w:fill="FFFFFF"/>
            <w:noWrap/>
            <w:vAlign w:val="bottom"/>
            <w:hideMark/>
          </w:tcPr>
          <w:p w14:paraId="128D3BBD" w14:textId="77777777" w:rsidR="00A43992" w:rsidRDefault="00A43992" w:rsidP="007211E3">
            <w:pPr>
              <w:jc w:val="center"/>
              <w:rPr>
                <w:rFonts w:ascii="Arial" w:hAnsi="Arial" w:cs="Arial"/>
                <w:sz w:val="18"/>
                <w:szCs w:val="18"/>
              </w:rPr>
            </w:pPr>
            <w:r>
              <w:rPr>
                <w:rFonts w:ascii="Arial" w:hAnsi="Arial" w:cs="Arial"/>
                <w:sz w:val="18"/>
                <w:szCs w:val="18"/>
              </w:rPr>
              <w:t> </w:t>
            </w:r>
          </w:p>
        </w:tc>
        <w:tc>
          <w:tcPr>
            <w:tcW w:w="1012" w:type="dxa"/>
            <w:tcBorders>
              <w:top w:val="single" w:sz="4" w:space="0" w:color="auto"/>
              <w:left w:val="nil"/>
              <w:bottom w:val="single" w:sz="4" w:space="0" w:color="auto"/>
              <w:right w:val="nil"/>
            </w:tcBorders>
            <w:shd w:val="clear" w:color="FFFFFF" w:fill="FFFFFF"/>
            <w:noWrap/>
            <w:vAlign w:val="bottom"/>
            <w:hideMark/>
          </w:tcPr>
          <w:p w14:paraId="4F39865E" w14:textId="77777777" w:rsidR="00A43992" w:rsidRDefault="00A43992" w:rsidP="007211E3">
            <w:pPr>
              <w:jc w:val="right"/>
              <w:rPr>
                <w:rFonts w:ascii="Arial" w:hAnsi="Arial" w:cs="Arial"/>
                <w:b/>
                <w:bCs/>
                <w:sz w:val="18"/>
                <w:szCs w:val="18"/>
              </w:rPr>
            </w:pPr>
            <w:r>
              <w:rPr>
                <w:rFonts w:ascii="Arial" w:hAnsi="Arial" w:cs="Arial"/>
                <w:b/>
                <w:bCs/>
                <w:sz w:val="18"/>
                <w:szCs w:val="18"/>
              </w:rPr>
              <w:t>-</w:t>
            </w:r>
          </w:p>
        </w:tc>
        <w:tc>
          <w:tcPr>
            <w:tcW w:w="236" w:type="dxa"/>
            <w:tcBorders>
              <w:top w:val="nil"/>
              <w:left w:val="nil"/>
              <w:bottom w:val="nil"/>
              <w:right w:val="nil"/>
            </w:tcBorders>
            <w:shd w:val="clear" w:color="FFFFFF" w:fill="FFFFFF"/>
            <w:noWrap/>
            <w:vAlign w:val="bottom"/>
            <w:hideMark/>
          </w:tcPr>
          <w:p w14:paraId="6CE4B3A4" w14:textId="77777777" w:rsidR="00A43992" w:rsidRDefault="00A43992" w:rsidP="007211E3">
            <w:pPr>
              <w:rPr>
                <w:rFonts w:ascii="Arial" w:hAnsi="Arial" w:cs="Arial"/>
                <w:sz w:val="18"/>
                <w:szCs w:val="18"/>
              </w:rPr>
            </w:pPr>
            <w:r>
              <w:rPr>
                <w:rFonts w:ascii="Arial" w:hAnsi="Arial" w:cs="Arial"/>
                <w:sz w:val="18"/>
                <w:szCs w:val="18"/>
              </w:rPr>
              <w:t> </w:t>
            </w:r>
          </w:p>
        </w:tc>
        <w:tc>
          <w:tcPr>
            <w:tcW w:w="982" w:type="dxa"/>
            <w:tcBorders>
              <w:top w:val="single" w:sz="4" w:space="0" w:color="auto"/>
              <w:left w:val="nil"/>
              <w:bottom w:val="single" w:sz="4" w:space="0" w:color="auto"/>
              <w:right w:val="nil"/>
            </w:tcBorders>
            <w:shd w:val="clear" w:color="FFFFFF" w:fill="FFFFFF"/>
            <w:noWrap/>
            <w:vAlign w:val="bottom"/>
            <w:hideMark/>
          </w:tcPr>
          <w:p w14:paraId="1CCC7F36" w14:textId="77777777" w:rsidR="00A43992" w:rsidRDefault="00A43992" w:rsidP="007211E3">
            <w:pPr>
              <w:jc w:val="right"/>
              <w:rPr>
                <w:rFonts w:ascii="Arial" w:hAnsi="Arial" w:cs="Arial"/>
                <w:sz w:val="18"/>
                <w:szCs w:val="18"/>
              </w:rPr>
            </w:pPr>
            <w:r>
              <w:rPr>
                <w:rFonts w:ascii="Arial" w:hAnsi="Arial" w:cs="Arial"/>
                <w:sz w:val="18"/>
                <w:szCs w:val="18"/>
              </w:rPr>
              <w:t>30,259</w:t>
            </w:r>
          </w:p>
        </w:tc>
        <w:tc>
          <w:tcPr>
            <w:tcW w:w="236" w:type="dxa"/>
            <w:tcBorders>
              <w:top w:val="nil"/>
              <w:left w:val="nil"/>
              <w:bottom w:val="nil"/>
              <w:right w:val="nil"/>
            </w:tcBorders>
            <w:shd w:val="clear" w:color="FFFFFF" w:fill="FFFFFF"/>
            <w:noWrap/>
            <w:vAlign w:val="bottom"/>
            <w:hideMark/>
          </w:tcPr>
          <w:p w14:paraId="6C38EBFE" w14:textId="77777777" w:rsidR="00A43992" w:rsidRDefault="00A43992" w:rsidP="007211E3">
            <w:pPr>
              <w:rPr>
                <w:rFonts w:ascii="Arial" w:hAnsi="Arial" w:cs="Arial"/>
                <w:sz w:val="18"/>
                <w:szCs w:val="18"/>
              </w:rPr>
            </w:pPr>
            <w:r>
              <w:rPr>
                <w:rFonts w:ascii="Arial" w:hAnsi="Arial" w:cs="Arial"/>
                <w:sz w:val="18"/>
                <w:szCs w:val="18"/>
              </w:rPr>
              <w:t> </w:t>
            </w:r>
          </w:p>
        </w:tc>
        <w:tc>
          <w:tcPr>
            <w:tcW w:w="982" w:type="dxa"/>
            <w:tcBorders>
              <w:top w:val="single" w:sz="4" w:space="0" w:color="auto"/>
              <w:left w:val="nil"/>
              <w:bottom w:val="single" w:sz="4" w:space="0" w:color="auto"/>
              <w:right w:val="nil"/>
            </w:tcBorders>
            <w:shd w:val="clear" w:color="FFFFFF" w:fill="FFFFFF"/>
            <w:noWrap/>
            <w:vAlign w:val="bottom"/>
            <w:hideMark/>
          </w:tcPr>
          <w:p w14:paraId="5EC26403" w14:textId="77777777" w:rsidR="00A43992" w:rsidRDefault="00A43992" w:rsidP="007211E3">
            <w:pPr>
              <w:jc w:val="right"/>
              <w:rPr>
                <w:rFonts w:ascii="Arial" w:hAnsi="Arial" w:cs="Arial"/>
                <w:sz w:val="18"/>
                <w:szCs w:val="18"/>
              </w:rPr>
            </w:pPr>
            <w:r>
              <w:rPr>
                <w:rFonts w:ascii="Arial" w:hAnsi="Arial" w:cs="Arial"/>
                <w:sz w:val="18"/>
                <w:szCs w:val="18"/>
              </w:rPr>
              <w:t>-</w:t>
            </w:r>
          </w:p>
        </w:tc>
      </w:tr>
      <w:tr w:rsidR="00A43992" w14:paraId="7FC5CCC0" w14:textId="77777777" w:rsidTr="007211E3">
        <w:trPr>
          <w:trHeight w:val="255"/>
        </w:trPr>
        <w:tc>
          <w:tcPr>
            <w:tcW w:w="4592" w:type="dxa"/>
            <w:tcBorders>
              <w:top w:val="nil"/>
              <w:left w:val="nil"/>
              <w:bottom w:val="nil"/>
              <w:right w:val="nil"/>
            </w:tcBorders>
            <w:shd w:val="clear" w:color="FFFFFF" w:fill="FFFFFF"/>
            <w:vAlign w:val="bottom"/>
            <w:hideMark/>
          </w:tcPr>
          <w:p w14:paraId="6EC19C21" w14:textId="77777777" w:rsidR="00A43992" w:rsidRDefault="00A43992" w:rsidP="007211E3">
            <w:pPr>
              <w:rPr>
                <w:rFonts w:ascii="Arial" w:hAnsi="Arial" w:cs="Arial"/>
                <w:b/>
                <w:bCs/>
                <w:sz w:val="18"/>
                <w:szCs w:val="18"/>
              </w:rPr>
            </w:pPr>
            <w:r>
              <w:rPr>
                <w:rFonts w:ascii="Arial" w:hAnsi="Arial" w:cs="Arial"/>
                <w:b/>
                <w:bCs/>
                <w:sz w:val="18"/>
                <w:szCs w:val="18"/>
              </w:rPr>
              <w:t>Net cash from / (used by) financing activities</w:t>
            </w:r>
          </w:p>
        </w:tc>
        <w:tc>
          <w:tcPr>
            <w:tcW w:w="1047" w:type="dxa"/>
            <w:tcBorders>
              <w:top w:val="nil"/>
              <w:left w:val="nil"/>
              <w:bottom w:val="nil"/>
              <w:right w:val="nil"/>
            </w:tcBorders>
            <w:shd w:val="clear" w:color="FFFFFF" w:fill="FFFFFF"/>
            <w:noWrap/>
            <w:vAlign w:val="bottom"/>
            <w:hideMark/>
          </w:tcPr>
          <w:p w14:paraId="148F9DBE" w14:textId="77777777" w:rsidR="00A43992" w:rsidRDefault="00A43992" w:rsidP="007211E3">
            <w:pPr>
              <w:jc w:val="center"/>
              <w:rPr>
                <w:rFonts w:ascii="Arial" w:hAnsi="Arial" w:cs="Arial"/>
                <w:sz w:val="18"/>
                <w:szCs w:val="18"/>
              </w:rPr>
            </w:pPr>
            <w:r>
              <w:rPr>
                <w:rFonts w:ascii="Arial" w:hAnsi="Arial" w:cs="Arial"/>
                <w:sz w:val="18"/>
                <w:szCs w:val="18"/>
              </w:rPr>
              <w:t> </w:t>
            </w:r>
          </w:p>
        </w:tc>
        <w:tc>
          <w:tcPr>
            <w:tcW w:w="1012" w:type="dxa"/>
            <w:tcBorders>
              <w:top w:val="nil"/>
              <w:left w:val="nil"/>
              <w:bottom w:val="single" w:sz="4" w:space="0" w:color="auto"/>
              <w:right w:val="nil"/>
            </w:tcBorders>
            <w:shd w:val="clear" w:color="FFFFFF" w:fill="FFFFFF"/>
            <w:noWrap/>
            <w:vAlign w:val="bottom"/>
            <w:hideMark/>
          </w:tcPr>
          <w:p w14:paraId="64A35052" w14:textId="77777777" w:rsidR="00A43992" w:rsidRDefault="00A43992" w:rsidP="007211E3">
            <w:pPr>
              <w:jc w:val="right"/>
              <w:rPr>
                <w:rFonts w:ascii="Arial" w:hAnsi="Arial" w:cs="Arial"/>
                <w:b/>
                <w:bCs/>
                <w:sz w:val="18"/>
                <w:szCs w:val="18"/>
              </w:rPr>
            </w:pPr>
            <w:r>
              <w:rPr>
                <w:rFonts w:ascii="Arial" w:hAnsi="Arial" w:cs="Arial"/>
                <w:b/>
                <w:bCs/>
                <w:sz w:val="18"/>
                <w:szCs w:val="18"/>
              </w:rPr>
              <w:t>57,756</w:t>
            </w:r>
          </w:p>
        </w:tc>
        <w:tc>
          <w:tcPr>
            <w:tcW w:w="236" w:type="dxa"/>
            <w:tcBorders>
              <w:top w:val="nil"/>
              <w:left w:val="nil"/>
              <w:bottom w:val="nil"/>
              <w:right w:val="nil"/>
            </w:tcBorders>
            <w:shd w:val="clear" w:color="FFFFFF" w:fill="FFFFFF"/>
            <w:noWrap/>
            <w:vAlign w:val="bottom"/>
            <w:hideMark/>
          </w:tcPr>
          <w:p w14:paraId="684D52DF" w14:textId="77777777" w:rsidR="00A43992" w:rsidRDefault="00A43992" w:rsidP="007211E3">
            <w:pPr>
              <w:rPr>
                <w:rFonts w:ascii="Arial" w:hAnsi="Arial" w:cs="Arial"/>
                <w:sz w:val="18"/>
                <w:szCs w:val="18"/>
              </w:rPr>
            </w:pPr>
            <w:r>
              <w:rPr>
                <w:rFonts w:ascii="Arial" w:hAnsi="Arial" w:cs="Arial"/>
                <w:sz w:val="18"/>
                <w:szCs w:val="18"/>
              </w:rPr>
              <w:t> </w:t>
            </w:r>
          </w:p>
        </w:tc>
        <w:tc>
          <w:tcPr>
            <w:tcW w:w="982" w:type="dxa"/>
            <w:tcBorders>
              <w:top w:val="nil"/>
              <w:left w:val="nil"/>
              <w:bottom w:val="single" w:sz="4" w:space="0" w:color="auto"/>
              <w:right w:val="nil"/>
            </w:tcBorders>
            <w:shd w:val="clear" w:color="FFFFFF" w:fill="FFFFFF"/>
            <w:noWrap/>
            <w:vAlign w:val="bottom"/>
            <w:hideMark/>
          </w:tcPr>
          <w:p w14:paraId="7971233A" w14:textId="77777777" w:rsidR="00A43992" w:rsidRDefault="00A43992" w:rsidP="007211E3">
            <w:pPr>
              <w:jc w:val="right"/>
              <w:rPr>
                <w:rFonts w:ascii="Arial" w:hAnsi="Arial" w:cs="Arial"/>
                <w:sz w:val="18"/>
                <w:szCs w:val="18"/>
              </w:rPr>
            </w:pPr>
            <w:r>
              <w:rPr>
                <w:rFonts w:ascii="Arial" w:hAnsi="Arial" w:cs="Arial"/>
                <w:sz w:val="18"/>
                <w:szCs w:val="18"/>
              </w:rPr>
              <w:t>(6,910)</w:t>
            </w:r>
          </w:p>
        </w:tc>
        <w:tc>
          <w:tcPr>
            <w:tcW w:w="236" w:type="dxa"/>
            <w:tcBorders>
              <w:top w:val="nil"/>
              <w:left w:val="nil"/>
              <w:bottom w:val="nil"/>
              <w:right w:val="nil"/>
            </w:tcBorders>
            <w:shd w:val="clear" w:color="FFFFFF" w:fill="FFFFFF"/>
            <w:noWrap/>
            <w:vAlign w:val="bottom"/>
            <w:hideMark/>
          </w:tcPr>
          <w:p w14:paraId="04616FB2" w14:textId="77777777" w:rsidR="00A43992" w:rsidRDefault="00A43992" w:rsidP="007211E3">
            <w:pPr>
              <w:rPr>
                <w:rFonts w:ascii="Arial" w:hAnsi="Arial" w:cs="Arial"/>
                <w:sz w:val="18"/>
                <w:szCs w:val="18"/>
              </w:rPr>
            </w:pPr>
            <w:r>
              <w:rPr>
                <w:rFonts w:ascii="Arial" w:hAnsi="Arial" w:cs="Arial"/>
                <w:sz w:val="18"/>
                <w:szCs w:val="18"/>
              </w:rPr>
              <w:t> </w:t>
            </w:r>
          </w:p>
        </w:tc>
        <w:tc>
          <w:tcPr>
            <w:tcW w:w="982" w:type="dxa"/>
            <w:tcBorders>
              <w:top w:val="nil"/>
              <w:left w:val="nil"/>
              <w:bottom w:val="single" w:sz="4" w:space="0" w:color="auto"/>
              <w:right w:val="nil"/>
            </w:tcBorders>
            <w:shd w:val="clear" w:color="FFFFFF" w:fill="FFFFFF"/>
            <w:noWrap/>
            <w:vAlign w:val="bottom"/>
            <w:hideMark/>
          </w:tcPr>
          <w:p w14:paraId="2906AA73" w14:textId="77777777" w:rsidR="00A43992" w:rsidRDefault="00A43992" w:rsidP="007211E3">
            <w:pPr>
              <w:jc w:val="right"/>
              <w:rPr>
                <w:rFonts w:ascii="Arial" w:hAnsi="Arial" w:cs="Arial"/>
                <w:sz w:val="18"/>
                <w:szCs w:val="18"/>
              </w:rPr>
            </w:pPr>
            <w:r>
              <w:rPr>
                <w:rFonts w:ascii="Arial" w:hAnsi="Arial" w:cs="Arial"/>
                <w:sz w:val="18"/>
                <w:szCs w:val="18"/>
              </w:rPr>
              <w:t>57,756</w:t>
            </w:r>
          </w:p>
        </w:tc>
      </w:tr>
      <w:tr w:rsidR="00A43992" w14:paraId="7DC94642" w14:textId="77777777" w:rsidTr="007211E3">
        <w:trPr>
          <w:trHeight w:val="120"/>
        </w:trPr>
        <w:tc>
          <w:tcPr>
            <w:tcW w:w="4592" w:type="dxa"/>
            <w:tcBorders>
              <w:top w:val="nil"/>
              <w:left w:val="nil"/>
              <w:bottom w:val="nil"/>
              <w:right w:val="nil"/>
            </w:tcBorders>
            <w:shd w:val="clear" w:color="FFFFFF" w:fill="FFFFFF"/>
            <w:noWrap/>
            <w:vAlign w:val="bottom"/>
            <w:hideMark/>
          </w:tcPr>
          <w:p w14:paraId="624CCCD2" w14:textId="77777777" w:rsidR="00A43992" w:rsidRDefault="00A43992" w:rsidP="007211E3">
            <w:pPr>
              <w:rPr>
                <w:rFonts w:ascii="Arial" w:hAnsi="Arial" w:cs="Arial"/>
                <w:sz w:val="18"/>
                <w:szCs w:val="18"/>
              </w:rPr>
            </w:pPr>
            <w:r>
              <w:rPr>
                <w:rFonts w:ascii="Arial" w:hAnsi="Arial" w:cs="Arial"/>
                <w:sz w:val="18"/>
                <w:szCs w:val="18"/>
              </w:rPr>
              <w:t> </w:t>
            </w:r>
          </w:p>
        </w:tc>
        <w:tc>
          <w:tcPr>
            <w:tcW w:w="1047" w:type="dxa"/>
            <w:tcBorders>
              <w:top w:val="nil"/>
              <w:left w:val="nil"/>
              <w:bottom w:val="nil"/>
              <w:right w:val="nil"/>
            </w:tcBorders>
            <w:shd w:val="clear" w:color="FFFFFF" w:fill="FFFFFF"/>
            <w:noWrap/>
            <w:vAlign w:val="bottom"/>
            <w:hideMark/>
          </w:tcPr>
          <w:p w14:paraId="375A83DC" w14:textId="77777777" w:rsidR="00A43992" w:rsidRDefault="00A43992" w:rsidP="007211E3">
            <w:pPr>
              <w:jc w:val="center"/>
              <w:rPr>
                <w:rFonts w:ascii="Arial" w:hAnsi="Arial" w:cs="Arial"/>
                <w:sz w:val="18"/>
                <w:szCs w:val="18"/>
              </w:rPr>
            </w:pPr>
            <w:r>
              <w:rPr>
                <w:rFonts w:ascii="Arial" w:hAnsi="Arial" w:cs="Arial"/>
                <w:sz w:val="18"/>
                <w:szCs w:val="18"/>
              </w:rPr>
              <w:t> </w:t>
            </w:r>
          </w:p>
        </w:tc>
        <w:tc>
          <w:tcPr>
            <w:tcW w:w="1012" w:type="dxa"/>
            <w:tcBorders>
              <w:top w:val="nil"/>
              <w:left w:val="nil"/>
              <w:bottom w:val="nil"/>
              <w:right w:val="nil"/>
            </w:tcBorders>
            <w:shd w:val="clear" w:color="FFFFFF" w:fill="FFFFFF"/>
            <w:noWrap/>
            <w:vAlign w:val="bottom"/>
            <w:hideMark/>
          </w:tcPr>
          <w:p w14:paraId="26815428" w14:textId="77777777" w:rsidR="00A43992" w:rsidRDefault="00A43992" w:rsidP="007211E3">
            <w:pPr>
              <w:rPr>
                <w:rFonts w:ascii="Arial" w:hAnsi="Arial" w:cs="Arial"/>
                <w:sz w:val="18"/>
                <w:szCs w:val="18"/>
              </w:rPr>
            </w:pPr>
            <w:r>
              <w:rPr>
                <w:rFonts w:ascii="Arial" w:hAnsi="Arial" w:cs="Arial"/>
                <w:sz w:val="18"/>
                <w:szCs w:val="18"/>
              </w:rPr>
              <w:t> </w:t>
            </w:r>
          </w:p>
        </w:tc>
        <w:tc>
          <w:tcPr>
            <w:tcW w:w="236" w:type="dxa"/>
            <w:tcBorders>
              <w:top w:val="nil"/>
              <w:left w:val="nil"/>
              <w:bottom w:val="nil"/>
              <w:right w:val="nil"/>
            </w:tcBorders>
            <w:shd w:val="clear" w:color="FFFFFF" w:fill="FFFFFF"/>
            <w:noWrap/>
            <w:vAlign w:val="bottom"/>
            <w:hideMark/>
          </w:tcPr>
          <w:p w14:paraId="4A865613" w14:textId="77777777" w:rsidR="00A43992" w:rsidRDefault="00A43992" w:rsidP="007211E3">
            <w:pPr>
              <w:rPr>
                <w:rFonts w:ascii="Arial" w:hAnsi="Arial" w:cs="Arial"/>
                <w:sz w:val="18"/>
                <w:szCs w:val="18"/>
              </w:rPr>
            </w:pPr>
            <w:r>
              <w:rPr>
                <w:rFonts w:ascii="Arial" w:hAnsi="Arial" w:cs="Arial"/>
                <w:sz w:val="18"/>
                <w:szCs w:val="18"/>
              </w:rPr>
              <w:t> </w:t>
            </w:r>
          </w:p>
        </w:tc>
        <w:tc>
          <w:tcPr>
            <w:tcW w:w="982" w:type="dxa"/>
            <w:tcBorders>
              <w:top w:val="nil"/>
              <w:left w:val="nil"/>
              <w:bottom w:val="nil"/>
              <w:right w:val="nil"/>
            </w:tcBorders>
            <w:shd w:val="clear" w:color="FFFFFF" w:fill="FFFFFF"/>
            <w:noWrap/>
            <w:vAlign w:val="bottom"/>
            <w:hideMark/>
          </w:tcPr>
          <w:p w14:paraId="1EA1050D" w14:textId="77777777" w:rsidR="00A43992" w:rsidRDefault="00A43992" w:rsidP="007211E3">
            <w:pPr>
              <w:rPr>
                <w:rFonts w:ascii="Arial" w:hAnsi="Arial" w:cs="Arial"/>
                <w:sz w:val="18"/>
                <w:szCs w:val="18"/>
              </w:rPr>
            </w:pPr>
            <w:r>
              <w:rPr>
                <w:rFonts w:ascii="Arial" w:hAnsi="Arial" w:cs="Arial"/>
                <w:sz w:val="18"/>
                <w:szCs w:val="18"/>
              </w:rPr>
              <w:t> </w:t>
            </w:r>
          </w:p>
        </w:tc>
        <w:tc>
          <w:tcPr>
            <w:tcW w:w="236" w:type="dxa"/>
            <w:tcBorders>
              <w:top w:val="nil"/>
              <w:left w:val="nil"/>
              <w:bottom w:val="nil"/>
              <w:right w:val="nil"/>
            </w:tcBorders>
            <w:shd w:val="clear" w:color="FFFFFF" w:fill="FFFFFF"/>
            <w:noWrap/>
            <w:vAlign w:val="bottom"/>
            <w:hideMark/>
          </w:tcPr>
          <w:p w14:paraId="224B77A6" w14:textId="77777777" w:rsidR="00A43992" w:rsidRDefault="00A43992" w:rsidP="007211E3">
            <w:pPr>
              <w:rPr>
                <w:rFonts w:ascii="Arial" w:hAnsi="Arial" w:cs="Arial"/>
                <w:sz w:val="18"/>
                <w:szCs w:val="18"/>
              </w:rPr>
            </w:pPr>
            <w:r>
              <w:rPr>
                <w:rFonts w:ascii="Arial" w:hAnsi="Arial" w:cs="Arial"/>
                <w:sz w:val="18"/>
                <w:szCs w:val="18"/>
              </w:rPr>
              <w:t> </w:t>
            </w:r>
          </w:p>
        </w:tc>
        <w:tc>
          <w:tcPr>
            <w:tcW w:w="982" w:type="dxa"/>
            <w:tcBorders>
              <w:top w:val="nil"/>
              <w:left w:val="nil"/>
              <w:bottom w:val="nil"/>
              <w:right w:val="nil"/>
            </w:tcBorders>
            <w:shd w:val="clear" w:color="FFFFFF" w:fill="FFFFFF"/>
            <w:noWrap/>
            <w:vAlign w:val="bottom"/>
            <w:hideMark/>
          </w:tcPr>
          <w:p w14:paraId="4439F06C" w14:textId="77777777" w:rsidR="00A43992" w:rsidRDefault="00A43992" w:rsidP="007211E3">
            <w:pPr>
              <w:rPr>
                <w:rFonts w:ascii="Arial" w:hAnsi="Arial" w:cs="Arial"/>
                <w:sz w:val="18"/>
                <w:szCs w:val="18"/>
              </w:rPr>
            </w:pPr>
            <w:r>
              <w:rPr>
                <w:rFonts w:ascii="Arial" w:hAnsi="Arial" w:cs="Arial"/>
                <w:sz w:val="18"/>
                <w:szCs w:val="18"/>
              </w:rPr>
              <w:t> </w:t>
            </w:r>
          </w:p>
        </w:tc>
      </w:tr>
      <w:tr w:rsidR="00A43992" w14:paraId="39A3E84E" w14:textId="77777777" w:rsidTr="007211E3">
        <w:trPr>
          <w:trHeight w:val="255"/>
        </w:trPr>
        <w:tc>
          <w:tcPr>
            <w:tcW w:w="4592" w:type="dxa"/>
            <w:tcBorders>
              <w:top w:val="nil"/>
              <w:left w:val="nil"/>
              <w:bottom w:val="nil"/>
              <w:right w:val="nil"/>
            </w:tcBorders>
            <w:shd w:val="clear" w:color="FFFFFF" w:fill="FFFFFF"/>
            <w:vAlign w:val="bottom"/>
            <w:hideMark/>
          </w:tcPr>
          <w:p w14:paraId="2D9948D0" w14:textId="77777777" w:rsidR="00A43992" w:rsidRDefault="00A43992" w:rsidP="007211E3">
            <w:pPr>
              <w:rPr>
                <w:rFonts w:ascii="Arial" w:hAnsi="Arial" w:cs="Arial"/>
                <w:b/>
                <w:bCs/>
                <w:sz w:val="18"/>
                <w:szCs w:val="18"/>
              </w:rPr>
            </w:pPr>
            <w:r>
              <w:rPr>
                <w:rFonts w:ascii="Arial" w:hAnsi="Arial" w:cs="Arial"/>
                <w:b/>
                <w:bCs/>
                <w:sz w:val="18"/>
                <w:szCs w:val="18"/>
              </w:rPr>
              <w:t>Net (decrease) / increase in cash held</w:t>
            </w:r>
          </w:p>
        </w:tc>
        <w:tc>
          <w:tcPr>
            <w:tcW w:w="1047" w:type="dxa"/>
            <w:tcBorders>
              <w:top w:val="nil"/>
              <w:left w:val="nil"/>
              <w:bottom w:val="nil"/>
              <w:right w:val="nil"/>
            </w:tcBorders>
            <w:shd w:val="clear" w:color="FFFFFF" w:fill="FFFFFF"/>
            <w:noWrap/>
            <w:vAlign w:val="bottom"/>
            <w:hideMark/>
          </w:tcPr>
          <w:p w14:paraId="6C8B30B2" w14:textId="77777777" w:rsidR="00A43992" w:rsidRDefault="00A43992" w:rsidP="007211E3">
            <w:pPr>
              <w:jc w:val="center"/>
              <w:rPr>
                <w:rFonts w:ascii="Arial" w:hAnsi="Arial" w:cs="Arial"/>
                <w:sz w:val="18"/>
                <w:szCs w:val="18"/>
              </w:rPr>
            </w:pPr>
            <w:r>
              <w:rPr>
                <w:rFonts w:ascii="Arial" w:hAnsi="Arial" w:cs="Arial"/>
                <w:sz w:val="18"/>
                <w:szCs w:val="18"/>
              </w:rPr>
              <w:t> </w:t>
            </w:r>
          </w:p>
        </w:tc>
        <w:tc>
          <w:tcPr>
            <w:tcW w:w="1012" w:type="dxa"/>
            <w:tcBorders>
              <w:top w:val="single" w:sz="4" w:space="0" w:color="auto"/>
              <w:left w:val="nil"/>
              <w:bottom w:val="single" w:sz="4" w:space="0" w:color="auto"/>
              <w:right w:val="nil"/>
            </w:tcBorders>
            <w:shd w:val="clear" w:color="FFFFFF" w:fill="FFFFFF"/>
            <w:noWrap/>
            <w:vAlign w:val="bottom"/>
            <w:hideMark/>
          </w:tcPr>
          <w:p w14:paraId="32D81467" w14:textId="77777777" w:rsidR="00A43992" w:rsidRDefault="00A43992" w:rsidP="007211E3">
            <w:pPr>
              <w:jc w:val="right"/>
              <w:rPr>
                <w:rFonts w:ascii="Arial" w:hAnsi="Arial" w:cs="Arial"/>
                <w:b/>
                <w:bCs/>
                <w:sz w:val="18"/>
                <w:szCs w:val="18"/>
              </w:rPr>
            </w:pPr>
            <w:r>
              <w:rPr>
                <w:rFonts w:ascii="Arial" w:hAnsi="Arial" w:cs="Arial"/>
                <w:b/>
                <w:bCs/>
                <w:sz w:val="18"/>
                <w:szCs w:val="18"/>
              </w:rPr>
              <w:t>169,948</w:t>
            </w:r>
          </w:p>
        </w:tc>
        <w:tc>
          <w:tcPr>
            <w:tcW w:w="236" w:type="dxa"/>
            <w:tcBorders>
              <w:top w:val="nil"/>
              <w:left w:val="nil"/>
              <w:bottom w:val="nil"/>
              <w:right w:val="nil"/>
            </w:tcBorders>
            <w:shd w:val="clear" w:color="FFFFFF" w:fill="FFFFFF"/>
            <w:noWrap/>
            <w:vAlign w:val="bottom"/>
            <w:hideMark/>
          </w:tcPr>
          <w:p w14:paraId="26937116" w14:textId="77777777" w:rsidR="00A43992" w:rsidRDefault="00A43992" w:rsidP="007211E3">
            <w:pPr>
              <w:rPr>
                <w:rFonts w:ascii="Arial" w:hAnsi="Arial" w:cs="Arial"/>
                <w:sz w:val="18"/>
                <w:szCs w:val="18"/>
              </w:rPr>
            </w:pPr>
            <w:r>
              <w:rPr>
                <w:rFonts w:ascii="Arial" w:hAnsi="Arial" w:cs="Arial"/>
                <w:sz w:val="18"/>
                <w:szCs w:val="18"/>
              </w:rPr>
              <w:t> </w:t>
            </w:r>
          </w:p>
        </w:tc>
        <w:tc>
          <w:tcPr>
            <w:tcW w:w="982" w:type="dxa"/>
            <w:tcBorders>
              <w:top w:val="single" w:sz="4" w:space="0" w:color="auto"/>
              <w:left w:val="nil"/>
              <w:bottom w:val="single" w:sz="4" w:space="0" w:color="auto"/>
              <w:right w:val="nil"/>
            </w:tcBorders>
            <w:shd w:val="clear" w:color="FFFFFF" w:fill="FFFFFF"/>
            <w:noWrap/>
            <w:vAlign w:val="bottom"/>
            <w:hideMark/>
          </w:tcPr>
          <w:p w14:paraId="01661F47" w14:textId="77777777" w:rsidR="00A43992" w:rsidRDefault="00A43992" w:rsidP="007211E3">
            <w:pPr>
              <w:jc w:val="right"/>
              <w:rPr>
                <w:rFonts w:ascii="Arial" w:hAnsi="Arial" w:cs="Arial"/>
                <w:b/>
                <w:bCs/>
                <w:sz w:val="18"/>
                <w:szCs w:val="18"/>
              </w:rPr>
            </w:pPr>
            <w:r>
              <w:rPr>
                <w:rFonts w:ascii="Arial" w:hAnsi="Arial" w:cs="Arial"/>
                <w:b/>
                <w:bCs/>
                <w:sz w:val="18"/>
                <w:szCs w:val="18"/>
              </w:rPr>
              <w:t>14,157</w:t>
            </w:r>
          </w:p>
        </w:tc>
        <w:tc>
          <w:tcPr>
            <w:tcW w:w="236" w:type="dxa"/>
            <w:tcBorders>
              <w:top w:val="nil"/>
              <w:left w:val="nil"/>
              <w:bottom w:val="nil"/>
              <w:right w:val="nil"/>
            </w:tcBorders>
            <w:shd w:val="clear" w:color="FFFFFF" w:fill="FFFFFF"/>
            <w:noWrap/>
            <w:vAlign w:val="bottom"/>
            <w:hideMark/>
          </w:tcPr>
          <w:p w14:paraId="45CAA8CE" w14:textId="77777777" w:rsidR="00A43992" w:rsidRDefault="00A43992" w:rsidP="007211E3">
            <w:pPr>
              <w:rPr>
                <w:rFonts w:ascii="Arial" w:hAnsi="Arial" w:cs="Arial"/>
                <w:sz w:val="18"/>
                <w:szCs w:val="18"/>
              </w:rPr>
            </w:pPr>
            <w:r>
              <w:rPr>
                <w:rFonts w:ascii="Arial" w:hAnsi="Arial" w:cs="Arial"/>
                <w:sz w:val="18"/>
                <w:szCs w:val="18"/>
              </w:rPr>
              <w:t> </w:t>
            </w:r>
          </w:p>
        </w:tc>
        <w:tc>
          <w:tcPr>
            <w:tcW w:w="982" w:type="dxa"/>
            <w:tcBorders>
              <w:top w:val="single" w:sz="4" w:space="0" w:color="auto"/>
              <w:left w:val="nil"/>
              <w:bottom w:val="single" w:sz="4" w:space="0" w:color="auto"/>
              <w:right w:val="nil"/>
            </w:tcBorders>
            <w:shd w:val="clear" w:color="FFFFFF" w:fill="FFFFFF"/>
            <w:noWrap/>
            <w:vAlign w:val="bottom"/>
            <w:hideMark/>
          </w:tcPr>
          <w:p w14:paraId="0ABAC1A7" w14:textId="77777777" w:rsidR="00A43992" w:rsidRDefault="00A43992" w:rsidP="007211E3">
            <w:pPr>
              <w:jc w:val="right"/>
              <w:rPr>
                <w:rFonts w:ascii="Arial" w:hAnsi="Arial" w:cs="Arial"/>
                <w:b/>
                <w:bCs/>
                <w:sz w:val="18"/>
                <w:szCs w:val="18"/>
              </w:rPr>
            </w:pPr>
            <w:r>
              <w:rPr>
                <w:rFonts w:ascii="Arial" w:hAnsi="Arial" w:cs="Arial"/>
                <w:b/>
                <w:bCs/>
                <w:sz w:val="18"/>
                <w:szCs w:val="18"/>
              </w:rPr>
              <w:t>18,395</w:t>
            </w:r>
          </w:p>
        </w:tc>
      </w:tr>
      <w:tr w:rsidR="00A43992" w14:paraId="75C94BBA" w14:textId="77777777" w:rsidTr="007211E3">
        <w:trPr>
          <w:trHeight w:val="255"/>
        </w:trPr>
        <w:tc>
          <w:tcPr>
            <w:tcW w:w="4592" w:type="dxa"/>
            <w:tcBorders>
              <w:top w:val="nil"/>
              <w:left w:val="nil"/>
              <w:bottom w:val="nil"/>
              <w:right w:val="nil"/>
            </w:tcBorders>
            <w:shd w:val="clear" w:color="FFFFFF" w:fill="FFFFFF"/>
            <w:vAlign w:val="bottom"/>
            <w:hideMark/>
          </w:tcPr>
          <w:p w14:paraId="6013BA7F" w14:textId="77777777" w:rsidR="00A43992" w:rsidRDefault="00A43992" w:rsidP="007211E3">
            <w:pPr>
              <w:rPr>
                <w:rFonts w:ascii="Arial" w:hAnsi="Arial" w:cs="Arial"/>
                <w:sz w:val="18"/>
                <w:szCs w:val="18"/>
              </w:rPr>
            </w:pPr>
            <w:r>
              <w:rPr>
                <w:rFonts w:ascii="Arial" w:hAnsi="Arial" w:cs="Arial"/>
                <w:sz w:val="18"/>
                <w:szCs w:val="18"/>
              </w:rPr>
              <w:t>Cash and cash equivalents at the beginning of the reporting period</w:t>
            </w:r>
          </w:p>
        </w:tc>
        <w:tc>
          <w:tcPr>
            <w:tcW w:w="1047" w:type="dxa"/>
            <w:tcBorders>
              <w:top w:val="nil"/>
              <w:left w:val="nil"/>
              <w:bottom w:val="nil"/>
              <w:right w:val="nil"/>
            </w:tcBorders>
            <w:shd w:val="clear" w:color="FFFFFF" w:fill="FFFFFF"/>
            <w:noWrap/>
            <w:vAlign w:val="bottom"/>
            <w:hideMark/>
          </w:tcPr>
          <w:p w14:paraId="6FE682E2" w14:textId="77777777" w:rsidR="00A43992" w:rsidRDefault="00A43992" w:rsidP="007211E3">
            <w:pPr>
              <w:jc w:val="center"/>
              <w:rPr>
                <w:rFonts w:ascii="Arial" w:hAnsi="Arial" w:cs="Arial"/>
                <w:sz w:val="18"/>
                <w:szCs w:val="18"/>
              </w:rPr>
            </w:pPr>
            <w:r>
              <w:rPr>
                <w:rFonts w:ascii="Arial" w:hAnsi="Arial" w:cs="Arial"/>
                <w:sz w:val="18"/>
                <w:szCs w:val="18"/>
              </w:rPr>
              <w:t> </w:t>
            </w:r>
          </w:p>
        </w:tc>
        <w:tc>
          <w:tcPr>
            <w:tcW w:w="1012" w:type="dxa"/>
            <w:tcBorders>
              <w:top w:val="nil"/>
              <w:left w:val="nil"/>
              <w:bottom w:val="nil"/>
              <w:right w:val="nil"/>
            </w:tcBorders>
            <w:shd w:val="clear" w:color="FFFFFF" w:fill="FFFFFF"/>
            <w:noWrap/>
            <w:vAlign w:val="bottom"/>
            <w:hideMark/>
          </w:tcPr>
          <w:p w14:paraId="793815C1" w14:textId="77777777" w:rsidR="00A43992" w:rsidRDefault="00A43992" w:rsidP="007211E3">
            <w:pPr>
              <w:jc w:val="right"/>
              <w:rPr>
                <w:rFonts w:ascii="Arial" w:hAnsi="Arial" w:cs="Arial"/>
                <w:b/>
                <w:bCs/>
                <w:sz w:val="18"/>
                <w:szCs w:val="18"/>
              </w:rPr>
            </w:pPr>
            <w:r>
              <w:rPr>
                <w:rFonts w:ascii="Arial" w:hAnsi="Arial" w:cs="Arial"/>
                <w:b/>
                <w:bCs/>
                <w:sz w:val="18"/>
                <w:szCs w:val="18"/>
              </w:rPr>
              <w:t>136,482</w:t>
            </w:r>
          </w:p>
        </w:tc>
        <w:tc>
          <w:tcPr>
            <w:tcW w:w="236" w:type="dxa"/>
            <w:tcBorders>
              <w:top w:val="nil"/>
              <w:left w:val="nil"/>
              <w:bottom w:val="nil"/>
              <w:right w:val="nil"/>
            </w:tcBorders>
            <w:shd w:val="clear" w:color="FFFFFF" w:fill="FFFFFF"/>
            <w:noWrap/>
            <w:vAlign w:val="bottom"/>
            <w:hideMark/>
          </w:tcPr>
          <w:p w14:paraId="77A77E7A" w14:textId="77777777" w:rsidR="00A43992" w:rsidRDefault="00A43992" w:rsidP="007211E3">
            <w:pPr>
              <w:rPr>
                <w:rFonts w:ascii="Arial" w:hAnsi="Arial" w:cs="Arial"/>
                <w:sz w:val="18"/>
                <w:szCs w:val="18"/>
              </w:rPr>
            </w:pPr>
            <w:r>
              <w:rPr>
                <w:rFonts w:ascii="Arial" w:hAnsi="Arial" w:cs="Arial"/>
                <w:sz w:val="18"/>
                <w:szCs w:val="18"/>
              </w:rPr>
              <w:t> </w:t>
            </w:r>
          </w:p>
        </w:tc>
        <w:tc>
          <w:tcPr>
            <w:tcW w:w="982" w:type="dxa"/>
            <w:tcBorders>
              <w:top w:val="nil"/>
              <w:left w:val="nil"/>
              <w:bottom w:val="nil"/>
              <w:right w:val="nil"/>
            </w:tcBorders>
            <w:shd w:val="clear" w:color="FFFFFF" w:fill="FFFFFF"/>
            <w:noWrap/>
            <w:vAlign w:val="bottom"/>
            <w:hideMark/>
          </w:tcPr>
          <w:p w14:paraId="6FAC07C7" w14:textId="77777777" w:rsidR="00A43992" w:rsidRDefault="00A43992" w:rsidP="007211E3">
            <w:pPr>
              <w:jc w:val="right"/>
              <w:rPr>
                <w:rFonts w:ascii="Arial" w:hAnsi="Arial" w:cs="Arial"/>
                <w:sz w:val="18"/>
                <w:szCs w:val="18"/>
              </w:rPr>
            </w:pPr>
            <w:r>
              <w:rPr>
                <w:rFonts w:ascii="Arial" w:hAnsi="Arial" w:cs="Arial"/>
                <w:sz w:val="18"/>
                <w:szCs w:val="18"/>
              </w:rPr>
              <w:t xml:space="preserve">122,325 </w:t>
            </w:r>
          </w:p>
        </w:tc>
        <w:tc>
          <w:tcPr>
            <w:tcW w:w="236" w:type="dxa"/>
            <w:tcBorders>
              <w:top w:val="nil"/>
              <w:left w:val="nil"/>
              <w:bottom w:val="nil"/>
              <w:right w:val="nil"/>
            </w:tcBorders>
            <w:shd w:val="clear" w:color="FFFFFF" w:fill="FFFFFF"/>
            <w:noWrap/>
            <w:vAlign w:val="bottom"/>
            <w:hideMark/>
          </w:tcPr>
          <w:p w14:paraId="35B34811" w14:textId="77777777" w:rsidR="00A43992" w:rsidRDefault="00A43992" w:rsidP="007211E3">
            <w:pPr>
              <w:rPr>
                <w:rFonts w:ascii="Arial" w:hAnsi="Arial" w:cs="Arial"/>
                <w:sz w:val="18"/>
                <w:szCs w:val="18"/>
              </w:rPr>
            </w:pPr>
            <w:r>
              <w:rPr>
                <w:rFonts w:ascii="Arial" w:hAnsi="Arial" w:cs="Arial"/>
                <w:sz w:val="18"/>
                <w:szCs w:val="18"/>
              </w:rPr>
              <w:t> </w:t>
            </w:r>
          </w:p>
        </w:tc>
        <w:tc>
          <w:tcPr>
            <w:tcW w:w="982" w:type="dxa"/>
            <w:tcBorders>
              <w:top w:val="nil"/>
              <w:left w:val="nil"/>
              <w:bottom w:val="nil"/>
              <w:right w:val="nil"/>
            </w:tcBorders>
            <w:shd w:val="clear" w:color="FFFFFF" w:fill="FFFFFF"/>
            <w:noWrap/>
            <w:vAlign w:val="bottom"/>
            <w:hideMark/>
          </w:tcPr>
          <w:p w14:paraId="39E087DF" w14:textId="77777777" w:rsidR="00A43992" w:rsidRDefault="00A43992" w:rsidP="007211E3">
            <w:pPr>
              <w:jc w:val="right"/>
              <w:rPr>
                <w:rFonts w:ascii="Arial" w:hAnsi="Arial" w:cs="Arial"/>
                <w:sz w:val="18"/>
                <w:szCs w:val="18"/>
              </w:rPr>
            </w:pPr>
            <w:r>
              <w:rPr>
                <w:rFonts w:ascii="Arial" w:hAnsi="Arial" w:cs="Arial"/>
                <w:sz w:val="18"/>
                <w:szCs w:val="18"/>
              </w:rPr>
              <w:t xml:space="preserve">143,744 </w:t>
            </w:r>
          </w:p>
        </w:tc>
      </w:tr>
      <w:tr w:rsidR="00A43992" w14:paraId="44EF4DCD" w14:textId="77777777" w:rsidTr="007211E3">
        <w:trPr>
          <w:trHeight w:val="255"/>
        </w:trPr>
        <w:tc>
          <w:tcPr>
            <w:tcW w:w="4592" w:type="dxa"/>
            <w:tcBorders>
              <w:top w:val="nil"/>
              <w:left w:val="nil"/>
              <w:bottom w:val="nil"/>
              <w:right w:val="nil"/>
            </w:tcBorders>
            <w:shd w:val="clear" w:color="FFFFFF" w:fill="FFFFFF"/>
            <w:vAlign w:val="bottom"/>
            <w:hideMark/>
          </w:tcPr>
          <w:p w14:paraId="466B16FB" w14:textId="77777777" w:rsidR="00A43992" w:rsidRDefault="00A43992" w:rsidP="007211E3">
            <w:pPr>
              <w:rPr>
                <w:rFonts w:ascii="Arial" w:hAnsi="Arial" w:cs="Arial"/>
                <w:b/>
                <w:bCs/>
                <w:sz w:val="18"/>
                <w:szCs w:val="18"/>
              </w:rPr>
            </w:pPr>
            <w:r>
              <w:rPr>
                <w:rFonts w:ascii="Arial" w:hAnsi="Arial" w:cs="Arial"/>
                <w:b/>
                <w:bCs/>
                <w:sz w:val="18"/>
                <w:szCs w:val="18"/>
              </w:rPr>
              <w:t>Cash and cash equivalents at the end of the reporting period</w:t>
            </w:r>
          </w:p>
        </w:tc>
        <w:tc>
          <w:tcPr>
            <w:tcW w:w="1047" w:type="dxa"/>
            <w:tcBorders>
              <w:top w:val="nil"/>
              <w:left w:val="nil"/>
              <w:bottom w:val="nil"/>
              <w:right w:val="nil"/>
            </w:tcBorders>
            <w:shd w:val="clear" w:color="FFFFFF" w:fill="FFFFFF"/>
            <w:noWrap/>
            <w:vAlign w:val="bottom"/>
            <w:hideMark/>
          </w:tcPr>
          <w:p w14:paraId="155D7121" w14:textId="77777777" w:rsidR="00A43992" w:rsidRDefault="00A43992" w:rsidP="007211E3">
            <w:pPr>
              <w:jc w:val="center"/>
              <w:rPr>
                <w:rFonts w:ascii="Arial" w:hAnsi="Arial" w:cs="Arial"/>
                <w:sz w:val="18"/>
                <w:szCs w:val="18"/>
              </w:rPr>
            </w:pPr>
            <w:r>
              <w:rPr>
                <w:rFonts w:ascii="Arial" w:hAnsi="Arial" w:cs="Arial"/>
                <w:sz w:val="18"/>
                <w:szCs w:val="18"/>
              </w:rPr>
              <w:t>2.1A</w:t>
            </w:r>
          </w:p>
        </w:tc>
        <w:tc>
          <w:tcPr>
            <w:tcW w:w="1012" w:type="dxa"/>
            <w:tcBorders>
              <w:top w:val="single" w:sz="4" w:space="0" w:color="auto"/>
              <w:left w:val="nil"/>
              <w:bottom w:val="single" w:sz="4" w:space="0" w:color="auto"/>
              <w:right w:val="nil"/>
            </w:tcBorders>
            <w:shd w:val="clear" w:color="FFFFFF" w:fill="FFFFFF"/>
            <w:noWrap/>
            <w:vAlign w:val="bottom"/>
            <w:hideMark/>
          </w:tcPr>
          <w:p w14:paraId="3CC9BF94" w14:textId="77777777" w:rsidR="00A43992" w:rsidRDefault="00A43992" w:rsidP="007211E3">
            <w:pPr>
              <w:jc w:val="right"/>
              <w:rPr>
                <w:rFonts w:ascii="Arial" w:hAnsi="Arial" w:cs="Arial"/>
                <w:b/>
                <w:bCs/>
                <w:sz w:val="18"/>
                <w:szCs w:val="18"/>
              </w:rPr>
            </w:pPr>
            <w:r>
              <w:rPr>
                <w:rFonts w:ascii="Arial" w:hAnsi="Arial" w:cs="Arial"/>
                <w:b/>
                <w:bCs/>
                <w:sz w:val="18"/>
                <w:szCs w:val="18"/>
              </w:rPr>
              <w:t>306,430</w:t>
            </w:r>
          </w:p>
        </w:tc>
        <w:tc>
          <w:tcPr>
            <w:tcW w:w="236" w:type="dxa"/>
            <w:tcBorders>
              <w:top w:val="nil"/>
              <w:left w:val="nil"/>
              <w:bottom w:val="nil"/>
              <w:right w:val="nil"/>
            </w:tcBorders>
            <w:shd w:val="clear" w:color="FFFFFF" w:fill="FFFFFF"/>
            <w:noWrap/>
            <w:vAlign w:val="bottom"/>
            <w:hideMark/>
          </w:tcPr>
          <w:p w14:paraId="22C75A46" w14:textId="77777777" w:rsidR="00A43992" w:rsidRDefault="00A43992" w:rsidP="007211E3">
            <w:pPr>
              <w:rPr>
                <w:rFonts w:ascii="Arial" w:hAnsi="Arial" w:cs="Arial"/>
                <w:sz w:val="18"/>
                <w:szCs w:val="18"/>
              </w:rPr>
            </w:pPr>
            <w:r>
              <w:rPr>
                <w:rFonts w:ascii="Arial" w:hAnsi="Arial" w:cs="Arial"/>
                <w:sz w:val="18"/>
                <w:szCs w:val="18"/>
              </w:rPr>
              <w:t> </w:t>
            </w:r>
          </w:p>
        </w:tc>
        <w:tc>
          <w:tcPr>
            <w:tcW w:w="982" w:type="dxa"/>
            <w:tcBorders>
              <w:top w:val="single" w:sz="4" w:space="0" w:color="auto"/>
              <w:left w:val="nil"/>
              <w:bottom w:val="single" w:sz="4" w:space="0" w:color="auto"/>
              <w:right w:val="nil"/>
            </w:tcBorders>
            <w:shd w:val="clear" w:color="FFFFFF" w:fill="FFFFFF"/>
            <w:noWrap/>
            <w:vAlign w:val="bottom"/>
            <w:hideMark/>
          </w:tcPr>
          <w:p w14:paraId="54DEEA2C" w14:textId="77777777" w:rsidR="00A43992" w:rsidRDefault="00A43992" w:rsidP="007211E3">
            <w:pPr>
              <w:jc w:val="right"/>
              <w:rPr>
                <w:rFonts w:ascii="Arial" w:hAnsi="Arial" w:cs="Arial"/>
                <w:sz w:val="18"/>
                <w:szCs w:val="18"/>
              </w:rPr>
            </w:pPr>
            <w:r>
              <w:rPr>
                <w:rFonts w:ascii="Arial" w:hAnsi="Arial" w:cs="Arial"/>
                <w:sz w:val="18"/>
                <w:szCs w:val="18"/>
              </w:rPr>
              <w:t>136,482</w:t>
            </w:r>
          </w:p>
        </w:tc>
        <w:tc>
          <w:tcPr>
            <w:tcW w:w="236" w:type="dxa"/>
            <w:tcBorders>
              <w:top w:val="nil"/>
              <w:left w:val="nil"/>
              <w:bottom w:val="nil"/>
              <w:right w:val="nil"/>
            </w:tcBorders>
            <w:shd w:val="clear" w:color="FFFFFF" w:fill="FFFFFF"/>
            <w:noWrap/>
            <w:vAlign w:val="bottom"/>
            <w:hideMark/>
          </w:tcPr>
          <w:p w14:paraId="06CA836A" w14:textId="77777777" w:rsidR="00A43992" w:rsidRDefault="00A43992" w:rsidP="007211E3">
            <w:pPr>
              <w:rPr>
                <w:rFonts w:ascii="Arial" w:hAnsi="Arial" w:cs="Arial"/>
                <w:sz w:val="18"/>
                <w:szCs w:val="18"/>
              </w:rPr>
            </w:pPr>
            <w:r>
              <w:rPr>
                <w:rFonts w:ascii="Arial" w:hAnsi="Arial" w:cs="Arial"/>
                <w:sz w:val="18"/>
                <w:szCs w:val="18"/>
              </w:rPr>
              <w:t> </w:t>
            </w:r>
          </w:p>
        </w:tc>
        <w:tc>
          <w:tcPr>
            <w:tcW w:w="982" w:type="dxa"/>
            <w:tcBorders>
              <w:top w:val="single" w:sz="4" w:space="0" w:color="auto"/>
              <w:left w:val="nil"/>
              <w:bottom w:val="single" w:sz="4" w:space="0" w:color="auto"/>
              <w:right w:val="nil"/>
            </w:tcBorders>
            <w:shd w:val="clear" w:color="FFFFFF" w:fill="FFFFFF"/>
            <w:noWrap/>
            <w:vAlign w:val="bottom"/>
            <w:hideMark/>
          </w:tcPr>
          <w:p w14:paraId="22201C6D" w14:textId="77777777" w:rsidR="00A43992" w:rsidRDefault="00A43992" w:rsidP="007211E3">
            <w:pPr>
              <w:jc w:val="right"/>
              <w:rPr>
                <w:rFonts w:ascii="Arial" w:hAnsi="Arial" w:cs="Arial"/>
                <w:sz w:val="18"/>
                <w:szCs w:val="18"/>
              </w:rPr>
            </w:pPr>
            <w:r>
              <w:rPr>
                <w:rFonts w:ascii="Arial" w:hAnsi="Arial" w:cs="Arial"/>
                <w:sz w:val="18"/>
                <w:szCs w:val="18"/>
              </w:rPr>
              <w:t>162,139</w:t>
            </w:r>
          </w:p>
        </w:tc>
      </w:tr>
    </w:tbl>
    <w:p w14:paraId="2B8880E6" w14:textId="77777777" w:rsidR="00A43992" w:rsidRDefault="00A43992" w:rsidP="00A43992">
      <w:pPr>
        <w:pStyle w:val="ReferenceText"/>
      </w:pPr>
      <w:bookmarkStart w:id="119" w:name="RANGE!E6:I59"/>
      <w:bookmarkStart w:id="120" w:name="RANGE!E6:E65"/>
      <w:bookmarkStart w:id="121" w:name="RANGE!E6:I65"/>
      <w:bookmarkStart w:id="122" w:name="RANGE!E6:E64"/>
      <w:bookmarkStart w:id="123" w:name="RANGE!E6:I64"/>
      <w:bookmarkEnd w:id="117"/>
      <w:bookmarkEnd w:id="119"/>
      <w:bookmarkEnd w:id="120"/>
      <w:bookmarkEnd w:id="121"/>
      <w:bookmarkEnd w:id="122"/>
      <w:bookmarkEnd w:id="123"/>
    </w:p>
    <w:p w14:paraId="2EC5BFB6" w14:textId="77777777" w:rsidR="00A43992" w:rsidRDefault="00A43992" w:rsidP="00A43992">
      <w:pPr>
        <w:pStyle w:val="ReferenceText"/>
      </w:pPr>
      <w:r w:rsidRPr="005E5430">
        <w:t>The above statement should be read in conjunction with the accompanying notes.</w:t>
      </w:r>
    </w:p>
    <w:p w14:paraId="73587FE2" w14:textId="4C17DE3A" w:rsidR="00A43992" w:rsidRDefault="00A43992" w:rsidP="00A43992">
      <w:pPr>
        <w:pStyle w:val="PolicyheadingDept"/>
        <w:pBdr>
          <w:top w:val="none" w:sz="0" w:space="0" w:color="auto"/>
          <w:left w:val="none" w:sz="0" w:space="0" w:color="auto"/>
          <w:bottom w:val="none" w:sz="0" w:space="0" w:color="auto"/>
          <w:right w:val="none" w:sz="0" w:space="0" w:color="auto"/>
        </w:pBdr>
        <w:outlineLvl w:val="0"/>
      </w:pPr>
      <w:r w:rsidRPr="00C85147">
        <w:t>Budget Variances Commentary</w:t>
      </w:r>
    </w:p>
    <w:p w14:paraId="252EE7FB" w14:textId="258D6EA1" w:rsidR="00A43992" w:rsidRPr="00BA6414" w:rsidRDefault="00A43992" w:rsidP="00A43992">
      <w:pPr>
        <w:pStyle w:val="PolicyheadingDept"/>
        <w:pBdr>
          <w:top w:val="none" w:sz="0" w:space="0" w:color="auto"/>
          <w:left w:val="none" w:sz="0" w:space="0" w:color="auto"/>
          <w:bottom w:val="none" w:sz="0" w:space="0" w:color="auto"/>
          <w:right w:val="none" w:sz="0" w:space="0" w:color="auto"/>
        </w:pBdr>
        <w:outlineLvl w:val="0"/>
      </w:pPr>
      <w:r>
        <w:t>Cash Flow Statement</w:t>
      </w:r>
    </w:p>
    <w:tbl>
      <w:tblPr>
        <w:tblW w:w="9119"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40"/>
        <w:gridCol w:w="6379"/>
      </w:tblGrid>
      <w:tr w:rsidR="00A43992" w14:paraId="17EBB77B" w14:textId="77777777" w:rsidTr="007211E3">
        <w:trPr>
          <w:cantSplit/>
          <w:trHeight w:val="255"/>
          <w:tblHeader/>
        </w:trPr>
        <w:tc>
          <w:tcPr>
            <w:tcW w:w="2740" w:type="dxa"/>
            <w:tcBorders>
              <w:top w:val="single" w:sz="12" w:space="0" w:color="auto"/>
              <w:left w:val="single" w:sz="12" w:space="0" w:color="auto"/>
              <w:bottom w:val="single" w:sz="12" w:space="0" w:color="auto"/>
              <w:right w:val="single" w:sz="6" w:space="0" w:color="auto"/>
            </w:tcBorders>
            <w:shd w:val="clear" w:color="FFFFFF" w:fill="FFFFFF"/>
            <w:noWrap/>
            <w:vAlign w:val="center"/>
          </w:tcPr>
          <w:p w14:paraId="13864ACC" w14:textId="77777777" w:rsidR="00A43992" w:rsidRPr="002E4757" w:rsidRDefault="00A43992" w:rsidP="007211E3">
            <w:pPr>
              <w:rPr>
                <w:rFonts w:ascii="Arial" w:hAnsi="Arial" w:cs="Arial"/>
                <w:b/>
                <w:sz w:val="18"/>
                <w:szCs w:val="18"/>
              </w:rPr>
            </w:pPr>
            <w:r>
              <w:rPr>
                <w:rFonts w:ascii="Arial" w:hAnsi="Arial" w:cs="Arial"/>
                <w:b/>
                <w:sz w:val="18"/>
                <w:szCs w:val="18"/>
              </w:rPr>
              <w:lastRenderedPageBreak/>
              <w:t>Affected line items</w:t>
            </w:r>
          </w:p>
        </w:tc>
        <w:tc>
          <w:tcPr>
            <w:tcW w:w="6379" w:type="dxa"/>
            <w:tcBorders>
              <w:top w:val="single" w:sz="12" w:space="0" w:color="auto"/>
              <w:left w:val="single" w:sz="6" w:space="0" w:color="auto"/>
              <w:bottom w:val="single" w:sz="12" w:space="0" w:color="auto"/>
              <w:right w:val="single" w:sz="12" w:space="0" w:color="auto"/>
            </w:tcBorders>
            <w:shd w:val="clear" w:color="FFFFFF" w:fill="FFFFFF"/>
            <w:vAlign w:val="center"/>
          </w:tcPr>
          <w:p w14:paraId="21F039F2" w14:textId="77777777" w:rsidR="00A43992" w:rsidRPr="002E4757" w:rsidRDefault="00A43992" w:rsidP="007211E3">
            <w:pPr>
              <w:rPr>
                <w:rFonts w:ascii="Arial" w:hAnsi="Arial" w:cs="Arial"/>
                <w:b/>
                <w:sz w:val="18"/>
                <w:szCs w:val="18"/>
              </w:rPr>
            </w:pPr>
            <w:r>
              <w:rPr>
                <w:rFonts w:ascii="Arial" w:hAnsi="Arial" w:cs="Arial"/>
                <w:b/>
                <w:sz w:val="18"/>
                <w:szCs w:val="18"/>
              </w:rPr>
              <w:t>Explanations of major variances</w:t>
            </w:r>
          </w:p>
        </w:tc>
      </w:tr>
      <w:tr w:rsidR="00A43992" w14:paraId="6D94CAF3" w14:textId="77777777" w:rsidTr="007211E3">
        <w:trPr>
          <w:cantSplit/>
          <w:trHeight w:val="255"/>
        </w:trPr>
        <w:tc>
          <w:tcPr>
            <w:tcW w:w="2740" w:type="dxa"/>
            <w:tcBorders>
              <w:top w:val="single" w:sz="6" w:space="0" w:color="auto"/>
              <w:left w:val="single" w:sz="12" w:space="0" w:color="auto"/>
              <w:bottom w:val="single" w:sz="6" w:space="0" w:color="auto"/>
            </w:tcBorders>
            <w:shd w:val="clear" w:color="FFFFFF" w:fill="FFFFFF"/>
            <w:noWrap/>
          </w:tcPr>
          <w:p w14:paraId="48EAB6DC" w14:textId="77777777" w:rsidR="00A43992" w:rsidRPr="00DD6C40" w:rsidRDefault="00A43992" w:rsidP="007211E3">
            <w:pPr>
              <w:rPr>
                <w:rFonts w:ascii="Arial" w:hAnsi="Arial" w:cs="Arial"/>
                <w:bCs/>
                <w:sz w:val="18"/>
                <w:szCs w:val="18"/>
              </w:rPr>
            </w:pPr>
            <w:r>
              <w:rPr>
                <w:rFonts w:ascii="Arial" w:hAnsi="Arial" w:cs="Arial"/>
                <w:bCs/>
                <w:sz w:val="18"/>
                <w:szCs w:val="18"/>
              </w:rPr>
              <w:t>Operating activities</w:t>
            </w:r>
          </w:p>
          <w:p w14:paraId="6F75F334" w14:textId="77777777" w:rsidR="00A43992" w:rsidRPr="00DD6C40" w:rsidRDefault="00A43992" w:rsidP="007211E3">
            <w:pPr>
              <w:rPr>
                <w:rFonts w:ascii="Arial" w:hAnsi="Arial" w:cs="Arial"/>
                <w:bCs/>
                <w:i/>
                <w:sz w:val="18"/>
                <w:szCs w:val="18"/>
              </w:rPr>
            </w:pPr>
            <w:r w:rsidRPr="002D2BAA">
              <w:rPr>
                <w:rFonts w:ascii="Arial" w:hAnsi="Arial" w:cs="Arial"/>
                <w:i/>
                <w:sz w:val="18"/>
                <w:szCs w:val="18"/>
              </w:rPr>
              <w:t>State and territory government contributions</w:t>
            </w:r>
            <w:r>
              <w:rPr>
                <w:rFonts w:ascii="Arial" w:hAnsi="Arial" w:cs="Arial"/>
                <w:bCs/>
                <w:i/>
                <w:sz w:val="18"/>
                <w:szCs w:val="18"/>
              </w:rPr>
              <w:t>, Other cash received</w:t>
            </w:r>
          </w:p>
        </w:tc>
        <w:tc>
          <w:tcPr>
            <w:tcW w:w="6379" w:type="dxa"/>
            <w:tcBorders>
              <w:top w:val="single" w:sz="6" w:space="0" w:color="auto"/>
              <w:bottom w:val="single" w:sz="6" w:space="0" w:color="auto"/>
              <w:right w:val="single" w:sz="12" w:space="0" w:color="auto"/>
            </w:tcBorders>
            <w:shd w:val="clear" w:color="FFFFFF" w:fill="FFFFFF"/>
            <w:noWrap/>
          </w:tcPr>
          <w:p w14:paraId="1B001791" w14:textId="77777777" w:rsidR="00A43992" w:rsidRPr="00DD6C40" w:rsidRDefault="00A43992" w:rsidP="007211E3">
            <w:pPr>
              <w:rPr>
                <w:rFonts w:ascii="Arial" w:hAnsi="Arial" w:cs="Arial"/>
                <w:sz w:val="18"/>
                <w:szCs w:val="18"/>
              </w:rPr>
            </w:pPr>
            <w:r>
              <w:rPr>
                <w:rFonts w:ascii="Arial" w:hAnsi="Arial" w:cs="Arial"/>
                <w:sz w:val="18"/>
                <w:szCs w:val="18"/>
              </w:rPr>
              <w:t xml:space="preserve">Revenue from rendering of services is lower than anticipated in the original budget. The difference primarily relates to lower than expected recovery of outstanding state and territory scheme cash contributions from 30 June 2015. In addition, the original budget reflects a $13.5 million contribution from the </w:t>
            </w:r>
            <w:r w:rsidRPr="00F34B74">
              <w:rPr>
                <w:rFonts w:ascii="Arial" w:hAnsi="Arial" w:cs="Arial"/>
                <w:sz w:val="18"/>
                <w:szCs w:val="18"/>
              </w:rPr>
              <w:t xml:space="preserve">Victorian Government to fund the set-up costs of the </w:t>
            </w:r>
            <w:r>
              <w:rPr>
                <w:rFonts w:ascii="Arial" w:hAnsi="Arial" w:cs="Arial"/>
                <w:sz w:val="18"/>
                <w:szCs w:val="18"/>
              </w:rPr>
              <w:t>Agency’s National Office</w:t>
            </w:r>
            <w:r w:rsidRPr="00F34B74">
              <w:rPr>
                <w:rFonts w:ascii="Arial" w:hAnsi="Arial" w:cs="Arial"/>
                <w:sz w:val="18"/>
                <w:szCs w:val="18"/>
              </w:rPr>
              <w:t xml:space="preserve"> in Geelong</w:t>
            </w:r>
            <w:r>
              <w:rPr>
                <w:rFonts w:ascii="Arial" w:hAnsi="Arial" w:cs="Arial"/>
                <w:sz w:val="18"/>
                <w:szCs w:val="18"/>
              </w:rPr>
              <w:t>. In the 2016 cash flow statement, this has been disclosed as ‘other’ cash received.</w:t>
            </w:r>
          </w:p>
        </w:tc>
      </w:tr>
      <w:tr w:rsidR="00A43992" w14:paraId="4FBC4B8F" w14:textId="77777777" w:rsidTr="007211E3">
        <w:trPr>
          <w:cantSplit/>
          <w:trHeight w:val="255"/>
        </w:trPr>
        <w:tc>
          <w:tcPr>
            <w:tcW w:w="2740" w:type="dxa"/>
            <w:tcBorders>
              <w:top w:val="single" w:sz="6" w:space="0" w:color="auto"/>
              <w:left w:val="single" w:sz="12" w:space="0" w:color="auto"/>
              <w:bottom w:val="single" w:sz="6" w:space="0" w:color="auto"/>
            </w:tcBorders>
            <w:shd w:val="clear" w:color="FFFFFF" w:fill="FFFFFF"/>
            <w:noWrap/>
          </w:tcPr>
          <w:p w14:paraId="003AABBD" w14:textId="77777777" w:rsidR="00A43992" w:rsidRPr="00DD6C40" w:rsidRDefault="00A43992" w:rsidP="007211E3">
            <w:pPr>
              <w:rPr>
                <w:rFonts w:ascii="Arial" w:hAnsi="Arial" w:cs="Arial"/>
                <w:bCs/>
                <w:sz w:val="18"/>
                <w:szCs w:val="18"/>
              </w:rPr>
            </w:pPr>
            <w:r>
              <w:rPr>
                <w:rFonts w:ascii="Arial" w:hAnsi="Arial" w:cs="Arial"/>
                <w:bCs/>
                <w:sz w:val="18"/>
                <w:szCs w:val="18"/>
              </w:rPr>
              <w:t>Operating activities</w:t>
            </w:r>
          </w:p>
          <w:p w14:paraId="65DB3505" w14:textId="77777777" w:rsidR="00A43992" w:rsidRDefault="00A43992" w:rsidP="007211E3">
            <w:pPr>
              <w:rPr>
                <w:rFonts w:ascii="Arial" w:hAnsi="Arial" w:cs="Arial"/>
                <w:bCs/>
                <w:sz w:val="18"/>
                <w:szCs w:val="18"/>
              </w:rPr>
            </w:pPr>
            <w:r>
              <w:rPr>
                <w:rFonts w:ascii="Arial" w:hAnsi="Arial" w:cs="Arial"/>
                <w:bCs/>
                <w:i/>
                <w:sz w:val="18"/>
                <w:szCs w:val="18"/>
              </w:rPr>
              <w:t>Interest received</w:t>
            </w:r>
          </w:p>
        </w:tc>
        <w:tc>
          <w:tcPr>
            <w:tcW w:w="6379" w:type="dxa"/>
            <w:tcBorders>
              <w:top w:val="single" w:sz="6" w:space="0" w:color="auto"/>
              <w:bottom w:val="single" w:sz="6" w:space="0" w:color="auto"/>
              <w:right w:val="single" w:sz="12" w:space="0" w:color="auto"/>
            </w:tcBorders>
            <w:shd w:val="clear" w:color="FFFFFF" w:fill="FFFFFF"/>
            <w:noWrap/>
          </w:tcPr>
          <w:p w14:paraId="258DE5F9" w14:textId="77777777" w:rsidR="00A43992" w:rsidRPr="00DD6C40" w:rsidRDefault="00A43992" w:rsidP="007211E3">
            <w:pPr>
              <w:rPr>
                <w:rFonts w:ascii="Arial" w:hAnsi="Arial" w:cs="Arial"/>
                <w:sz w:val="18"/>
                <w:szCs w:val="18"/>
              </w:rPr>
            </w:pPr>
            <w:r>
              <w:rPr>
                <w:rFonts w:ascii="Arial" w:hAnsi="Arial" w:cs="Arial"/>
                <w:sz w:val="18"/>
                <w:szCs w:val="18"/>
              </w:rPr>
              <w:t>Interest received is derived from the Agency investing cash in short-term deposits. The original budget does not assume that cash on hand will be in excess to immediate requirements.</w:t>
            </w:r>
          </w:p>
        </w:tc>
      </w:tr>
      <w:tr w:rsidR="00A43992" w14:paraId="4165C041" w14:textId="77777777" w:rsidTr="007211E3">
        <w:trPr>
          <w:cantSplit/>
          <w:trHeight w:val="255"/>
        </w:trPr>
        <w:tc>
          <w:tcPr>
            <w:tcW w:w="2740" w:type="dxa"/>
            <w:tcBorders>
              <w:top w:val="single" w:sz="6" w:space="0" w:color="auto"/>
              <w:left w:val="single" w:sz="12" w:space="0" w:color="auto"/>
              <w:bottom w:val="single" w:sz="6" w:space="0" w:color="auto"/>
            </w:tcBorders>
            <w:shd w:val="clear" w:color="FFFFFF" w:fill="FFFFFF"/>
            <w:noWrap/>
          </w:tcPr>
          <w:p w14:paraId="05AB9F72" w14:textId="77777777" w:rsidR="00A43992" w:rsidRPr="00DD6C40" w:rsidRDefault="00A43992" w:rsidP="007211E3">
            <w:pPr>
              <w:rPr>
                <w:rFonts w:ascii="Arial" w:hAnsi="Arial" w:cs="Arial"/>
                <w:bCs/>
                <w:sz w:val="18"/>
                <w:szCs w:val="18"/>
              </w:rPr>
            </w:pPr>
            <w:r>
              <w:rPr>
                <w:rFonts w:ascii="Arial" w:hAnsi="Arial" w:cs="Arial"/>
                <w:bCs/>
                <w:sz w:val="18"/>
                <w:szCs w:val="18"/>
              </w:rPr>
              <w:t>Operating activities</w:t>
            </w:r>
          </w:p>
          <w:p w14:paraId="24107A82" w14:textId="77777777" w:rsidR="00A43992" w:rsidRDefault="00A43992" w:rsidP="007211E3">
            <w:pPr>
              <w:rPr>
                <w:rFonts w:ascii="Arial" w:hAnsi="Arial" w:cs="Arial"/>
                <w:bCs/>
                <w:sz w:val="18"/>
                <w:szCs w:val="18"/>
              </w:rPr>
            </w:pPr>
            <w:r>
              <w:rPr>
                <w:rFonts w:ascii="Arial" w:hAnsi="Arial" w:cs="Arial"/>
                <w:bCs/>
                <w:i/>
                <w:sz w:val="18"/>
                <w:szCs w:val="18"/>
              </w:rPr>
              <w:t>Net GST received</w:t>
            </w:r>
          </w:p>
        </w:tc>
        <w:tc>
          <w:tcPr>
            <w:tcW w:w="6379" w:type="dxa"/>
            <w:tcBorders>
              <w:top w:val="single" w:sz="6" w:space="0" w:color="auto"/>
              <w:bottom w:val="single" w:sz="6" w:space="0" w:color="auto"/>
              <w:right w:val="single" w:sz="12" w:space="0" w:color="auto"/>
            </w:tcBorders>
            <w:shd w:val="clear" w:color="FFFFFF" w:fill="FFFFFF"/>
            <w:noWrap/>
          </w:tcPr>
          <w:p w14:paraId="27389981" w14:textId="77777777" w:rsidR="00A43992" w:rsidRDefault="00A43992" w:rsidP="007211E3">
            <w:pPr>
              <w:rPr>
                <w:rFonts w:ascii="Arial" w:hAnsi="Arial" w:cs="Arial"/>
                <w:sz w:val="18"/>
                <w:szCs w:val="18"/>
              </w:rPr>
            </w:pPr>
            <w:r>
              <w:rPr>
                <w:rFonts w:ascii="Arial" w:hAnsi="Arial" w:cs="Arial"/>
                <w:sz w:val="18"/>
                <w:szCs w:val="18"/>
              </w:rPr>
              <w:t>The original budget does not estimate the impact of GST on existing cash flows from operating activities.</w:t>
            </w:r>
          </w:p>
        </w:tc>
      </w:tr>
      <w:tr w:rsidR="00A43992" w14:paraId="56806BF3" w14:textId="77777777" w:rsidTr="007211E3">
        <w:trPr>
          <w:cantSplit/>
          <w:trHeight w:val="255"/>
        </w:trPr>
        <w:tc>
          <w:tcPr>
            <w:tcW w:w="2740" w:type="dxa"/>
            <w:tcBorders>
              <w:top w:val="single" w:sz="6" w:space="0" w:color="auto"/>
              <w:left w:val="single" w:sz="12" w:space="0" w:color="auto"/>
              <w:bottom w:val="single" w:sz="6" w:space="0" w:color="auto"/>
            </w:tcBorders>
            <w:shd w:val="clear" w:color="FFFFFF" w:fill="FFFFFF"/>
            <w:noWrap/>
          </w:tcPr>
          <w:p w14:paraId="778D6802" w14:textId="77777777" w:rsidR="00A43992" w:rsidRPr="00DD6C40" w:rsidRDefault="00A43992" w:rsidP="007211E3">
            <w:pPr>
              <w:rPr>
                <w:rFonts w:ascii="Arial" w:hAnsi="Arial" w:cs="Arial"/>
                <w:bCs/>
                <w:sz w:val="18"/>
                <w:szCs w:val="18"/>
              </w:rPr>
            </w:pPr>
            <w:r>
              <w:rPr>
                <w:rFonts w:ascii="Arial" w:hAnsi="Arial" w:cs="Arial"/>
                <w:bCs/>
                <w:sz w:val="18"/>
                <w:szCs w:val="18"/>
              </w:rPr>
              <w:t>Operating activities</w:t>
            </w:r>
          </w:p>
          <w:p w14:paraId="06DC123C" w14:textId="77777777" w:rsidR="00A43992" w:rsidRDefault="00A43992" w:rsidP="007211E3">
            <w:pPr>
              <w:rPr>
                <w:rFonts w:ascii="Arial" w:hAnsi="Arial" w:cs="Arial"/>
                <w:bCs/>
                <w:i/>
                <w:sz w:val="18"/>
                <w:szCs w:val="18"/>
              </w:rPr>
            </w:pPr>
            <w:r w:rsidRPr="00DD6C40">
              <w:rPr>
                <w:rFonts w:ascii="Arial" w:hAnsi="Arial" w:cs="Arial"/>
                <w:bCs/>
                <w:i/>
                <w:sz w:val="18"/>
                <w:szCs w:val="18"/>
              </w:rPr>
              <w:t>Employee benefits, Supplier</w:t>
            </w:r>
            <w:r>
              <w:rPr>
                <w:rFonts w:ascii="Arial" w:hAnsi="Arial" w:cs="Arial"/>
                <w:bCs/>
                <w:i/>
                <w:sz w:val="18"/>
                <w:szCs w:val="18"/>
              </w:rPr>
              <w:t xml:space="preserve"> expenses</w:t>
            </w:r>
            <w:r w:rsidRPr="00DD6C40">
              <w:rPr>
                <w:rFonts w:ascii="Arial" w:hAnsi="Arial" w:cs="Arial"/>
                <w:bCs/>
                <w:i/>
                <w:sz w:val="18"/>
                <w:szCs w:val="18"/>
              </w:rPr>
              <w:t>, Local area coordination</w:t>
            </w:r>
            <w:r>
              <w:rPr>
                <w:rFonts w:ascii="Arial" w:hAnsi="Arial" w:cs="Arial"/>
                <w:bCs/>
                <w:i/>
                <w:sz w:val="18"/>
                <w:szCs w:val="18"/>
              </w:rPr>
              <w:t xml:space="preserve"> costs</w:t>
            </w:r>
          </w:p>
          <w:p w14:paraId="43B444DD" w14:textId="77777777" w:rsidR="00A43992" w:rsidRDefault="00A43992" w:rsidP="007211E3">
            <w:pPr>
              <w:rPr>
                <w:rFonts w:ascii="Arial" w:hAnsi="Arial" w:cs="Arial"/>
                <w:bCs/>
                <w:sz w:val="18"/>
                <w:szCs w:val="18"/>
              </w:rPr>
            </w:pPr>
          </w:p>
          <w:p w14:paraId="75C2AD8B" w14:textId="77777777" w:rsidR="00A43992" w:rsidRPr="003E5046" w:rsidRDefault="00A43992" w:rsidP="007211E3">
            <w:pPr>
              <w:rPr>
                <w:rFonts w:ascii="Arial" w:hAnsi="Arial" w:cs="Arial"/>
                <w:bCs/>
                <w:sz w:val="18"/>
                <w:szCs w:val="18"/>
              </w:rPr>
            </w:pPr>
            <w:r>
              <w:rPr>
                <w:rFonts w:ascii="Arial" w:hAnsi="Arial" w:cs="Arial"/>
                <w:bCs/>
                <w:sz w:val="18"/>
                <w:szCs w:val="18"/>
              </w:rPr>
              <w:t>Receipts from Government</w:t>
            </w:r>
          </w:p>
        </w:tc>
        <w:tc>
          <w:tcPr>
            <w:tcW w:w="6379" w:type="dxa"/>
            <w:tcBorders>
              <w:top w:val="single" w:sz="6" w:space="0" w:color="auto"/>
              <w:bottom w:val="single" w:sz="6" w:space="0" w:color="auto"/>
              <w:right w:val="single" w:sz="12" w:space="0" w:color="auto"/>
            </w:tcBorders>
            <w:shd w:val="clear" w:color="FFFFFF" w:fill="FFFFFF"/>
            <w:noWrap/>
          </w:tcPr>
          <w:p w14:paraId="4888B6D7" w14:textId="77777777" w:rsidR="00A43992" w:rsidRDefault="00A43992" w:rsidP="007211E3">
            <w:pPr>
              <w:rPr>
                <w:rFonts w:ascii="Arial" w:hAnsi="Arial" w:cs="Arial"/>
                <w:sz w:val="18"/>
                <w:szCs w:val="18"/>
              </w:rPr>
            </w:pPr>
            <w:r>
              <w:rPr>
                <w:rFonts w:ascii="Arial" w:hAnsi="Arial" w:cs="Arial"/>
                <w:sz w:val="18"/>
                <w:szCs w:val="18"/>
              </w:rPr>
              <w:t>As stated previously in the budget variances commentary to the Statement of Comprehensive Income, the Agency adopted S</w:t>
            </w:r>
            <w:r w:rsidRPr="00DD6C40">
              <w:rPr>
                <w:rFonts w:ascii="Arial" w:hAnsi="Arial" w:cs="Arial"/>
                <w:sz w:val="18"/>
                <w:szCs w:val="18"/>
              </w:rPr>
              <w:t xml:space="preserve">DOM </w:t>
            </w:r>
            <w:r>
              <w:rPr>
                <w:rFonts w:ascii="Arial" w:hAnsi="Arial" w:cs="Arial"/>
                <w:sz w:val="18"/>
                <w:szCs w:val="18"/>
              </w:rPr>
              <w:t>reducing employee benefit payments and increasing supplier and local area coordination payments compared with the original budget.</w:t>
            </w:r>
          </w:p>
          <w:p w14:paraId="3FDB2DFF" w14:textId="77777777" w:rsidR="00A43992" w:rsidRDefault="00A43992" w:rsidP="007211E3">
            <w:pPr>
              <w:rPr>
                <w:rFonts w:ascii="Arial" w:hAnsi="Arial" w:cs="Arial"/>
                <w:sz w:val="18"/>
                <w:szCs w:val="18"/>
              </w:rPr>
            </w:pPr>
            <w:r>
              <w:rPr>
                <w:rFonts w:ascii="Arial" w:hAnsi="Arial" w:cs="Arial"/>
                <w:sz w:val="18"/>
                <w:szCs w:val="18"/>
              </w:rPr>
              <w:t>Receipts from Government also increased i</w:t>
            </w:r>
            <w:r w:rsidRPr="00DD6C40">
              <w:rPr>
                <w:rFonts w:ascii="Arial" w:hAnsi="Arial" w:cs="Arial"/>
                <w:sz w:val="18"/>
                <w:szCs w:val="18"/>
              </w:rPr>
              <w:t>n order to fund the adoption</w:t>
            </w:r>
            <w:r>
              <w:rPr>
                <w:rFonts w:ascii="Arial" w:hAnsi="Arial" w:cs="Arial"/>
                <w:sz w:val="18"/>
                <w:szCs w:val="18"/>
              </w:rPr>
              <w:t xml:space="preserve"> of SDOM</w:t>
            </w:r>
            <w:r w:rsidRPr="00DD6C40">
              <w:rPr>
                <w:rFonts w:ascii="Arial" w:hAnsi="Arial" w:cs="Arial"/>
                <w:sz w:val="18"/>
                <w:szCs w:val="18"/>
              </w:rPr>
              <w:t xml:space="preserve">. </w:t>
            </w:r>
          </w:p>
        </w:tc>
      </w:tr>
      <w:tr w:rsidR="00A43992" w14:paraId="1685A0F0" w14:textId="77777777" w:rsidTr="007211E3">
        <w:trPr>
          <w:cantSplit/>
          <w:trHeight w:val="255"/>
        </w:trPr>
        <w:tc>
          <w:tcPr>
            <w:tcW w:w="2740" w:type="dxa"/>
            <w:tcBorders>
              <w:top w:val="single" w:sz="6" w:space="0" w:color="auto"/>
              <w:left w:val="single" w:sz="12" w:space="0" w:color="auto"/>
              <w:bottom w:val="single" w:sz="6" w:space="0" w:color="auto"/>
            </w:tcBorders>
            <w:shd w:val="clear" w:color="FFFFFF" w:fill="FFFFFF"/>
            <w:noWrap/>
          </w:tcPr>
          <w:p w14:paraId="17BA1ABA" w14:textId="77777777" w:rsidR="00A43992" w:rsidRPr="00DD6C40" w:rsidRDefault="00A43992" w:rsidP="007211E3">
            <w:pPr>
              <w:rPr>
                <w:rFonts w:ascii="Arial" w:hAnsi="Arial" w:cs="Arial"/>
                <w:bCs/>
                <w:sz w:val="18"/>
                <w:szCs w:val="18"/>
              </w:rPr>
            </w:pPr>
            <w:r>
              <w:rPr>
                <w:rFonts w:ascii="Arial" w:hAnsi="Arial" w:cs="Arial"/>
                <w:bCs/>
                <w:sz w:val="18"/>
                <w:szCs w:val="18"/>
              </w:rPr>
              <w:t>Operating activities</w:t>
            </w:r>
          </w:p>
          <w:p w14:paraId="59A0160E" w14:textId="77777777" w:rsidR="00A43992" w:rsidRDefault="00A43992" w:rsidP="007211E3">
            <w:pPr>
              <w:rPr>
                <w:rFonts w:ascii="Arial" w:hAnsi="Arial" w:cs="Arial"/>
                <w:bCs/>
                <w:i/>
                <w:sz w:val="18"/>
                <w:szCs w:val="18"/>
              </w:rPr>
            </w:pPr>
            <w:r w:rsidRPr="00DD6C40">
              <w:rPr>
                <w:rFonts w:ascii="Arial" w:hAnsi="Arial" w:cs="Arial"/>
                <w:bCs/>
                <w:i/>
                <w:sz w:val="18"/>
                <w:szCs w:val="18"/>
              </w:rPr>
              <w:t xml:space="preserve">Grant </w:t>
            </w:r>
            <w:r>
              <w:rPr>
                <w:rFonts w:ascii="Arial" w:hAnsi="Arial" w:cs="Arial"/>
                <w:bCs/>
                <w:i/>
                <w:sz w:val="18"/>
                <w:szCs w:val="18"/>
              </w:rPr>
              <w:t>payments</w:t>
            </w:r>
          </w:p>
          <w:p w14:paraId="6D7AF1AC" w14:textId="77777777" w:rsidR="00A43992" w:rsidRDefault="00A43992" w:rsidP="007211E3">
            <w:pPr>
              <w:rPr>
                <w:rFonts w:ascii="Arial" w:hAnsi="Arial" w:cs="Arial"/>
                <w:bCs/>
                <w:i/>
                <w:sz w:val="18"/>
                <w:szCs w:val="18"/>
              </w:rPr>
            </w:pPr>
          </w:p>
          <w:p w14:paraId="2096447A" w14:textId="77777777" w:rsidR="00A43992" w:rsidRPr="008E7291" w:rsidRDefault="00A43992" w:rsidP="007211E3">
            <w:pPr>
              <w:rPr>
                <w:rFonts w:ascii="Arial" w:hAnsi="Arial" w:cs="Arial"/>
                <w:bCs/>
                <w:i/>
                <w:sz w:val="18"/>
                <w:szCs w:val="18"/>
              </w:rPr>
            </w:pPr>
          </w:p>
        </w:tc>
        <w:tc>
          <w:tcPr>
            <w:tcW w:w="6379" w:type="dxa"/>
            <w:tcBorders>
              <w:top w:val="single" w:sz="6" w:space="0" w:color="auto"/>
              <w:bottom w:val="single" w:sz="6" w:space="0" w:color="auto"/>
              <w:right w:val="single" w:sz="12" w:space="0" w:color="auto"/>
            </w:tcBorders>
            <w:shd w:val="clear" w:color="FFFFFF" w:fill="FFFFFF"/>
            <w:noWrap/>
          </w:tcPr>
          <w:p w14:paraId="3FCDD2DD" w14:textId="77777777" w:rsidR="00A43992" w:rsidRDefault="00A43992" w:rsidP="007211E3">
            <w:pPr>
              <w:rPr>
                <w:rFonts w:ascii="Arial" w:hAnsi="Arial" w:cs="Arial"/>
                <w:sz w:val="18"/>
                <w:szCs w:val="18"/>
              </w:rPr>
            </w:pPr>
            <w:r>
              <w:rPr>
                <w:rFonts w:ascii="Arial" w:hAnsi="Arial" w:cs="Arial"/>
                <w:sz w:val="18"/>
                <w:szCs w:val="18"/>
              </w:rPr>
              <w:t>Grant payments anticipated in the original budget include $6.7 million, allocated for Community Inclusion and Capacity Development (‘CICD’).</w:t>
            </w:r>
          </w:p>
          <w:p w14:paraId="561F3A41" w14:textId="77777777" w:rsidR="00A43992" w:rsidRDefault="00A43992" w:rsidP="007211E3">
            <w:pPr>
              <w:rPr>
                <w:rFonts w:ascii="Arial" w:hAnsi="Arial" w:cs="Arial"/>
                <w:sz w:val="18"/>
                <w:szCs w:val="18"/>
              </w:rPr>
            </w:pPr>
            <w:r>
              <w:rPr>
                <w:rFonts w:ascii="Arial" w:hAnsi="Arial" w:cs="Arial"/>
                <w:sz w:val="18"/>
                <w:szCs w:val="18"/>
              </w:rPr>
              <w:t>This was subsequently revised to $10.7 million as part of the MYEFO.</w:t>
            </w:r>
          </w:p>
          <w:p w14:paraId="070AC4E1" w14:textId="77777777" w:rsidR="00A43992" w:rsidRDefault="00A43992" w:rsidP="007211E3">
            <w:pPr>
              <w:rPr>
                <w:rFonts w:ascii="Arial" w:hAnsi="Arial" w:cs="Arial"/>
                <w:sz w:val="18"/>
                <w:szCs w:val="18"/>
              </w:rPr>
            </w:pPr>
            <w:r>
              <w:rPr>
                <w:rFonts w:ascii="Arial" w:hAnsi="Arial" w:cs="Arial"/>
                <w:sz w:val="18"/>
                <w:szCs w:val="18"/>
              </w:rPr>
              <w:t>For the year ended</w:t>
            </w:r>
            <w:r w:rsidRPr="00DD6C40">
              <w:rPr>
                <w:rFonts w:ascii="Arial" w:hAnsi="Arial" w:cs="Arial"/>
                <w:sz w:val="18"/>
                <w:szCs w:val="18"/>
              </w:rPr>
              <w:t xml:space="preserve"> 30 June</w:t>
            </w:r>
            <w:r>
              <w:rPr>
                <w:rFonts w:ascii="Arial" w:hAnsi="Arial" w:cs="Arial"/>
                <w:sz w:val="18"/>
                <w:szCs w:val="18"/>
              </w:rPr>
              <w:t xml:space="preserve"> 2016</w:t>
            </w:r>
            <w:r w:rsidRPr="00DD6C40">
              <w:rPr>
                <w:rFonts w:ascii="Arial" w:hAnsi="Arial" w:cs="Arial"/>
                <w:sz w:val="18"/>
                <w:szCs w:val="18"/>
              </w:rPr>
              <w:t>,</w:t>
            </w:r>
            <w:r>
              <w:rPr>
                <w:rFonts w:ascii="Arial" w:hAnsi="Arial" w:cs="Arial"/>
                <w:sz w:val="18"/>
                <w:szCs w:val="18"/>
              </w:rPr>
              <w:t xml:space="preserve"> CICD grants </w:t>
            </w:r>
            <w:proofErr w:type="spellStart"/>
            <w:r>
              <w:rPr>
                <w:rFonts w:ascii="Arial" w:hAnsi="Arial" w:cs="Arial"/>
                <w:sz w:val="18"/>
                <w:szCs w:val="18"/>
              </w:rPr>
              <w:t>totalled</w:t>
            </w:r>
            <w:proofErr w:type="spellEnd"/>
            <w:r w:rsidRPr="00DD6C40">
              <w:rPr>
                <w:rFonts w:ascii="Arial" w:hAnsi="Arial" w:cs="Arial"/>
                <w:sz w:val="18"/>
                <w:szCs w:val="18"/>
              </w:rPr>
              <w:t xml:space="preserve"> $7.0</w:t>
            </w:r>
            <w:r>
              <w:rPr>
                <w:rFonts w:ascii="Arial" w:hAnsi="Arial" w:cs="Arial"/>
                <w:sz w:val="18"/>
                <w:szCs w:val="18"/>
              </w:rPr>
              <w:t xml:space="preserve"> million.</w:t>
            </w:r>
          </w:p>
          <w:p w14:paraId="432FA97B" w14:textId="77777777" w:rsidR="00A43992" w:rsidRDefault="00A43992" w:rsidP="007211E3">
            <w:pPr>
              <w:rPr>
                <w:rFonts w:ascii="Arial" w:hAnsi="Arial" w:cs="Arial"/>
                <w:sz w:val="18"/>
                <w:szCs w:val="18"/>
              </w:rPr>
            </w:pPr>
            <w:r w:rsidRPr="00DD6C40">
              <w:rPr>
                <w:rFonts w:ascii="Arial" w:hAnsi="Arial" w:cs="Arial"/>
                <w:sz w:val="18"/>
                <w:szCs w:val="18"/>
              </w:rPr>
              <w:t xml:space="preserve">Grants </w:t>
            </w:r>
            <w:r>
              <w:rPr>
                <w:rFonts w:ascii="Arial" w:hAnsi="Arial" w:cs="Arial"/>
                <w:sz w:val="18"/>
                <w:szCs w:val="18"/>
              </w:rPr>
              <w:t>payments</w:t>
            </w:r>
            <w:r w:rsidRPr="00DD6C40">
              <w:rPr>
                <w:rFonts w:ascii="Arial" w:hAnsi="Arial" w:cs="Arial"/>
                <w:sz w:val="18"/>
                <w:szCs w:val="18"/>
              </w:rPr>
              <w:t xml:space="preserve"> </w:t>
            </w:r>
            <w:r>
              <w:rPr>
                <w:rFonts w:ascii="Arial" w:hAnsi="Arial" w:cs="Arial"/>
                <w:sz w:val="18"/>
                <w:szCs w:val="18"/>
              </w:rPr>
              <w:t>also include</w:t>
            </w:r>
            <w:r w:rsidRPr="00DD6C40">
              <w:rPr>
                <w:rFonts w:ascii="Arial" w:hAnsi="Arial" w:cs="Arial"/>
                <w:sz w:val="18"/>
                <w:szCs w:val="18"/>
              </w:rPr>
              <w:t xml:space="preserve"> $2.0</w:t>
            </w:r>
            <w:r>
              <w:rPr>
                <w:rFonts w:ascii="Arial" w:hAnsi="Arial" w:cs="Arial"/>
                <w:sz w:val="18"/>
                <w:szCs w:val="18"/>
              </w:rPr>
              <w:t xml:space="preserve"> </w:t>
            </w:r>
            <w:proofErr w:type="spellStart"/>
            <w:r>
              <w:rPr>
                <w:rFonts w:ascii="Arial" w:hAnsi="Arial" w:cs="Arial"/>
                <w:sz w:val="18"/>
                <w:szCs w:val="18"/>
              </w:rPr>
              <w:t>million</w:t>
            </w:r>
            <w:proofErr w:type="spellEnd"/>
            <w:r w:rsidRPr="00DD6C40">
              <w:rPr>
                <w:rFonts w:ascii="Arial" w:hAnsi="Arial" w:cs="Arial"/>
                <w:sz w:val="18"/>
                <w:szCs w:val="18"/>
              </w:rPr>
              <w:t xml:space="preserve"> o</w:t>
            </w:r>
            <w:r>
              <w:rPr>
                <w:rFonts w:ascii="Arial" w:hAnsi="Arial" w:cs="Arial"/>
                <w:sz w:val="18"/>
                <w:szCs w:val="18"/>
              </w:rPr>
              <w:t>f Sector Development Fund costs, not anticipated in the original budget</w:t>
            </w:r>
            <w:r w:rsidRPr="00DD6C40">
              <w:rPr>
                <w:rFonts w:ascii="Arial" w:hAnsi="Arial" w:cs="Arial"/>
                <w:sz w:val="18"/>
                <w:szCs w:val="18"/>
              </w:rPr>
              <w:t xml:space="preserve">. </w:t>
            </w:r>
          </w:p>
        </w:tc>
      </w:tr>
      <w:tr w:rsidR="00A43992" w14:paraId="767A8D1A" w14:textId="77777777" w:rsidTr="007211E3">
        <w:trPr>
          <w:cantSplit/>
          <w:trHeight w:val="255"/>
        </w:trPr>
        <w:tc>
          <w:tcPr>
            <w:tcW w:w="2740" w:type="dxa"/>
            <w:tcBorders>
              <w:top w:val="single" w:sz="6" w:space="0" w:color="auto"/>
              <w:left w:val="single" w:sz="12" w:space="0" w:color="auto"/>
              <w:bottom w:val="single" w:sz="6" w:space="0" w:color="auto"/>
            </w:tcBorders>
            <w:shd w:val="clear" w:color="FFFFFF" w:fill="FFFFFF"/>
            <w:noWrap/>
          </w:tcPr>
          <w:p w14:paraId="1F7BD515" w14:textId="77777777" w:rsidR="00A43992" w:rsidRPr="00DD6C40" w:rsidRDefault="00A43992" w:rsidP="007211E3">
            <w:pPr>
              <w:rPr>
                <w:rFonts w:ascii="Arial" w:hAnsi="Arial" w:cs="Arial"/>
                <w:bCs/>
                <w:sz w:val="18"/>
                <w:szCs w:val="18"/>
              </w:rPr>
            </w:pPr>
            <w:r>
              <w:rPr>
                <w:rFonts w:ascii="Arial" w:hAnsi="Arial" w:cs="Arial"/>
                <w:bCs/>
                <w:sz w:val="18"/>
                <w:szCs w:val="18"/>
              </w:rPr>
              <w:t>Operating activities</w:t>
            </w:r>
          </w:p>
          <w:p w14:paraId="6CAA3B73" w14:textId="77777777" w:rsidR="00A43992" w:rsidRPr="005013FF" w:rsidRDefault="00A43992" w:rsidP="007211E3">
            <w:pPr>
              <w:rPr>
                <w:rFonts w:ascii="Arial" w:hAnsi="Arial" w:cs="Arial"/>
                <w:bCs/>
                <w:sz w:val="18"/>
                <w:szCs w:val="18"/>
              </w:rPr>
            </w:pPr>
            <w:r>
              <w:rPr>
                <w:rFonts w:ascii="Arial" w:hAnsi="Arial" w:cs="Arial"/>
                <w:bCs/>
                <w:i/>
                <w:sz w:val="18"/>
                <w:szCs w:val="18"/>
              </w:rPr>
              <w:t>Participant plan expenses</w:t>
            </w:r>
          </w:p>
        </w:tc>
        <w:tc>
          <w:tcPr>
            <w:tcW w:w="6379" w:type="dxa"/>
            <w:tcBorders>
              <w:top w:val="single" w:sz="6" w:space="0" w:color="auto"/>
              <w:bottom w:val="single" w:sz="6" w:space="0" w:color="auto"/>
              <w:right w:val="single" w:sz="12" w:space="0" w:color="auto"/>
            </w:tcBorders>
            <w:shd w:val="clear" w:color="FFFFFF" w:fill="FFFFFF"/>
            <w:noWrap/>
          </w:tcPr>
          <w:p w14:paraId="59B7AD27" w14:textId="77777777" w:rsidR="00A43992" w:rsidRPr="00DD6C40" w:rsidRDefault="00A43992" w:rsidP="007211E3">
            <w:pPr>
              <w:rPr>
                <w:rFonts w:ascii="Arial" w:hAnsi="Arial" w:cs="Arial"/>
                <w:sz w:val="18"/>
                <w:szCs w:val="18"/>
              </w:rPr>
            </w:pPr>
            <w:r>
              <w:rPr>
                <w:rFonts w:ascii="Arial" w:hAnsi="Arial" w:cs="Arial"/>
                <w:sz w:val="18"/>
                <w:szCs w:val="18"/>
              </w:rPr>
              <w:t xml:space="preserve">Participant plan payments are less than projected in the original budget, primarily due to lower than projected </w:t>
            </w:r>
            <w:proofErr w:type="spellStart"/>
            <w:r>
              <w:rPr>
                <w:rFonts w:ascii="Arial" w:hAnsi="Arial" w:cs="Arial"/>
                <w:sz w:val="18"/>
                <w:szCs w:val="18"/>
              </w:rPr>
              <w:t>utilisation</w:t>
            </w:r>
            <w:proofErr w:type="spellEnd"/>
            <w:r>
              <w:rPr>
                <w:rFonts w:ascii="Arial" w:hAnsi="Arial" w:cs="Arial"/>
                <w:sz w:val="18"/>
                <w:szCs w:val="18"/>
              </w:rPr>
              <w:t xml:space="preserve"> of committed supports and delays in the timing of claims.</w:t>
            </w:r>
          </w:p>
        </w:tc>
      </w:tr>
      <w:tr w:rsidR="00A43992" w14:paraId="4FB1FB71" w14:textId="77777777" w:rsidTr="007211E3">
        <w:trPr>
          <w:cantSplit/>
          <w:trHeight w:val="255"/>
        </w:trPr>
        <w:tc>
          <w:tcPr>
            <w:tcW w:w="2740" w:type="dxa"/>
            <w:tcBorders>
              <w:top w:val="single" w:sz="6" w:space="0" w:color="auto"/>
              <w:left w:val="single" w:sz="12" w:space="0" w:color="auto"/>
              <w:bottom w:val="single" w:sz="6" w:space="0" w:color="auto"/>
            </w:tcBorders>
            <w:shd w:val="clear" w:color="FFFFFF" w:fill="FFFFFF"/>
            <w:noWrap/>
          </w:tcPr>
          <w:p w14:paraId="568419C7" w14:textId="77777777" w:rsidR="00A43992" w:rsidRPr="002D2BAA" w:rsidRDefault="00A43992" w:rsidP="007211E3">
            <w:pPr>
              <w:rPr>
                <w:rFonts w:ascii="Arial" w:hAnsi="Arial" w:cs="Arial"/>
                <w:bCs/>
                <w:sz w:val="18"/>
                <w:szCs w:val="18"/>
              </w:rPr>
            </w:pPr>
            <w:r>
              <w:rPr>
                <w:rFonts w:ascii="Arial" w:hAnsi="Arial" w:cs="Arial"/>
                <w:bCs/>
                <w:sz w:val="18"/>
                <w:szCs w:val="18"/>
              </w:rPr>
              <w:t>Investing activities</w:t>
            </w:r>
          </w:p>
          <w:p w14:paraId="24DDC089" w14:textId="77777777" w:rsidR="00A43992" w:rsidRPr="005013FF" w:rsidRDefault="00A43992" w:rsidP="007211E3">
            <w:pPr>
              <w:rPr>
                <w:rFonts w:ascii="Arial" w:hAnsi="Arial" w:cs="Arial"/>
                <w:bCs/>
                <w:sz w:val="18"/>
                <w:szCs w:val="18"/>
              </w:rPr>
            </w:pPr>
            <w:r>
              <w:rPr>
                <w:rFonts w:ascii="Arial" w:hAnsi="Arial" w:cs="Arial"/>
                <w:bCs/>
                <w:i/>
                <w:sz w:val="18"/>
                <w:szCs w:val="18"/>
              </w:rPr>
              <w:t>Proceeds from sales of financial instruments, Purchase of financial instruments</w:t>
            </w:r>
          </w:p>
        </w:tc>
        <w:tc>
          <w:tcPr>
            <w:tcW w:w="6379" w:type="dxa"/>
            <w:tcBorders>
              <w:top w:val="single" w:sz="6" w:space="0" w:color="auto"/>
              <w:bottom w:val="single" w:sz="6" w:space="0" w:color="auto"/>
              <w:right w:val="single" w:sz="12" w:space="0" w:color="auto"/>
            </w:tcBorders>
            <w:shd w:val="clear" w:color="FFFFFF" w:fill="FFFFFF"/>
            <w:noWrap/>
          </w:tcPr>
          <w:p w14:paraId="6A30080E" w14:textId="77777777" w:rsidR="00A43992" w:rsidRPr="00DD6C40" w:rsidRDefault="00A43992" w:rsidP="007211E3">
            <w:pPr>
              <w:rPr>
                <w:rFonts w:ascii="Arial" w:hAnsi="Arial" w:cs="Arial"/>
                <w:sz w:val="18"/>
                <w:szCs w:val="18"/>
              </w:rPr>
            </w:pPr>
            <w:r>
              <w:rPr>
                <w:rFonts w:ascii="Arial" w:hAnsi="Arial" w:cs="Arial"/>
                <w:sz w:val="18"/>
                <w:szCs w:val="18"/>
              </w:rPr>
              <w:t>Proceeds and purchases of financial instruments reflect the Agency’s investment of cash in term deposits with original maturities over 90 days. The original budget does not assume that cash on hand will be in excess to immediate requirements.</w:t>
            </w:r>
          </w:p>
        </w:tc>
      </w:tr>
      <w:tr w:rsidR="00A43992" w14:paraId="086D6334" w14:textId="77777777" w:rsidTr="007211E3">
        <w:trPr>
          <w:cantSplit/>
          <w:trHeight w:val="255"/>
        </w:trPr>
        <w:tc>
          <w:tcPr>
            <w:tcW w:w="2740" w:type="dxa"/>
            <w:tcBorders>
              <w:top w:val="single" w:sz="6" w:space="0" w:color="auto"/>
              <w:left w:val="single" w:sz="12" w:space="0" w:color="auto"/>
              <w:bottom w:val="single" w:sz="6" w:space="0" w:color="auto"/>
            </w:tcBorders>
            <w:shd w:val="clear" w:color="FFFFFF" w:fill="FFFFFF"/>
            <w:noWrap/>
          </w:tcPr>
          <w:p w14:paraId="7A080FA4" w14:textId="77777777" w:rsidR="00A43992" w:rsidRPr="002D2BAA" w:rsidRDefault="00A43992" w:rsidP="007211E3">
            <w:pPr>
              <w:rPr>
                <w:rFonts w:ascii="Arial" w:hAnsi="Arial" w:cs="Arial"/>
                <w:bCs/>
                <w:sz w:val="18"/>
                <w:szCs w:val="18"/>
              </w:rPr>
            </w:pPr>
            <w:r>
              <w:rPr>
                <w:rFonts w:ascii="Arial" w:hAnsi="Arial" w:cs="Arial"/>
                <w:bCs/>
                <w:sz w:val="18"/>
                <w:szCs w:val="18"/>
              </w:rPr>
              <w:t>Investing activities</w:t>
            </w:r>
          </w:p>
          <w:p w14:paraId="224CEE81" w14:textId="77777777" w:rsidR="00A43992" w:rsidRPr="00DD6C40" w:rsidRDefault="00A43992" w:rsidP="007211E3">
            <w:pPr>
              <w:rPr>
                <w:rFonts w:ascii="Arial" w:hAnsi="Arial" w:cs="Arial"/>
                <w:bCs/>
                <w:i/>
                <w:sz w:val="18"/>
                <w:szCs w:val="18"/>
              </w:rPr>
            </w:pPr>
            <w:r>
              <w:rPr>
                <w:rFonts w:ascii="Arial" w:hAnsi="Arial" w:cs="Arial"/>
                <w:bCs/>
                <w:i/>
                <w:sz w:val="18"/>
                <w:szCs w:val="18"/>
              </w:rPr>
              <w:t>Purchase of property, plant and equipment and intangibles</w:t>
            </w:r>
          </w:p>
        </w:tc>
        <w:tc>
          <w:tcPr>
            <w:tcW w:w="6379" w:type="dxa"/>
            <w:tcBorders>
              <w:top w:val="single" w:sz="6" w:space="0" w:color="auto"/>
              <w:bottom w:val="single" w:sz="6" w:space="0" w:color="auto"/>
              <w:right w:val="single" w:sz="12" w:space="0" w:color="auto"/>
            </w:tcBorders>
            <w:shd w:val="clear" w:color="FFFFFF" w:fill="FFFFFF"/>
            <w:noWrap/>
          </w:tcPr>
          <w:p w14:paraId="7C66A24D" w14:textId="77777777" w:rsidR="00A43992" w:rsidRPr="00DD6C40" w:rsidRDefault="00A43992" w:rsidP="007211E3">
            <w:pPr>
              <w:rPr>
                <w:rFonts w:ascii="Arial" w:hAnsi="Arial" w:cs="Arial"/>
                <w:sz w:val="18"/>
                <w:szCs w:val="18"/>
              </w:rPr>
            </w:pPr>
            <w:r>
              <w:rPr>
                <w:rFonts w:ascii="Arial" w:hAnsi="Arial" w:cs="Arial"/>
                <w:sz w:val="18"/>
                <w:szCs w:val="18"/>
              </w:rPr>
              <w:t>T</w:t>
            </w:r>
            <w:r w:rsidRPr="004A0D02">
              <w:rPr>
                <w:rFonts w:ascii="Arial" w:hAnsi="Arial" w:cs="Arial"/>
                <w:sz w:val="18"/>
                <w:szCs w:val="18"/>
              </w:rPr>
              <w:t>he Agency has adopted whole-of-government policies in regard to co-locating service delivery sites within existing Commonwealth property infrastructure</w:t>
            </w:r>
            <w:r>
              <w:rPr>
                <w:rFonts w:ascii="Arial" w:hAnsi="Arial" w:cs="Arial"/>
                <w:sz w:val="18"/>
                <w:szCs w:val="18"/>
              </w:rPr>
              <w:t>, where feasible</w:t>
            </w:r>
            <w:r w:rsidRPr="00DD6C40">
              <w:rPr>
                <w:rFonts w:ascii="Arial" w:hAnsi="Arial" w:cs="Arial"/>
                <w:sz w:val="18"/>
                <w:szCs w:val="18"/>
              </w:rPr>
              <w:t xml:space="preserve">. </w:t>
            </w:r>
            <w:r>
              <w:rPr>
                <w:rFonts w:ascii="Arial" w:hAnsi="Arial" w:cs="Arial"/>
                <w:sz w:val="18"/>
                <w:szCs w:val="18"/>
              </w:rPr>
              <w:t>As a consequence, purchases of Property, Plant and Equipment are less than projected in the original budget.</w:t>
            </w:r>
          </w:p>
        </w:tc>
      </w:tr>
    </w:tbl>
    <w:p w14:paraId="678385D9" w14:textId="77777777" w:rsidR="00A43992" w:rsidRPr="005E5430" w:rsidRDefault="00A43992" w:rsidP="00A43992">
      <w:pPr>
        <w:pStyle w:val="PolicytextDept"/>
        <w:pBdr>
          <w:top w:val="none" w:sz="0" w:space="0" w:color="auto"/>
          <w:left w:val="none" w:sz="0" w:space="0" w:color="auto"/>
          <w:bottom w:val="none" w:sz="0" w:space="0" w:color="auto"/>
          <w:right w:val="none" w:sz="0" w:space="0" w:color="auto"/>
        </w:pBdr>
      </w:pPr>
    </w:p>
    <w:p w14:paraId="3BB2CC5F" w14:textId="77777777" w:rsidR="00A43992" w:rsidRPr="005E5430" w:rsidRDefault="00A43992" w:rsidP="00A43992">
      <w:bookmarkStart w:id="124" w:name="RANGE!D6:H55"/>
      <w:bookmarkStart w:id="125" w:name="RANGE!D7:H34"/>
      <w:bookmarkStart w:id="126" w:name="RANGE!D7:H33"/>
      <w:bookmarkStart w:id="127" w:name="RANGE!D7:H31"/>
      <w:bookmarkStart w:id="128" w:name="RANGE!D7:G31"/>
      <w:bookmarkStart w:id="129" w:name="RANGE!D7:G30"/>
      <w:bookmarkEnd w:id="124"/>
      <w:bookmarkEnd w:id="125"/>
      <w:bookmarkEnd w:id="126"/>
      <w:bookmarkEnd w:id="127"/>
      <w:bookmarkEnd w:id="128"/>
      <w:bookmarkEnd w:id="129"/>
    </w:p>
    <w:p w14:paraId="555719A0" w14:textId="77777777" w:rsidR="00A43992" w:rsidRPr="005E5430" w:rsidRDefault="00A43992" w:rsidP="00A43992">
      <w:pPr>
        <w:spacing w:line="240" w:lineRule="auto"/>
      </w:pPr>
      <w:bookmarkStart w:id="130" w:name="RANGE!D38:H80"/>
      <w:bookmarkStart w:id="131" w:name="RANGE!D37:H78"/>
      <w:bookmarkStart w:id="132" w:name="RANGE!D37:H77"/>
      <w:bookmarkStart w:id="133" w:name="RANGE!D35:H75"/>
      <w:bookmarkStart w:id="134" w:name="RANGE!D35:G75"/>
      <w:bookmarkStart w:id="135" w:name="RANGE!D34:G73"/>
      <w:bookmarkEnd w:id="130"/>
      <w:bookmarkEnd w:id="131"/>
      <w:bookmarkEnd w:id="132"/>
      <w:bookmarkEnd w:id="133"/>
      <w:bookmarkEnd w:id="134"/>
      <w:bookmarkEnd w:id="135"/>
    </w:p>
    <w:p w14:paraId="097EE30C" w14:textId="77777777" w:rsidR="00A43992" w:rsidRPr="005E5430" w:rsidRDefault="00A43992" w:rsidP="00A43992">
      <w:pPr>
        <w:rPr>
          <w:rFonts w:ascii="Arial" w:eastAsia="Calibri" w:hAnsi="Arial" w:cs="Arial"/>
          <w:sz w:val="18"/>
          <w:szCs w:val="18"/>
        </w:rPr>
        <w:sectPr w:rsidR="00A43992" w:rsidRPr="005E5430" w:rsidSect="007211E3">
          <w:headerReference w:type="even" r:id="rId27"/>
          <w:headerReference w:type="default" r:id="rId28"/>
          <w:headerReference w:type="first" r:id="rId29"/>
          <w:pgSz w:w="11906" w:h="16838" w:code="9"/>
          <w:pgMar w:top="1134" w:right="1700" w:bottom="1134" w:left="1134" w:header="958" w:footer="737" w:gutter="0"/>
          <w:cols w:space="708"/>
          <w:docGrid w:linePitch="360"/>
        </w:sectPr>
      </w:pPr>
      <w:bookmarkStart w:id="136" w:name="RANGE!D7:G68"/>
      <w:bookmarkStart w:id="137" w:name="RANGE!D7:G71"/>
      <w:bookmarkStart w:id="138" w:name="RANGE!D7:G66"/>
      <w:bookmarkStart w:id="139" w:name="RANGE!D7:G70"/>
      <w:bookmarkStart w:id="140" w:name="RANGE!D7:G64"/>
      <w:bookmarkStart w:id="141" w:name="RANGE!D7:G57"/>
      <w:bookmarkStart w:id="142" w:name="RANGE!D7:G60"/>
      <w:bookmarkStart w:id="143" w:name="RANGE!D7:G53"/>
      <w:bookmarkStart w:id="144" w:name="RANGE!D7:G63"/>
      <w:bookmarkEnd w:id="136"/>
      <w:bookmarkEnd w:id="137"/>
      <w:bookmarkEnd w:id="138"/>
      <w:bookmarkEnd w:id="139"/>
      <w:bookmarkEnd w:id="140"/>
      <w:bookmarkEnd w:id="141"/>
      <w:bookmarkEnd w:id="142"/>
      <w:bookmarkEnd w:id="143"/>
      <w:bookmarkEnd w:id="144"/>
    </w:p>
    <w:bookmarkStart w:id="145" w:name="RANGE!D7:G20"/>
    <w:bookmarkEnd w:id="145"/>
    <w:p w14:paraId="63D9079E" w14:textId="77777777" w:rsidR="00A43992" w:rsidRDefault="00A43992" w:rsidP="00A43992">
      <w:pPr>
        <w:pStyle w:val="TOC1"/>
        <w:tabs>
          <w:tab w:val="left" w:pos="9214"/>
        </w:tabs>
        <w:rPr>
          <w:rFonts w:eastAsiaTheme="minorEastAsia" w:cstheme="minorBidi"/>
          <w:noProof/>
          <w:sz w:val="22"/>
          <w:szCs w:val="22"/>
          <w:lang w:eastAsia="en-AU"/>
        </w:rPr>
      </w:pPr>
      <w:r>
        <w:lastRenderedPageBreak/>
        <w:fldChar w:fldCharType="begin"/>
      </w:r>
      <w:r>
        <w:instrText xml:space="preserve"> TOC \o "1-3" \h \z \u </w:instrText>
      </w:r>
      <w:r>
        <w:fldChar w:fldCharType="separate"/>
      </w:r>
      <w:hyperlink w:anchor="_Toc456865052" w:history="1">
        <w:r w:rsidRPr="00D91887">
          <w:rPr>
            <w:rStyle w:val="Hyperlink"/>
            <w:noProof/>
          </w:rPr>
          <w:t>Overview</w:t>
        </w:r>
        <w:r>
          <w:rPr>
            <w:noProof/>
            <w:webHidden/>
          </w:rPr>
          <w:tab/>
        </w:r>
        <w:r>
          <w:rPr>
            <w:noProof/>
            <w:webHidden/>
          </w:rPr>
          <w:fldChar w:fldCharType="begin"/>
        </w:r>
        <w:r>
          <w:rPr>
            <w:noProof/>
            <w:webHidden/>
          </w:rPr>
          <w:instrText xml:space="preserve"> PAGEREF _Toc456865052 \h </w:instrText>
        </w:r>
        <w:r>
          <w:rPr>
            <w:noProof/>
            <w:webHidden/>
          </w:rPr>
        </w:r>
        <w:r>
          <w:rPr>
            <w:noProof/>
            <w:webHidden/>
          </w:rPr>
          <w:fldChar w:fldCharType="separate"/>
        </w:r>
        <w:r w:rsidR="00F337D2">
          <w:rPr>
            <w:noProof/>
            <w:webHidden/>
          </w:rPr>
          <w:t>17</w:t>
        </w:r>
        <w:r>
          <w:rPr>
            <w:noProof/>
            <w:webHidden/>
          </w:rPr>
          <w:fldChar w:fldCharType="end"/>
        </w:r>
      </w:hyperlink>
    </w:p>
    <w:p w14:paraId="18062473" w14:textId="77777777" w:rsidR="00A43992" w:rsidRDefault="00521622" w:rsidP="00A43992">
      <w:pPr>
        <w:pStyle w:val="TOC1"/>
        <w:tabs>
          <w:tab w:val="left" w:pos="9214"/>
        </w:tabs>
        <w:rPr>
          <w:rFonts w:eastAsiaTheme="minorEastAsia" w:cstheme="minorBidi"/>
          <w:noProof/>
          <w:sz w:val="22"/>
          <w:szCs w:val="22"/>
          <w:lang w:eastAsia="en-AU"/>
        </w:rPr>
      </w:pPr>
      <w:hyperlink w:anchor="_Toc456865053" w:history="1">
        <w:r w:rsidR="00A43992" w:rsidRPr="00D91887">
          <w:rPr>
            <w:rStyle w:val="Hyperlink"/>
            <w:noProof/>
          </w:rPr>
          <w:t>1. Financial Performance</w:t>
        </w:r>
        <w:r w:rsidR="00A43992">
          <w:rPr>
            <w:noProof/>
            <w:webHidden/>
          </w:rPr>
          <w:tab/>
        </w:r>
        <w:r w:rsidR="00A43992">
          <w:rPr>
            <w:noProof/>
            <w:webHidden/>
          </w:rPr>
          <w:fldChar w:fldCharType="begin"/>
        </w:r>
        <w:r w:rsidR="00A43992">
          <w:rPr>
            <w:noProof/>
            <w:webHidden/>
          </w:rPr>
          <w:instrText xml:space="preserve"> PAGEREF _Toc456865053 \h </w:instrText>
        </w:r>
        <w:r w:rsidR="00A43992">
          <w:rPr>
            <w:noProof/>
            <w:webHidden/>
          </w:rPr>
        </w:r>
        <w:r w:rsidR="00A43992">
          <w:rPr>
            <w:noProof/>
            <w:webHidden/>
          </w:rPr>
          <w:fldChar w:fldCharType="separate"/>
        </w:r>
        <w:r w:rsidR="00F337D2">
          <w:rPr>
            <w:noProof/>
            <w:webHidden/>
          </w:rPr>
          <w:t>21</w:t>
        </w:r>
        <w:r w:rsidR="00A43992">
          <w:rPr>
            <w:noProof/>
            <w:webHidden/>
          </w:rPr>
          <w:fldChar w:fldCharType="end"/>
        </w:r>
      </w:hyperlink>
    </w:p>
    <w:p w14:paraId="3EB10068" w14:textId="77777777" w:rsidR="00A43992" w:rsidRDefault="00521622" w:rsidP="00A43992">
      <w:pPr>
        <w:pStyle w:val="TOC2"/>
        <w:tabs>
          <w:tab w:val="left" w:pos="9214"/>
        </w:tabs>
        <w:rPr>
          <w:rFonts w:eastAsiaTheme="minorEastAsia" w:cstheme="minorBidi"/>
          <w:noProof/>
          <w:lang w:eastAsia="en-AU"/>
        </w:rPr>
      </w:pPr>
      <w:hyperlink w:anchor="_Toc456865054" w:history="1">
        <w:r w:rsidR="00A43992" w:rsidRPr="00D91887">
          <w:rPr>
            <w:rStyle w:val="Hyperlink"/>
            <w:noProof/>
          </w:rPr>
          <w:t>1.1.</w:t>
        </w:r>
        <w:r w:rsidR="00A43992">
          <w:rPr>
            <w:rFonts w:eastAsiaTheme="minorEastAsia" w:cstheme="minorBidi"/>
            <w:noProof/>
            <w:lang w:eastAsia="en-AU"/>
          </w:rPr>
          <w:tab/>
        </w:r>
        <w:r w:rsidR="00A43992" w:rsidRPr="00D91887">
          <w:rPr>
            <w:rStyle w:val="Hyperlink"/>
            <w:noProof/>
          </w:rPr>
          <w:t>Expenses</w:t>
        </w:r>
        <w:r w:rsidR="00A43992">
          <w:rPr>
            <w:noProof/>
            <w:webHidden/>
          </w:rPr>
          <w:tab/>
        </w:r>
        <w:r w:rsidR="00A43992">
          <w:rPr>
            <w:noProof/>
            <w:webHidden/>
          </w:rPr>
          <w:fldChar w:fldCharType="begin"/>
        </w:r>
        <w:r w:rsidR="00A43992">
          <w:rPr>
            <w:noProof/>
            <w:webHidden/>
          </w:rPr>
          <w:instrText xml:space="preserve"> PAGEREF _Toc456865054 \h </w:instrText>
        </w:r>
        <w:r w:rsidR="00A43992">
          <w:rPr>
            <w:noProof/>
            <w:webHidden/>
          </w:rPr>
        </w:r>
        <w:r w:rsidR="00A43992">
          <w:rPr>
            <w:noProof/>
            <w:webHidden/>
          </w:rPr>
          <w:fldChar w:fldCharType="separate"/>
        </w:r>
        <w:r w:rsidR="00F337D2">
          <w:rPr>
            <w:noProof/>
            <w:webHidden/>
          </w:rPr>
          <w:t>21</w:t>
        </w:r>
        <w:r w:rsidR="00A43992">
          <w:rPr>
            <w:noProof/>
            <w:webHidden/>
          </w:rPr>
          <w:fldChar w:fldCharType="end"/>
        </w:r>
      </w:hyperlink>
    </w:p>
    <w:p w14:paraId="27696B34" w14:textId="77777777" w:rsidR="00A43992" w:rsidRDefault="00521622" w:rsidP="00A43992">
      <w:pPr>
        <w:pStyle w:val="TOC2"/>
        <w:tabs>
          <w:tab w:val="left" w:pos="9214"/>
        </w:tabs>
        <w:rPr>
          <w:rFonts w:eastAsiaTheme="minorEastAsia" w:cstheme="minorBidi"/>
          <w:noProof/>
          <w:lang w:eastAsia="en-AU"/>
        </w:rPr>
      </w:pPr>
      <w:hyperlink w:anchor="_Toc456865055" w:history="1">
        <w:r w:rsidR="00A43992" w:rsidRPr="00D91887">
          <w:rPr>
            <w:rStyle w:val="Hyperlink"/>
            <w:noProof/>
          </w:rPr>
          <w:t>1.2.</w:t>
        </w:r>
        <w:r w:rsidR="00A43992">
          <w:rPr>
            <w:rFonts w:eastAsiaTheme="minorEastAsia" w:cstheme="minorBidi"/>
            <w:noProof/>
            <w:lang w:eastAsia="en-AU"/>
          </w:rPr>
          <w:tab/>
        </w:r>
        <w:r w:rsidR="00A43992" w:rsidRPr="00D91887">
          <w:rPr>
            <w:rStyle w:val="Hyperlink"/>
            <w:noProof/>
          </w:rPr>
          <w:t>Own-Source Revenue and Gains</w:t>
        </w:r>
        <w:r w:rsidR="00A43992">
          <w:rPr>
            <w:noProof/>
            <w:webHidden/>
          </w:rPr>
          <w:tab/>
        </w:r>
        <w:r w:rsidR="00A43992">
          <w:rPr>
            <w:noProof/>
            <w:webHidden/>
          </w:rPr>
          <w:fldChar w:fldCharType="begin"/>
        </w:r>
        <w:r w:rsidR="00A43992">
          <w:rPr>
            <w:noProof/>
            <w:webHidden/>
          </w:rPr>
          <w:instrText xml:space="preserve"> PAGEREF _Toc456865055 \h </w:instrText>
        </w:r>
        <w:r w:rsidR="00A43992">
          <w:rPr>
            <w:noProof/>
            <w:webHidden/>
          </w:rPr>
        </w:r>
        <w:r w:rsidR="00A43992">
          <w:rPr>
            <w:noProof/>
            <w:webHidden/>
          </w:rPr>
          <w:fldChar w:fldCharType="separate"/>
        </w:r>
        <w:r w:rsidR="00F337D2">
          <w:rPr>
            <w:noProof/>
            <w:webHidden/>
          </w:rPr>
          <w:t>24</w:t>
        </w:r>
        <w:r w:rsidR="00A43992">
          <w:rPr>
            <w:noProof/>
            <w:webHidden/>
          </w:rPr>
          <w:fldChar w:fldCharType="end"/>
        </w:r>
      </w:hyperlink>
    </w:p>
    <w:p w14:paraId="12426011" w14:textId="77777777" w:rsidR="00A43992" w:rsidRDefault="00521622" w:rsidP="00A43992">
      <w:pPr>
        <w:pStyle w:val="TOC1"/>
        <w:tabs>
          <w:tab w:val="left" w:pos="9214"/>
        </w:tabs>
        <w:rPr>
          <w:rFonts w:eastAsiaTheme="minorEastAsia" w:cstheme="minorBidi"/>
          <w:noProof/>
          <w:sz w:val="22"/>
          <w:szCs w:val="22"/>
          <w:lang w:eastAsia="en-AU"/>
        </w:rPr>
      </w:pPr>
      <w:hyperlink w:anchor="_Toc456865056" w:history="1">
        <w:r w:rsidR="00A43992" w:rsidRPr="00D91887">
          <w:rPr>
            <w:rStyle w:val="Hyperlink"/>
            <w:noProof/>
          </w:rPr>
          <w:t>2. Financial Position</w:t>
        </w:r>
        <w:r w:rsidR="00A43992">
          <w:rPr>
            <w:noProof/>
            <w:webHidden/>
          </w:rPr>
          <w:tab/>
        </w:r>
        <w:r w:rsidR="00A43992">
          <w:rPr>
            <w:noProof/>
            <w:webHidden/>
          </w:rPr>
          <w:fldChar w:fldCharType="begin"/>
        </w:r>
        <w:r w:rsidR="00A43992">
          <w:rPr>
            <w:noProof/>
            <w:webHidden/>
          </w:rPr>
          <w:instrText xml:space="preserve"> PAGEREF _Toc456865056 \h </w:instrText>
        </w:r>
        <w:r w:rsidR="00A43992">
          <w:rPr>
            <w:noProof/>
            <w:webHidden/>
          </w:rPr>
        </w:r>
        <w:r w:rsidR="00A43992">
          <w:rPr>
            <w:noProof/>
            <w:webHidden/>
          </w:rPr>
          <w:fldChar w:fldCharType="separate"/>
        </w:r>
        <w:r w:rsidR="00F337D2">
          <w:rPr>
            <w:noProof/>
            <w:webHidden/>
          </w:rPr>
          <w:t>28</w:t>
        </w:r>
        <w:r w:rsidR="00A43992">
          <w:rPr>
            <w:noProof/>
            <w:webHidden/>
          </w:rPr>
          <w:fldChar w:fldCharType="end"/>
        </w:r>
      </w:hyperlink>
    </w:p>
    <w:p w14:paraId="176C2C2B" w14:textId="77777777" w:rsidR="00A43992" w:rsidRDefault="00521622" w:rsidP="00A43992">
      <w:pPr>
        <w:pStyle w:val="TOC2"/>
        <w:tabs>
          <w:tab w:val="left" w:pos="9214"/>
        </w:tabs>
        <w:rPr>
          <w:rFonts w:eastAsiaTheme="minorEastAsia" w:cstheme="minorBidi"/>
          <w:noProof/>
          <w:lang w:eastAsia="en-AU"/>
        </w:rPr>
      </w:pPr>
      <w:hyperlink w:anchor="_Toc456865058" w:history="1">
        <w:r w:rsidR="00A43992" w:rsidRPr="00D91887">
          <w:rPr>
            <w:rStyle w:val="Hyperlink"/>
            <w:noProof/>
          </w:rPr>
          <w:t>2.1.</w:t>
        </w:r>
        <w:r w:rsidR="00A43992">
          <w:rPr>
            <w:rFonts w:eastAsiaTheme="minorEastAsia" w:cstheme="minorBidi"/>
            <w:noProof/>
            <w:lang w:eastAsia="en-AU"/>
          </w:rPr>
          <w:tab/>
        </w:r>
        <w:r w:rsidR="00A43992" w:rsidRPr="00D91887">
          <w:rPr>
            <w:rStyle w:val="Hyperlink"/>
            <w:noProof/>
          </w:rPr>
          <w:t>Financial Assets</w:t>
        </w:r>
        <w:r w:rsidR="00A43992">
          <w:rPr>
            <w:noProof/>
            <w:webHidden/>
          </w:rPr>
          <w:tab/>
        </w:r>
        <w:r w:rsidR="00A43992">
          <w:rPr>
            <w:noProof/>
            <w:webHidden/>
          </w:rPr>
          <w:fldChar w:fldCharType="begin"/>
        </w:r>
        <w:r w:rsidR="00A43992">
          <w:rPr>
            <w:noProof/>
            <w:webHidden/>
          </w:rPr>
          <w:instrText xml:space="preserve"> PAGEREF _Toc456865058 \h </w:instrText>
        </w:r>
        <w:r w:rsidR="00A43992">
          <w:rPr>
            <w:noProof/>
            <w:webHidden/>
          </w:rPr>
        </w:r>
        <w:r w:rsidR="00A43992">
          <w:rPr>
            <w:noProof/>
            <w:webHidden/>
          </w:rPr>
          <w:fldChar w:fldCharType="separate"/>
        </w:r>
        <w:r w:rsidR="00F337D2">
          <w:rPr>
            <w:noProof/>
            <w:webHidden/>
          </w:rPr>
          <w:t>28</w:t>
        </w:r>
        <w:r w:rsidR="00A43992">
          <w:rPr>
            <w:noProof/>
            <w:webHidden/>
          </w:rPr>
          <w:fldChar w:fldCharType="end"/>
        </w:r>
      </w:hyperlink>
    </w:p>
    <w:p w14:paraId="2BE725BE" w14:textId="77777777" w:rsidR="00A43992" w:rsidRDefault="00521622" w:rsidP="00A43992">
      <w:pPr>
        <w:pStyle w:val="TOC2"/>
        <w:tabs>
          <w:tab w:val="left" w:pos="9214"/>
        </w:tabs>
        <w:rPr>
          <w:rFonts w:eastAsiaTheme="minorEastAsia" w:cstheme="minorBidi"/>
          <w:noProof/>
          <w:lang w:eastAsia="en-AU"/>
        </w:rPr>
      </w:pPr>
      <w:hyperlink w:anchor="_Toc456865059" w:history="1">
        <w:r w:rsidR="00A43992" w:rsidRPr="00D91887">
          <w:rPr>
            <w:rStyle w:val="Hyperlink"/>
            <w:noProof/>
          </w:rPr>
          <w:t>2.2.</w:t>
        </w:r>
        <w:r w:rsidR="00A43992">
          <w:rPr>
            <w:rFonts w:eastAsiaTheme="minorEastAsia" w:cstheme="minorBidi"/>
            <w:noProof/>
            <w:lang w:eastAsia="en-AU"/>
          </w:rPr>
          <w:tab/>
        </w:r>
        <w:r w:rsidR="00A43992" w:rsidRPr="00D91887">
          <w:rPr>
            <w:rStyle w:val="Hyperlink"/>
            <w:noProof/>
          </w:rPr>
          <w:t>Non-Financial Assets</w:t>
        </w:r>
        <w:r w:rsidR="00A43992">
          <w:rPr>
            <w:noProof/>
            <w:webHidden/>
          </w:rPr>
          <w:tab/>
        </w:r>
        <w:r w:rsidR="00A43992">
          <w:rPr>
            <w:noProof/>
            <w:webHidden/>
          </w:rPr>
          <w:fldChar w:fldCharType="begin"/>
        </w:r>
        <w:r w:rsidR="00A43992">
          <w:rPr>
            <w:noProof/>
            <w:webHidden/>
          </w:rPr>
          <w:instrText xml:space="preserve"> PAGEREF _Toc456865059 \h </w:instrText>
        </w:r>
        <w:r w:rsidR="00A43992">
          <w:rPr>
            <w:noProof/>
            <w:webHidden/>
          </w:rPr>
        </w:r>
        <w:r w:rsidR="00A43992">
          <w:rPr>
            <w:noProof/>
            <w:webHidden/>
          </w:rPr>
          <w:fldChar w:fldCharType="separate"/>
        </w:r>
        <w:r w:rsidR="00F337D2">
          <w:rPr>
            <w:noProof/>
            <w:webHidden/>
          </w:rPr>
          <w:t>32</w:t>
        </w:r>
        <w:r w:rsidR="00A43992">
          <w:rPr>
            <w:noProof/>
            <w:webHidden/>
          </w:rPr>
          <w:fldChar w:fldCharType="end"/>
        </w:r>
      </w:hyperlink>
    </w:p>
    <w:p w14:paraId="5D9FC5BC" w14:textId="77777777" w:rsidR="00A43992" w:rsidRDefault="00521622" w:rsidP="00A43992">
      <w:pPr>
        <w:pStyle w:val="TOC2"/>
        <w:tabs>
          <w:tab w:val="left" w:pos="9214"/>
        </w:tabs>
        <w:rPr>
          <w:rFonts w:eastAsiaTheme="minorEastAsia" w:cstheme="minorBidi"/>
          <w:noProof/>
          <w:lang w:eastAsia="en-AU"/>
        </w:rPr>
      </w:pPr>
      <w:hyperlink w:anchor="_Toc456865060" w:history="1">
        <w:r w:rsidR="00A43992" w:rsidRPr="00D91887">
          <w:rPr>
            <w:rStyle w:val="Hyperlink"/>
            <w:noProof/>
          </w:rPr>
          <w:t>2.3.</w:t>
        </w:r>
        <w:r w:rsidR="00A43992">
          <w:rPr>
            <w:rFonts w:eastAsiaTheme="minorEastAsia" w:cstheme="minorBidi"/>
            <w:noProof/>
            <w:lang w:eastAsia="en-AU"/>
          </w:rPr>
          <w:tab/>
        </w:r>
        <w:r w:rsidR="00A43992" w:rsidRPr="00D91887">
          <w:rPr>
            <w:rStyle w:val="Hyperlink"/>
            <w:noProof/>
          </w:rPr>
          <w:t>Payables</w:t>
        </w:r>
        <w:r w:rsidR="00A43992">
          <w:rPr>
            <w:noProof/>
            <w:webHidden/>
          </w:rPr>
          <w:tab/>
        </w:r>
        <w:r w:rsidR="00A43992">
          <w:rPr>
            <w:noProof/>
            <w:webHidden/>
          </w:rPr>
          <w:fldChar w:fldCharType="begin"/>
        </w:r>
        <w:r w:rsidR="00A43992">
          <w:rPr>
            <w:noProof/>
            <w:webHidden/>
          </w:rPr>
          <w:instrText xml:space="preserve"> PAGEREF _Toc456865060 \h </w:instrText>
        </w:r>
        <w:r w:rsidR="00A43992">
          <w:rPr>
            <w:noProof/>
            <w:webHidden/>
          </w:rPr>
        </w:r>
        <w:r w:rsidR="00A43992">
          <w:rPr>
            <w:noProof/>
            <w:webHidden/>
          </w:rPr>
          <w:fldChar w:fldCharType="separate"/>
        </w:r>
        <w:r w:rsidR="00F337D2">
          <w:rPr>
            <w:noProof/>
            <w:webHidden/>
          </w:rPr>
          <w:t>38</w:t>
        </w:r>
        <w:r w:rsidR="00A43992">
          <w:rPr>
            <w:noProof/>
            <w:webHidden/>
          </w:rPr>
          <w:fldChar w:fldCharType="end"/>
        </w:r>
      </w:hyperlink>
    </w:p>
    <w:p w14:paraId="5571A3B9" w14:textId="77777777" w:rsidR="00A43992" w:rsidRDefault="00521622" w:rsidP="00A43992">
      <w:pPr>
        <w:pStyle w:val="TOC2"/>
        <w:tabs>
          <w:tab w:val="left" w:pos="9214"/>
        </w:tabs>
        <w:rPr>
          <w:rFonts w:eastAsiaTheme="minorEastAsia" w:cstheme="minorBidi"/>
          <w:noProof/>
          <w:lang w:eastAsia="en-AU"/>
        </w:rPr>
      </w:pPr>
      <w:hyperlink w:anchor="_Toc456865061" w:history="1">
        <w:r w:rsidR="00A43992" w:rsidRPr="00D91887">
          <w:rPr>
            <w:rStyle w:val="Hyperlink"/>
            <w:noProof/>
          </w:rPr>
          <w:t>2.4.</w:t>
        </w:r>
        <w:r w:rsidR="00A43992">
          <w:rPr>
            <w:rFonts w:eastAsiaTheme="minorEastAsia" w:cstheme="minorBidi"/>
            <w:noProof/>
            <w:lang w:eastAsia="en-AU"/>
          </w:rPr>
          <w:tab/>
        </w:r>
        <w:r w:rsidR="00A43992" w:rsidRPr="00D91887">
          <w:rPr>
            <w:rStyle w:val="Hyperlink"/>
            <w:noProof/>
          </w:rPr>
          <w:t>Other Provisions</w:t>
        </w:r>
        <w:r w:rsidR="00A43992">
          <w:rPr>
            <w:noProof/>
            <w:webHidden/>
          </w:rPr>
          <w:tab/>
        </w:r>
        <w:r w:rsidR="00A43992">
          <w:rPr>
            <w:noProof/>
            <w:webHidden/>
          </w:rPr>
          <w:fldChar w:fldCharType="begin"/>
        </w:r>
        <w:r w:rsidR="00A43992">
          <w:rPr>
            <w:noProof/>
            <w:webHidden/>
          </w:rPr>
          <w:instrText xml:space="preserve"> PAGEREF _Toc456865061 \h </w:instrText>
        </w:r>
        <w:r w:rsidR="00A43992">
          <w:rPr>
            <w:noProof/>
            <w:webHidden/>
          </w:rPr>
        </w:r>
        <w:r w:rsidR="00A43992">
          <w:rPr>
            <w:noProof/>
            <w:webHidden/>
          </w:rPr>
          <w:fldChar w:fldCharType="separate"/>
        </w:r>
        <w:r w:rsidR="00F337D2">
          <w:rPr>
            <w:noProof/>
            <w:webHidden/>
          </w:rPr>
          <w:t>40</w:t>
        </w:r>
        <w:r w:rsidR="00A43992">
          <w:rPr>
            <w:noProof/>
            <w:webHidden/>
          </w:rPr>
          <w:fldChar w:fldCharType="end"/>
        </w:r>
      </w:hyperlink>
    </w:p>
    <w:p w14:paraId="03A2D5AA" w14:textId="77777777" w:rsidR="00A43992" w:rsidRDefault="00521622" w:rsidP="00A43992">
      <w:pPr>
        <w:pStyle w:val="TOC1"/>
        <w:tabs>
          <w:tab w:val="left" w:pos="9214"/>
        </w:tabs>
        <w:rPr>
          <w:rFonts w:eastAsiaTheme="minorEastAsia" w:cstheme="minorBidi"/>
          <w:noProof/>
          <w:sz w:val="22"/>
          <w:szCs w:val="22"/>
          <w:lang w:eastAsia="en-AU"/>
        </w:rPr>
      </w:pPr>
      <w:hyperlink w:anchor="_Toc456865062" w:history="1">
        <w:r w:rsidR="00A43992" w:rsidRPr="00D91887">
          <w:rPr>
            <w:rStyle w:val="Hyperlink"/>
            <w:noProof/>
          </w:rPr>
          <w:t>3. Funding</w:t>
        </w:r>
        <w:r w:rsidR="00A43992">
          <w:rPr>
            <w:noProof/>
            <w:webHidden/>
          </w:rPr>
          <w:tab/>
        </w:r>
        <w:r w:rsidR="00A43992">
          <w:rPr>
            <w:noProof/>
            <w:webHidden/>
          </w:rPr>
          <w:fldChar w:fldCharType="begin"/>
        </w:r>
        <w:r w:rsidR="00A43992">
          <w:rPr>
            <w:noProof/>
            <w:webHidden/>
          </w:rPr>
          <w:instrText xml:space="preserve"> PAGEREF _Toc456865062 \h </w:instrText>
        </w:r>
        <w:r w:rsidR="00A43992">
          <w:rPr>
            <w:noProof/>
            <w:webHidden/>
          </w:rPr>
        </w:r>
        <w:r w:rsidR="00A43992">
          <w:rPr>
            <w:noProof/>
            <w:webHidden/>
          </w:rPr>
          <w:fldChar w:fldCharType="separate"/>
        </w:r>
        <w:r w:rsidR="00F337D2">
          <w:rPr>
            <w:noProof/>
            <w:webHidden/>
          </w:rPr>
          <w:t>43</w:t>
        </w:r>
        <w:r w:rsidR="00A43992">
          <w:rPr>
            <w:noProof/>
            <w:webHidden/>
          </w:rPr>
          <w:fldChar w:fldCharType="end"/>
        </w:r>
      </w:hyperlink>
    </w:p>
    <w:p w14:paraId="18EB8BFD" w14:textId="77777777" w:rsidR="00A43992" w:rsidRDefault="00521622" w:rsidP="00A43992">
      <w:pPr>
        <w:pStyle w:val="TOC2"/>
        <w:tabs>
          <w:tab w:val="left" w:pos="9214"/>
        </w:tabs>
        <w:rPr>
          <w:rFonts w:eastAsiaTheme="minorEastAsia" w:cstheme="minorBidi"/>
          <w:noProof/>
          <w:lang w:eastAsia="en-AU"/>
        </w:rPr>
      </w:pPr>
      <w:hyperlink w:anchor="_Toc456865064" w:history="1">
        <w:r w:rsidR="00A43992" w:rsidRPr="00D91887">
          <w:rPr>
            <w:rStyle w:val="Hyperlink"/>
            <w:noProof/>
          </w:rPr>
          <w:t>3.1.</w:t>
        </w:r>
        <w:r w:rsidR="00A43992">
          <w:rPr>
            <w:rFonts w:eastAsiaTheme="minorEastAsia" w:cstheme="minorBidi"/>
            <w:noProof/>
            <w:lang w:eastAsia="en-AU"/>
          </w:rPr>
          <w:tab/>
        </w:r>
        <w:r w:rsidR="00A43992" w:rsidRPr="00D91887">
          <w:rPr>
            <w:rStyle w:val="Hyperlink"/>
            <w:noProof/>
          </w:rPr>
          <w:t>Cash Flow Reconciliation</w:t>
        </w:r>
        <w:r w:rsidR="00A43992">
          <w:rPr>
            <w:noProof/>
            <w:webHidden/>
          </w:rPr>
          <w:tab/>
        </w:r>
        <w:r w:rsidR="00A43992">
          <w:rPr>
            <w:noProof/>
            <w:webHidden/>
          </w:rPr>
          <w:fldChar w:fldCharType="begin"/>
        </w:r>
        <w:r w:rsidR="00A43992">
          <w:rPr>
            <w:noProof/>
            <w:webHidden/>
          </w:rPr>
          <w:instrText xml:space="preserve"> PAGEREF _Toc456865064 \h </w:instrText>
        </w:r>
        <w:r w:rsidR="00A43992">
          <w:rPr>
            <w:noProof/>
            <w:webHidden/>
          </w:rPr>
        </w:r>
        <w:r w:rsidR="00A43992">
          <w:rPr>
            <w:noProof/>
            <w:webHidden/>
          </w:rPr>
          <w:fldChar w:fldCharType="separate"/>
        </w:r>
        <w:r w:rsidR="00F337D2">
          <w:rPr>
            <w:noProof/>
            <w:webHidden/>
          </w:rPr>
          <w:t>43</w:t>
        </w:r>
        <w:r w:rsidR="00A43992">
          <w:rPr>
            <w:noProof/>
            <w:webHidden/>
          </w:rPr>
          <w:fldChar w:fldCharType="end"/>
        </w:r>
      </w:hyperlink>
    </w:p>
    <w:p w14:paraId="1F66295A" w14:textId="77777777" w:rsidR="00A43992" w:rsidRDefault="00521622" w:rsidP="00A43992">
      <w:pPr>
        <w:pStyle w:val="TOC1"/>
        <w:tabs>
          <w:tab w:val="left" w:pos="9214"/>
        </w:tabs>
        <w:rPr>
          <w:rFonts w:eastAsiaTheme="minorEastAsia" w:cstheme="minorBidi"/>
          <w:noProof/>
          <w:sz w:val="22"/>
          <w:szCs w:val="22"/>
          <w:lang w:eastAsia="en-AU"/>
        </w:rPr>
      </w:pPr>
      <w:hyperlink w:anchor="_Toc456865065" w:history="1">
        <w:r w:rsidR="00A43992" w:rsidRPr="00D91887">
          <w:rPr>
            <w:rStyle w:val="Hyperlink"/>
            <w:noProof/>
          </w:rPr>
          <w:t>4. Governance, Employees and Relationships</w:t>
        </w:r>
        <w:r w:rsidR="00A43992">
          <w:rPr>
            <w:noProof/>
            <w:webHidden/>
          </w:rPr>
          <w:tab/>
        </w:r>
        <w:r w:rsidR="00A43992">
          <w:rPr>
            <w:noProof/>
            <w:webHidden/>
          </w:rPr>
          <w:fldChar w:fldCharType="begin"/>
        </w:r>
        <w:r w:rsidR="00A43992">
          <w:rPr>
            <w:noProof/>
            <w:webHidden/>
          </w:rPr>
          <w:instrText xml:space="preserve"> PAGEREF _Toc456865065 \h </w:instrText>
        </w:r>
        <w:r w:rsidR="00A43992">
          <w:rPr>
            <w:noProof/>
            <w:webHidden/>
          </w:rPr>
        </w:r>
        <w:r w:rsidR="00A43992">
          <w:rPr>
            <w:noProof/>
            <w:webHidden/>
          </w:rPr>
          <w:fldChar w:fldCharType="separate"/>
        </w:r>
        <w:r w:rsidR="00F337D2">
          <w:rPr>
            <w:noProof/>
            <w:webHidden/>
          </w:rPr>
          <w:t>45</w:t>
        </w:r>
        <w:r w:rsidR="00A43992">
          <w:rPr>
            <w:noProof/>
            <w:webHidden/>
          </w:rPr>
          <w:fldChar w:fldCharType="end"/>
        </w:r>
      </w:hyperlink>
    </w:p>
    <w:p w14:paraId="2D4D1D44" w14:textId="77777777" w:rsidR="00A43992" w:rsidRDefault="00521622" w:rsidP="00A43992">
      <w:pPr>
        <w:pStyle w:val="TOC2"/>
        <w:tabs>
          <w:tab w:val="left" w:pos="9214"/>
        </w:tabs>
        <w:rPr>
          <w:rFonts w:eastAsiaTheme="minorEastAsia" w:cstheme="minorBidi"/>
          <w:noProof/>
          <w:lang w:eastAsia="en-AU"/>
        </w:rPr>
      </w:pPr>
      <w:hyperlink w:anchor="_Toc456865067" w:history="1">
        <w:r w:rsidR="00A43992" w:rsidRPr="00D91887">
          <w:rPr>
            <w:rStyle w:val="Hyperlink"/>
            <w:noProof/>
          </w:rPr>
          <w:t>4.1.</w:t>
        </w:r>
        <w:r w:rsidR="00A43992">
          <w:rPr>
            <w:rFonts w:eastAsiaTheme="minorEastAsia" w:cstheme="minorBidi"/>
            <w:noProof/>
            <w:lang w:eastAsia="en-AU"/>
          </w:rPr>
          <w:tab/>
        </w:r>
        <w:r w:rsidR="00A43992" w:rsidRPr="00D91887">
          <w:rPr>
            <w:rStyle w:val="Hyperlink"/>
            <w:noProof/>
          </w:rPr>
          <w:t>Employee Provisions</w:t>
        </w:r>
        <w:r w:rsidR="00A43992">
          <w:rPr>
            <w:noProof/>
            <w:webHidden/>
          </w:rPr>
          <w:tab/>
        </w:r>
        <w:r w:rsidR="00A43992">
          <w:rPr>
            <w:noProof/>
            <w:webHidden/>
          </w:rPr>
          <w:fldChar w:fldCharType="begin"/>
        </w:r>
        <w:r w:rsidR="00A43992">
          <w:rPr>
            <w:noProof/>
            <w:webHidden/>
          </w:rPr>
          <w:instrText xml:space="preserve"> PAGEREF _Toc456865067 \h </w:instrText>
        </w:r>
        <w:r w:rsidR="00A43992">
          <w:rPr>
            <w:noProof/>
            <w:webHidden/>
          </w:rPr>
        </w:r>
        <w:r w:rsidR="00A43992">
          <w:rPr>
            <w:noProof/>
            <w:webHidden/>
          </w:rPr>
          <w:fldChar w:fldCharType="separate"/>
        </w:r>
        <w:r w:rsidR="00F337D2">
          <w:rPr>
            <w:noProof/>
            <w:webHidden/>
          </w:rPr>
          <w:t>45</w:t>
        </w:r>
        <w:r w:rsidR="00A43992">
          <w:rPr>
            <w:noProof/>
            <w:webHidden/>
          </w:rPr>
          <w:fldChar w:fldCharType="end"/>
        </w:r>
      </w:hyperlink>
    </w:p>
    <w:p w14:paraId="02687CB1" w14:textId="77777777" w:rsidR="00A43992" w:rsidRDefault="00521622" w:rsidP="00A43992">
      <w:pPr>
        <w:pStyle w:val="TOC2"/>
        <w:tabs>
          <w:tab w:val="left" w:pos="9214"/>
        </w:tabs>
        <w:rPr>
          <w:rFonts w:eastAsiaTheme="minorEastAsia" w:cstheme="minorBidi"/>
          <w:noProof/>
          <w:lang w:eastAsia="en-AU"/>
        </w:rPr>
      </w:pPr>
      <w:hyperlink w:anchor="_Toc456865068" w:history="1">
        <w:r w:rsidR="00A43992" w:rsidRPr="00D91887">
          <w:rPr>
            <w:rStyle w:val="Hyperlink"/>
            <w:noProof/>
          </w:rPr>
          <w:t>4.2.</w:t>
        </w:r>
        <w:r w:rsidR="00A43992">
          <w:rPr>
            <w:rFonts w:eastAsiaTheme="minorEastAsia" w:cstheme="minorBidi"/>
            <w:noProof/>
            <w:lang w:eastAsia="en-AU"/>
          </w:rPr>
          <w:tab/>
        </w:r>
        <w:r w:rsidR="00A43992" w:rsidRPr="00D91887">
          <w:rPr>
            <w:rStyle w:val="Hyperlink"/>
            <w:noProof/>
          </w:rPr>
          <w:t>Senior Management Personnel Remuneration</w:t>
        </w:r>
        <w:r w:rsidR="00A43992">
          <w:rPr>
            <w:noProof/>
            <w:webHidden/>
          </w:rPr>
          <w:tab/>
        </w:r>
        <w:r w:rsidR="00A43992">
          <w:rPr>
            <w:noProof/>
            <w:webHidden/>
          </w:rPr>
          <w:fldChar w:fldCharType="begin"/>
        </w:r>
        <w:r w:rsidR="00A43992">
          <w:rPr>
            <w:noProof/>
            <w:webHidden/>
          </w:rPr>
          <w:instrText xml:space="preserve"> PAGEREF _Toc456865068 \h </w:instrText>
        </w:r>
        <w:r w:rsidR="00A43992">
          <w:rPr>
            <w:noProof/>
            <w:webHidden/>
          </w:rPr>
        </w:r>
        <w:r w:rsidR="00A43992">
          <w:rPr>
            <w:noProof/>
            <w:webHidden/>
          </w:rPr>
          <w:fldChar w:fldCharType="separate"/>
        </w:r>
        <w:r w:rsidR="00F337D2">
          <w:rPr>
            <w:noProof/>
            <w:webHidden/>
          </w:rPr>
          <w:t>47</w:t>
        </w:r>
        <w:r w:rsidR="00A43992">
          <w:rPr>
            <w:noProof/>
            <w:webHidden/>
          </w:rPr>
          <w:fldChar w:fldCharType="end"/>
        </w:r>
      </w:hyperlink>
    </w:p>
    <w:p w14:paraId="7D84549C" w14:textId="77777777" w:rsidR="00A43992" w:rsidRDefault="00521622" w:rsidP="00A43992">
      <w:pPr>
        <w:pStyle w:val="TOC2"/>
        <w:tabs>
          <w:tab w:val="left" w:pos="9214"/>
        </w:tabs>
        <w:rPr>
          <w:rFonts w:eastAsiaTheme="minorEastAsia" w:cstheme="minorBidi"/>
          <w:noProof/>
          <w:lang w:eastAsia="en-AU"/>
        </w:rPr>
      </w:pPr>
      <w:hyperlink w:anchor="_Toc456865069" w:history="1">
        <w:r w:rsidR="00A43992" w:rsidRPr="00D91887">
          <w:rPr>
            <w:rStyle w:val="Hyperlink"/>
            <w:noProof/>
          </w:rPr>
          <w:t>4.3.</w:t>
        </w:r>
        <w:r w:rsidR="00A43992">
          <w:rPr>
            <w:rFonts w:eastAsiaTheme="minorEastAsia" w:cstheme="minorBidi"/>
            <w:noProof/>
            <w:lang w:eastAsia="en-AU"/>
          </w:rPr>
          <w:tab/>
        </w:r>
        <w:r w:rsidR="00A43992" w:rsidRPr="00D91887">
          <w:rPr>
            <w:rStyle w:val="Hyperlink"/>
            <w:noProof/>
          </w:rPr>
          <w:t>Related Party Disclosures</w:t>
        </w:r>
        <w:r w:rsidR="00A43992">
          <w:rPr>
            <w:noProof/>
            <w:webHidden/>
          </w:rPr>
          <w:tab/>
        </w:r>
        <w:r w:rsidR="00A43992">
          <w:rPr>
            <w:noProof/>
            <w:webHidden/>
          </w:rPr>
          <w:fldChar w:fldCharType="begin"/>
        </w:r>
        <w:r w:rsidR="00A43992">
          <w:rPr>
            <w:noProof/>
            <w:webHidden/>
          </w:rPr>
          <w:instrText xml:space="preserve"> PAGEREF _Toc456865069 \h </w:instrText>
        </w:r>
        <w:r w:rsidR="00A43992">
          <w:rPr>
            <w:noProof/>
            <w:webHidden/>
          </w:rPr>
        </w:r>
        <w:r w:rsidR="00A43992">
          <w:rPr>
            <w:noProof/>
            <w:webHidden/>
          </w:rPr>
          <w:fldChar w:fldCharType="separate"/>
        </w:r>
        <w:r w:rsidR="00F337D2">
          <w:rPr>
            <w:noProof/>
            <w:webHidden/>
          </w:rPr>
          <w:t>47</w:t>
        </w:r>
        <w:r w:rsidR="00A43992">
          <w:rPr>
            <w:noProof/>
            <w:webHidden/>
          </w:rPr>
          <w:fldChar w:fldCharType="end"/>
        </w:r>
      </w:hyperlink>
    </w:p>
    <w:p w14:paraId="58AEDB5C" w14:textId="77777777" w:rsidR="00A43992" w:rsidRDefault="00521622" w:rsidP="00A43992">
      <w:pPr>
        <w:pStyle w:val="TOC2"/>
        <w:tabs>
          <w:tab w:val="left" w:pos="9214"/>
        </w:tabs>
        <w:rPr>
          <w:rFonts w:eastAsiaTheme="minorEastAsia" w:cstheme="minorBidi"/>
          <w:noProof/>
          <w:lang w:eastAsia="en-AU"/>
        </w:rPr>
      </w:pPr>
      <w:hyperlink w:anchor="_Toc456865070" w:history="1">
        <w:r w:rsidR="00A43992" w:rsidRPr="00D91887">
          <w:rPr>
            <w:rStyle w:val="Hyperlink"/>
            <w:noProof/>
          </w:rPr>
          <w:t>4.4.</w:t>
        </w:r>
        <w:r w:rsidR="00A43992">
          <w:rPr>
            <w:rFonts w:eastAsiaTheme="minorEastAsia" w:cstheme="minorBidi"/>
            <w:noProof/>
            <w:lang w:eastAsia="en-AU"/>
          </w:rPr>
          <w:tab/>
        </w:r>
        <w:r w:rsidR="00A43992" w:rsidRPr="00D91887">
          <w:rPr>
            <w:rStyle w:val="Hyperlink"/>
            <w:noProof/>
          </w:rPr>
          <w:t>Remuneration of Auditors</w:t>
        </w:r>
        <w:r w:rsidR="00A43992">
          <w:rPr>
            <w:noProof/>
            <w:webHidden/>
          </w:rPr>
          <w:tab/>
        </w:r>
        <w:r w:rsidR="00A43992">
          <w:rPr>
            <w:noProof/>
            <w:webHidden/>
          </w:rPr>
          <w:fldChar w:fldCharType="begin"/>
        </w:r>
        <w:r w:rsidR="00A43992">
          <w:rPr>
            <w:noProof/>
            <w:webHidden/>
          </w:rPr>
          <w:instrText xml:space="preserve"> PAGEREF _Toc456865070 \h </w:instrText>
        </w:r>
        <w:r w:rsidR="00A43992">
          <w:rPr>
            <w:noProof/>
            <w:webHidden/>
          </w:rPr>
        </w:r>
        <w:r w:rsidR="00A43992">
          <w:rPr>
            <w:noProof/>
            <w:webHidden/>
          </w:rPr>
          <w:fldChar w:fldCharType="separate"/>
        </w:r>
        <w:r w:rsidR="00F337D2">
          <w:rPr>
            <w:noProof/>
            <w:webHidden/>
          </w:rPr>
          <w:t>48</w:t>
        </w:r>
        <w:r w:rsidR="00A43992">
          <w:rPr>
            <w:noProof/>
            <w:webHidden/>
          </w:rPr>
          <w:fldChar w:fldCharType="end"/>
        </w:r>
      </w:hyperlink>
    </w:p>
    <w:p w14:paraId="47223E8D" w14:textId="77777777" w:rsidR="00A43992" w:rsidRDefault="00521622" w:rsidP="00A43992">
      <w:pPr>
        <w:pStyle w:val="TOC1"/>
        <w:tabs>
          <w:tab w:val="left" w:pos="9214"/>
        </w:tabs>
        <w:rPr>
          <w:rFonts w:eastAsiaTheme="minorEastAsia" w:cstheme="minorBidi"/>
          <w:noProof/>
          <w:sz w:val="22"/>
          <w:szCs w:val="22"/>
          <w:lang w:eastAsia="en-AU"/>
        </w:rPr>
      </w:pPr>
      <w:hyperlink w:anchor="_Toc456865071" w:history="1">
        <w:r w:rsidR="00A43992" w:rsidRPr="00D91887">
          <w:rPr>
            <w:rStyle w:val="Hyperlink"/>
            <w:noProof/>
          </w:rPr>
          <w:t>5. Managing Uncertainties</w:t>
        </w:r>
        <w:r w:rsidR="00A43992">
          <w:rPr>
            <w:noProof/>
            <w:webHidden/>
          </w:rPr>
          <w:tab/>
        </w:r>
        <w:r w:rsidR="00A43992">
          <w:rPr>
            <w:noProof/>
            <w:webHidden/>
          </w:rPr>
          <w:fldChar w:fldCharType="begin"/>
        </w:r>
        <w:r w:rsidR="00A43992">
          <w:rPr>
            <w:noProof/>
            <w:webHidden/>
          </w:rPr>
          <w:instrText xml:space="preserve"> PAGEREF _Toc456865071 \h </w:instrText>
        </w:r>
        <w:r w:rsidR="00A43992">
          <w:rPr>
            <w:noProof/>
            <w:webHidden/>
          </w:rPr>
        </w:r>
        <w:r w:rsidR="00A43992">
          <w:rPr>
            <w:noProof/>
            <w:webHidden/>
          </w:rPr>
          <w:fldChar w:fldCharType="separate"/>
        </w:r>
        <w:r w:rsidR="00F337D2">
          <w:rPr>
            <w:noProof/>
            <w:webHidden/>
          </w:rPr>
          <w:t>50</w:t>
        </w:r>
        <w:r w:rsidR="00A43992">
          <w:rPr>
            <w:noProof/>
            <w:webHidden/>
          </w:rPr>
          <w:fldChar w:fldCharType="end"/>
        </w:r>
      </w:hyperlink>
    </w:p>
    <w:p w14:paraId="07C670CE" w14:textId="77777777" w:rsidR="00A43992" w:rsidRDefault="00521622" w:rsidP="00A43992">
      <w:pPr>
        <w:pStyle w:val="TOC2"/>
        <w:tabs>
          <w:tab w:val="left" w:pos="9214"/>
        </w:tabs>
        <w:rPr>
          <w:rFonts w:eastAsiaTheme="minorEastAsia" w:cstheme="minorBidi"/>
          <w:noProof/>
          <w:lang w:eastAsia="en-AU"/>
        </w:rPr>
      </w:pPr>
      <w:hyperlink w:anchor="_Toc456865073" w:history="1">
        <w:r w:rsidR="00A43992" w:rsidRPr="00D91887">
          <w:rPr>
            <w:rStyle w:val="Hyperlink"/>
            <w:noProof/>
          </w:rPr>
          <w:t>5.1.</w:t>
        </w:r>
        <w:r w:rsidR="00A43992">
          <w:rPr>
            <w:rFonts w:eastAsiaTheme="minorEastAsia" w:cstheme="minorBidi"/>
            <w:noProof/>
            <w:lang w:eastAsia="en-AU"/>
          </w:rPr>
          <w:tab/>
        </w:r>
        <w:r w:rsidR="00A43992" w:rsidRPr="00D91887">
          <w:rPr>
            <w:rStyle w:val="Hyperlink"/>
            <w:noProof/>
          </w:rPr>
          <w:t>Contingent Assets and Liabilities</w:t>
        </w:r>
        <w:r w:rsidR="00A43992">
          <w:rPr>
            <w:noProof/>
            <w:webHidden/>
          </w:rPr>
          <w:tab/>
        </w:r>
        <w:r w:rsidR="00A43992">
          <w:rPr>
            <w:noProof/>
            <w:webHidden/>
          </w:rPr>
          <w:fldChar w:fldCharType="begin"/>
        </w:r>
        <w:r w:rsidR="00A43992">
          <w:rPr>
            <w:noProof/>
            <w:webHidden/>
          </w:rPr>
          <w:instrText xml:space="preserve"> PAGEREF _Toc456865073 \h </w:instrText>
        </w:r>
        <w:r w:rsidR="00A43992">
          <w:rPr>
            <w:noProof/>
            <w:webHidden/>
          </w:rPr>
        </w:r>
        <w:r w:rsidR="00A43992">
          <w:rPr>
            <w:noProof/>
            <w:webHidden/>
          </w:rPr>
          <w:fldChar w:fldCharType="separate"/>
        </w:r>
        <w:r w:rsidR="00F337D2">
          <w:rPr>
            <w:noProof/>
            <w:webHidden/>
          </w:rPr>
          <w:t>50</w:t>
        </w:r>
        <w:r w:rsidR="00A43992">
          <w:rPr>
            <w:noProof/>
            <w:webHidden/>
          </w:rPr>
          <w:fldChar w:fldCharType="end"/>
        </w:r>
      </w:hyperlink>
    </w:p>
    <w:p w14:paraId="62E2508C" w14:textId="77777777" w:rsidR="00A43992" w:rsidRDefault="00521622" w:rsidP="00A43992">
      <w:pPr>
        <w:pStyle w:val="TOC2"/>
        <w:tabs>
          <w:tab w:val="left" w:pos="9214"/>
        </w:tabs>
        <w:rPr>
          <w:rFonts w:eastAsiaTheme="minorEastAsia" w:cstheme="minorBidi"/>
          <w:noProof/>
          <w:lang w:eastAsia="en-AU"/>
        </w:rPr>
      </w:pPr>
      <w:hyperlink w:anchor="_Toc456865074" w:history="1">
        <w:r w:rsidR="00A43992" w:rsidRPr="00D91887">
          <w:rPr>
            <w:rStyle w:val="Hyperlink"/>
            <w:noProof/>
          </w:rPr>
          <w:t>5.2.</w:t>
        </w:r>
        <w:r w:rsidR="00A43992">
          <w:rPr>
            <w:rFonts w:eastAsiaTheme="minorEastAsia" w:cstheme="minorBidi"/>
            <w:noProof/>
            <w:lang w:eastAsia="en-AU"/>
          </w:rPr>
          <w:tab/>
        </w:r>
        <w:r w:rsidR="00A43992" w:rsidRPr="00D91887">
          <w:rPr>
            <w:rStyle w:val="Hyperlink"/>
            <w:noProof/>
          </w:rPr>
          <w:t>Financial Instruments</w:t>
        </w:r>
        <w:r w:rsidR="00A43992">
          <w:rPr>
            <w:noProof/>
            <w:webHidden/>
          </w:rPr>
          <w:tab/>
        </w:r>
        <w:r w:rsidR="00A43992">
          <w:rPr>
            <w:noProof/>
            <w:webHidden/>
          </w:rPr>
          <w:fldChar w:fldCharType="begin"/>
        </w:r>
        <w:r w:rsidR="00A43992">
          <w:rPr>
            <w:noProof/>
            <w:webHidden/>
          </w:rPr>
          <w:instrText xml:space="preserve"> PAGEREF _Toc456865074 \h </w:instrText>
        </w:r>
        <w:r w:rsidR="00A43992">
          <w:rPr>
            <w:noProof/>
            <w:webHidden/>
          </w:rPr>
        </w:r>
        <w:r w:rsidR="00A43992">
          <w:rPr>
            <w:noProof/>
            <w:webHidden/>
          </w:rPr>
          <w:fldChar w:fldCharType="separate"/>
        </w:r>
        <w:r w:rsidR="00F337D2">
          <w:rPr>
            <w:noProof/>
            <w:webHidden/>
          </w:rPr>
          <w:t>50</w:t>
        </w:r>
        <w:r w:rsidR="00A43992">
          <w:rPr>
            <w:noProof/>
            <w:webHidden/>
          </w:rPr>
          <w:fldChar w:fldCharType="end"/>
        </w:r>
      </w:hyperlink>
    </w:p>
    <w:p w14:paraId="1F38F02A" w14:textId="77777777" w:rsidR="00A43992" w:rsidRDefault="00521622" w:rsidP="00A43992">
      <w:pPr>
        <w:pStyle w:val="TOC2"/>
        <w:tabs>
          <w:tab w:val="left" w:pos="9214"/>
        </w:tabs>
        <w:rPr>
          <w:rFonts w:eastAsiaTheme="minorEastAsia" w:cstheme="minorBidi"/>
          <w:noProof/>
          <w:lang w:eastAsia="en-AU"/>
        </w:rPr>
      </w:pPr>
      <w:hyperlink w:anchor="_Toc456865075" w:history="1">
        <w:r w:rsidR="00A43992" w:rsidRPr="00D91887">
          <w:rPr>
            <w:rStyle w:val="Hyperlink"/>
            <w:noProof/>
          </w:rPr>
          <w:t>5.3.</w:t>
        </w:r>
        <w:r w:rsidR="00A43992">
          <w:rPr>
            <w:rFonts w:eastAsiaTheme="minorEastAsia" w:cstheme="minorBidi"/>
            <w:noProof/>
            <w:lang w:eastAsia="en-AU"/>
          </w:rPr>
          <w:tab/>
        </w:r>
        <w:r w:rsidR="00A43992" w:rsidRPr="00D91887">
          <w:rPr>
            <w:rStyle w:val="Hyperlink"/>
            <w:noProof/>
          </w:rPr>
          <w:t>Fair Value Measurement</w:t>
        </w:r>
        <w:r w:rsidR="00A43992">
          <w:rPr>
            <w:noProof/>
            <w:webHidden/>
          </w:rPr>
          <w:tab/>
        </w:r>
        <w:r w:rsidR="00A43992">
          <w:rPr>
            <w:noProof/>
            <w:webHidden/>
          </w:rPr>
          <w:fldChar w:fldCharType="begin"/>
        </w:r>
        <w:r w:rsidR="00A43992">
          <w:rPr>
            <w:noProof/>
            <w:webHidden/>
          </w:rPr>
          <w:instrText xml:space="preserve"> PAGEREF _Toc456865075 \h </w:instrText>
        </w:r>
        <w:r w:rsidR="00A43992">
          <w:rPr>
            <w:noProof/>
            <w:webHidden/>
          </w:rPr>
        </w:r>
        <w:r w:rsidR="00A43992">
          <w:rPr>
            <w:noProof/>
            <w:webHidden/>
          </w:rPr>
          <w:fldChar w:fldCharType="separate"/>
        </w:r>
        <w:r w:rsidR="00F337D2">
          <w:rPr>
            <w:noProof/>
            <w:webHidden/>
          </w:rPr>
          <w:t>55</w:t>
        </w:r>
        <w:r w:rsidR="00A43992">
          <w:rPr>
            <w:noProof/>
            <w:webHidden/>
          </w:rPr>
          <w:fldChar w:fldCharType="end"/>
        </w:r>
      </w:hyperlink>
    </w:p>
    <w:p w14:paraId="666244E9" w14:textId="77777777" w:rsidR="00A43992" w:rsidRDefault="00521622" w:rsidP="00A43992">
      <w:pPr>
        <w:pStyle w:val="TOC1"/>
        <w:tabs>
          <w:tab w:val="left" w:pos="9214"/>
        </w:tabs>
        <w:rPr>
          <w:rFonts w:eastAsiaTheme="minorEastAsia" w:cstheme="minorBidi"/>
          <w:noProof/>
          <w:sz w:val="22"/>
          <w:szCs w:val="22"/>
          <w:lang w:eastAsia="en-AU"/>
        </w:rPr>
      </w:pPr>
      <w:hyperlink w:anchor="_Toc456865076" w:history="1">
        <w:r w:rsidR="00A43992" w:rsidRPr="00D91887">
          <w:rPr>
            <w:rStyle w:val="Hyperlink"/>
            <w:noProof/>
          </w:rPr>
          <w:t>6. Other Information</w:t>
        </w:r>
        <w:r w:rsidR="00A43992">
          <w:rPr>
            <w:noProof/>
            <w:webHidden/>
          </w:rPr>
          <w:tab/>
        </w:r>
        <w:r w:rsidR="00A43992">
          <w:rPr>
            <w:noProof/>
            <w:webHidden/>
          </w:rPr>
          <w:fldChar w:fldCharType="begin"/>
        </w:r>
        <w:r w:rsidR="00A43992">
          <w:rPr>
            <w:noProof/>
            <w:webHidden/>
          </w:rPr>
          <w:instrText xml:space="preserve"> PAGEREF _Toc456865076 \h </w:instrText>
        </w:r>
        <w:r w:rsidR="00A43992">
          <w:rPr>
            <w:noProof/>
            <w:webHidden/>
          </w:rPr>
        </w:r>
        <w:r w:rsidR="00A43992">
          <w:rPr>
            <w:noProof/>
            <w:webHidden/>
          </w:rPr>
          <w:fldChar w:fldCharType="separate"/>
        </w:r>
        <w:r w:rsidR="00F337D2">
          <w:rPr>
            <w:noProof/>
            <w:webHidden/>
          </w:rPr>
          <w:t>59</w:t>
        </w:r>
        <w:r w:rsidR="00A43992">
          <w:rPr>
            <w:noProof/>
            <w:webHidden/>
          </w:rPr>
          <w:fldChar w:fldCharType="end"/>
        </w:r>
      </w:hyperlink>
    </w:p>
    <w:p w14:paraId="62FA8DB0" w14:textId="77777777" w:rsidR="00A43992" w:rsidRDefault="00521622" w:rsidP="00A43992">
      <w:pPr>
        <w:pStyle w:val="TOC2"/>
        <w:tabs>
          <w:tab w:val="left" w:pos="9214"/>
        </w:tabs>
        <w:rPr>
          <w:rFonts w:eastAsiaTheme="minorEastAsia" w:cstheme="minorBidi"/>
          <w:noProof/>
          <w:lang w:eastAsia="en-AU"/>
        </w:rPr>
      </w:pPr>
      <w:hyperlink w:anchor="_Toc456865078" w:history="1">
        <w:r w:rsidR="00A43992" w:rsidRPr="00D91887">
          <w:rPr>
            <w:rStyle w:val="Hyperlink"/>
            <w:noProof/>
          </w:rPr>
          <w:t>6.1.</w:t>
        </w:r>
        <w:r w:rsidR="00A43992">
          <w:rPr>
            <w:rFonts w:eastAsiaTheme="minorEastAsia" w:cstheme="minorBidi"/>
            <w:noProof/>
            <w:lang w:eastAsia="en-AU"/>
          </w:rPr>
          <w:tab/>
        </w:r>
        <w:r w:rsidR="00A43992" w:rsidRPr="00D91887">
          <w:rPr>
            <w:rStyle w:val="Hyperlink"/>
            <w:noProof/>
          </w:rPr>
          <w:t>Reporting of Outcomes</w:t>
        </w:r>
        <w:r w:rsidR="00A43992">
          <w:rPr>
            <w:noProof/>
            <w:webHidden/>
          </w:rPr>
          <w:tab/>
        </w:r>
        <w:r w:rsidR="00A43992">
          <w:rPr>
            <w:noProof/>
            <w:webHidden/>
          </w:rPr>
          <w:fldChar w:fldCharType="begin"/>
        </w:r>
        <w:r w:rsidR="00A43992">
          <w:rPr>
            <w:noProof/>
            <w:webHidden/>
          </w:rPr>
          <w:instrText xml:space="preserve"> PAGEREF _Toc456865078 \h </w:instrText>
        </w:r>
        <w:r w:rsidR="00A43992">
          <w:rPr>
            <w:noProof/>
            <w:webHidden/>
          </w:rPr>
        </w:r>
        <w:r w:rsidR="00A43992">
          <w:rPr>
            <w:noProof/>
            <w:webHidden/>
          </w:rPr>
          <w:fldChar w:fldCharType="separate"/>
        </w:r>
        <w:r w:rsidR="00F337D2">
          <w:rPr>
            <w:noProof/>
            <w:webHidden/>
          </w:rPr>
          <w:t>59</w:t>
        </w:r>
        <w:r w:rsidR="00A43992">
          <w:rPr>
            <w:noProof/>
            <w:webHidden/>
          </w:rPr>
          <w:fldChar w:fldCharType="end"/>
        </w:r>
      </w:hyperlink>
    </w:p>
    <w:p w14:paraId="411A7A1F" w14:textId="77777777" w:rsidR="00A43992" w:rsidRPr="005E5430" w:rsidRDefault="00A43992" w:rsidP="00A43992">
      <w:pPr>
        <w:tabs>
          <w:tab w:val="left" w:pos="9214"/>
        </w:tabs>
        <w:spacing w:line="240" w:lineRule="auto"/>
        <w:sectPr w:rsidR="00A43992" w:rsidRPr="005E5430" w:rsidSect="007211E3">
          <w:headerReference w:type="even" r:id="rId30"/>
          <w:headerReference w:type="default" r:id="rId31"/>
          <w:headerReference w:type="first" r:id="rId32"/>
          <w:pgSz w:w="11906" w:h="16838" w:code="9"/>
          <w:pgMar w:top="1134" w:right="1134" w:bottom="1134" w:left="1134" w:header="958" w:footer="737" w:gutter="0"/>
          <w:cols w:space="708"/>
          <w:docGrid w:linePitch="360"/>
        </w:sectPr>
      </w:pPr>
      <w:r>
        <w:rPr>
          <w:rFonts w:ascii="Arial Bold" w:hAnsi="Arial Bold"/>
          <w:noProof/>
          <w:color w:val="000000" w:themeColor="text1"/>
          <w:sz w:val="18"/>
        </w:rPr>
        <w:fldChar w:fldCharType="end"/>
      </w:r>
    </w:p>
    <w:p w14:paraId="2FCBC14B" w14:textId="77777777" w:rsidR="00A43992" w:rsidRPr="005E5430" w:rsidRDefault="00A43992" w:rsidP="00A43992">
      <w:pPr>
        <w:spacing w:line="240" w:lineRule="auto"/>
      </w:pPr>
      <w:r w:rsidRPr="005E5430">
        <w:lastRenderedPageBreak/>
        <w:br w:type="page"/>
      </w:r>
    </w:p>
    <w:p w14:paraId="36C31F68" w14:textId="77777777" w:rsidR="00A43992" w:rsidRDefault="00A43992" w:rsidP="00A43992">
      <w:pPr>
        <w:pStyle w:val="NotesHeading-Level1"/>
        <w:numPr>
          <w:ilvl w:val="0"/>
          <w:numId w:val="0"/>
        </w:numPr>
        <w:ind w:left="1134"/>
        <w:rPr>
          <w:rFonts w:cs="Arial"/>
          <w:sz w:val="18"/>
          <w:szCs w:val="18"/>
        </w:rPr>
        <w:sectPr w:rsidR="00A43992" w:rsidSect="007211E3">
          <w:type w:val="continuous"/>
          <w:pgSz w:w="11906" w:h="16838" w:code="9"/>
          <w:pgMar w:top="1134" w:right="1700" w:bottom="1134" w:left="1134" w:header="958" w:footer="737" w:gutter="0"/>
          <w:cols w:space="708"/>
          <w:docGrid w:linePitch="360"/>
        </w:sectPr>
      </w:pPr>
      <w:bookmarkStart w:id="146" w:name="_Toc393360771"/>
      <w:bookmarkStart w:id="147" w:name="_Toc393784905"/>
    </w:p>
    <w:p w14:paraId="7698A55B" w14:textId="77777777" w:rsidR="00A43992" w:rsidRPr="00737116" w:rsidRDefault="00A43992" w:rsidP="00A43992">
      <w:pPr>
        <w:pStyle w:val="SectionHeading"/>
        <w:numPr>
          <w:ilvl w:val="0"/>
          <w:numId w:val="0"/>
        </w:numPr>
      </w:pPr>
      <w:bookmarkStart w:id="148" w:name="_Toc443469521"/>
      <w:bookmarkStart w:id="149" w:name="_Toc444065769"/>
      <w:bookmarkStart w:id="150" w:name="_Toc444077331"/>
      <w:bookmarkStart w:id="151" w:name="_Toc447030534"/>
      <w:bookmarkStart w:id="152" w:name="_Toc447030686"/>
      <w:bookmarkStart w:id="153" w:name="_Toc447030779"/>
      <w:bookmarkStart w:id="154" w:name="_Toc456865052"/>
      <w:bookmarkStart w:id="155" w:name="_Toc464482131"/>
      <w:r w:rsidRPr="00737116">
        <w:lastRenderedPageBreak/>
        <w:t>Overview</w:t>
      </w:r>
      <w:bookmarkEnd w:id="148"/>
      <w:bookmarkEnd w:id="149"/>
      <w:bookmarkEnd w:id="150"/>
      <w:bookmarkEnd w:id="151"/>
      <w:bookmarkEnd w:id="152"/>
      <w:bookmarkEnd w:id="153"/>
      <w:bookmarkEnd w:id="154"/>
      <w:bookmarkEnd w:id="155"/>
    </w:p>
    <w:p w14:paraId="590C8653" w14:textId="77777777" w:rsidR="00A43992" w:rsidRPr="00737116" w:rsidRDefault="00A43992" w:rsidP="00A43992">
      <w:pPr>
        <w:spacing w:line="120" w:lineRule="atLeast"/>
        <w:rPr>
          <w:rFonts w:ascii="Arial" w:hAnsi="Arial"/>
          <w:b/>
          <w:bCs/>
          <w:sz w:val="4"/>
          <w:szCs w:val="4"/>
        </w:rPr>
      </w:pPr>
    </w:p>
    <w:p w14:paraId="5089F824" w14:textId="77777777" w:rsidR="00A43992" w:rsidRPr="0077218B" w:rsidRDefault="00A43992" w:rsidP="00A43992">
      <w:pPr>
        <w:spacing w:line="240" w:lineRule="auto"/>
        <w:outlineLvl w:val="0"/>
        <w:rPr>
          <w:rFonts w:ascii="Arial" w:hAnsi="Arial" w:cs="Arial"/>
          <w:b/>
          <w:bCs/>
          <w:color w:val="6B2976"/>
          <w:sz w:val="18"/>
          <w:szCs w:val="18"/>
          <w:lang w:eastAsia="en-AU"/>
        </w:rPr>
      </w:pPr>
      <w:r w:rsidRPr="0077218B">
        <w:rPr>
          <w:rFonts w:ascii="Arial" w:hAnsi="Arial" w:cs="Arial"/>
          <w:b/>
          <w:bCs/>
          <w:color w:val="6B2976"/>
          <w:sz w:val="18"/>
          <w:szCs w:val="18"/>
          <w:lang w:eastAsia="en-AU"/>
        </w:rPr>
        <w:t>General information</w:t>
      </w:r>
    </w:p>
    <w:p w14:paraId="58015CAF" w14:textId="77777777" w:rsidR="00A43992" w:rsidRPr="00BB6CF4" w:rsidRDefault="00A43992" w:rsidP="00A43992">
      <w:pPr>
        <w:spacing w:line="240" w:lineRule="auto"/>
        <w:rPr>
          <w:rFonts w:ascii="Arial" w:hAnsi="Arial" w:cs="Arial"/>
          <w:sz w:val="18"/>
          <w:szCs w:val="18"/>
          <w:lang w:eastAsia="en-AU"/>
        </w:rPr>
      </w:pPr>
    </w:p>
    <w:p w14:paraId="474D9D16" w14:textId="77777777" w:rsidR="00A43992" w:rsidRDefault="00A43992" w:rsidP="00A43992">
      <w:pPr>
        <w:tabs>
          <w:tab w:val="left" w:pos="9504"/>
        </w:tabs>
        <w:spacing w:line="240" w:lineRule="auto"/>
        <w:jc w:val="both"/>
        <w:rPr>
          <w:rFonts w:ascii="Arial" w:hAnsi="Arial" w:cs="Arial"/>
          <w:sz w:val="18"/>
          <w:szCs w:val="18"/>
          <w:lang w:eastAsia="en-AU"/>
        </w:rPr>
      </w:pPr>
      <w:r>
        <w:rPr>
          <w:rFonts w:ascii="Arial" w:hAnsi="Arial" w:cs="Arial"/>
          <w:sz w:val="18"/>
          <w:szCs w:val="18"/>
          <w:lang w:eastAsia="en-AU"/>
        </w:rPr>
        <w:t xml:space="preserve">The </w:t>
      </w:r>
      <w:r w:rsidRPr="005E5430">
        <w:rPr>
          <w:rFonts w:ascii="Arial" w:hAnsi="Arial" w:cs="Arial"/>
          <w:sz w:val="18"/>
          <w:szCs w:val="18"/>
          <w:lang w:eastAsia="en-AU"/>
        </w:rPr>
        <w:t xml:space="preserve">National Disability Insurance Scheme Launch Transition Agency (‘the Agency’) </w:t>
      </w:r>
      <w:r>
        <w:rPr>
          <w:rFonts w:ascii="Arial" w:hAnsi="Arial" w:cs="Arial"/>
          <w:sz w:val="18"/>
          <w:szCs w:val="18"/>
          <w:lang w:eastAsia="en-AU"/>
        </w:rPr>
        <w:t xml:space="preserve">was established on 29 March 2013 by the </w:t>
      </w:r>
      <w:r w:rsidRPr="00B57DF1">
        <w:rPr>
          <w:rFonts w:ascii="Arial" w:hAnsi="Arial" w:cs="Arial"/>
          <w:i/>
          <w:sz w:val="18"/>
          <w:szCs w:val="18"/>
          <w:lang w:eastAsia="en-AU"/>
        </w:rPr>
        <w:t>National Disability Insurance Scheme Act 2013</w:t>
      </w:r>
      <w:r>
        <w:rPr>
          <w:rFonts w:ascii="Arial" w:hAnsi="Arial" w:cs="Arial"/>
          <w:sz w:val="18"/>
          <w:szCs w:val="18"/>
          <w:lang w:eastAsia="en-AU"/>
        </w:rPr>
        <w:t xml:space="preserve"> (‘the Act’). The Agency became financially independent on 1 July 2013 and is an Australian Government controlled not-for-profit entity</w:t>
      </w:r>
      <w:r w:rsidRPr="00BB6CF4">
        <w:rPr>
          <w:rFonts w:ascii="Arial" w:hAnsi="Arial" w:cs="Arial"/>
          <w:sz w:val="18"/>
          <w:szCs w:val="18"/>
          <w:lang w:eastAsia="en-AU"/>
        </w:rPr>
        <w:t>.</w:t>
      </w:r>
    </w:p>
    <w:p w14:paraId="079023F8" w14:textId="77777777" w:rsidR="00A43992" w:rsidRDefault="00A43992" w:rsidP="00A43992">
      <w:pPr>
        <w:tabs>
          <w:tab w:val="left" w:pos="9504"/>
        </w:tabs>
        <w:spacing w:line="240" w:lineRule="auto"/>
        <w:jc w:val="both"/>
        <w:rPr>
          <w:rFonts w:ascii="Arial" w:hAnsi="Arial" w:cs="Arial"/>
          <w:sz w:val="18"/>
          <w:szCs w:val="18"/>
          <w:lang w:eastAsia="en-AU"/>
        </w:rPr>
      </w:pPr>
    </w:p>
    <w:p w14:paraId="3FC0A5CE" w14:textId="77777777" w:rsidR="00A43992" w:rsidRDefault="00A43992" w:rsidP="00A43992">
      <w:pPr>
        <w:tabs>
          <w:tab w:val="left" w:pos="7230"/>
          <w:tab w:val="left" w:pos="9504"/>
        </w:tabs>
        <w:spacing w:line="240" w:lineRule="auto"/>
        <w:jc w:val="both"/>
        <w:rPr>
          <w:rFonts w:ascii="Arial" w:hAnsi="Arial" w:cs="Arial"/>
          <w:sz w:val="18"/>
          <w:szCs w:val="18"/>
          <w:lang w:eastAsia="en-AU"/>
        </w:rPr>
      </w:pPr>
      <w:r>
        <w:rPr>
          <w:rFonts w:ascii="Arial" w:hAnsi="Arial" w:cs="Arial"/>
          <w:sz w:val="18"/>
          <w:szCs w:val="18"/>
          <w:lang w:eastAsia="en-AU"/>
        </w:rPr>
        <w:t>From 1 July 2013, arrangements were put in place to ensure that the National Disability Insurance Scheme (‘the Scheme’) could be introduced gradually, ensuring a smooth transition for people with disability and support providers. The Scheme now has operations in all States and Territories of Australia with full access to the Scheme commencing progressively from 1 July 2016.</w:t>
      </w:r>
    </w:p>
    <w:p w14:paraId="5CA598F7" w14:textId="77777777" w:rsidR="00A43992" w:rsidRPr="00BB6CF4" w:rsidRDefault="00A43992" w:rsidP="00A43992">
      <w:pPr>
        <w:tabs>
          <w:tab w:val="left" w:pos="7230"/>
          <w:tab w:val="left" w:pos="9504"/>
        </w:tabs>
        <w:spacing w:line="240" w:lineRule="auto"/>
        <w:rPr>
          <w:rFonts w:ascii="Arial" w:hAnsi="Arial" w:cs="Arial"/>
          <w:sz w:val="18"/>
          <w:szCs w:val="18"/>
          <w:lang w:eastAsia="en-AU"/>
        </w:rPr>
      </w:pPr>
      <w:r>
        <w:rPr>
          <w:rFonts w:ascii="Arial" w:hAnsi="Arial" w:cs="Arial"/>
          <w:sz w:val="18"/>
          <w:szCs w:val="18"/>
          <w:lang w:eastAsia="en-AU"/>
        </w:rPr>
        <w:tab/>
      </w:r>
      <w:r w:rsidRPr="00BB6CF4">
        <w:rPr>
          <w:rFonts w:ascii="Arial" w:hAnsi="Arial" w:cs="Arial"/>
          <w:sz w:val="18"/>
          <w:szCs w:val="18"/>
          <w:lang w:eastAsia="en-AU"/>
        </w:rPr>
        <w:t xml:space="preserve">  </w:t>
      </w:r>
    </w:p>
    <w:p w14:paraId="57EA205C" w14:textId="77777777" w:rsidR="00A43992" w:rsidRPr="0077218B" w:rsidRDefault="00A43992" w:rsidP="00A43992">
      <w:pPr>
        <w:spacing w:line="240" w:lineRule="auto"/>
        <w:outlineLvl w:val="0"/>
        <w:rPr>
          <w:rFonts w:ascii="Arial" w:hAnsi="Arial" w:cs="Arial"/>
          <w:b/>
          <w:bCs/>
          <w:color w:val="6B2976"/>
          <w:sz w:val="18"/>
          <w:szCs w:val="18"/>
          <w:lang w:eastAsia="en-AU"/>
        </w:rPr>
      </w:pPr>
      <w:r w:rsidRPr="0077218B">
        <w:rPr>
          <w:rFonts w:ascii="Arial" w:hAnsi="Arial" w:cs="Arial"/>
          <w:b/>
          <w:bCs/>
          <w:color w:val="6B2976"/>
          <w:sz w:val="18"/>
          <w:szCs w:val="18"/>
          <w:lang w:eastAsia="en-AU"/>
        </w:rPr>
        <w:t>Objectives of the Agency</w:t>
      </w:r>
    </w:p>
    <w:p w14:paraId="4BE84116" w14:textId="77777777" w:rsidR="00A43992" w:rsidRPr="00BB6CF4" w:rsidRDefault="00A43992" w:rsidP="00A43992">
      <w:pPr>
        <w:spacing w:line="240" w:lineRule="auto"/>
        <w:rPr>
          <w:rFonts w:ascii="Arial" w:hAnsi="Arial" w:cs="Arial"/>
          <w:sz w:val="18"/>
          <w:szCs w:val="18"/>
          <w:lang w:eastAsia="en-AU"/>
        </w:rPr>
      </w:pPr>
    </w:p>
    <w:p w14:paraId="2815D6C4" w14:textId="77777777" w:rsidR="00A43992" w:rsidRPr="00BB6CF4" w:rsidRDefault="00A43992" w:rsidP="00A43992">
      <w:pPr>
        <w:tabs>
          <w:tab w:val="left" w:pos="9504"/>
        </w:tabs>
        <w:spacing w:line="240" w:lineRule="auto"/>
        <w:jc w:val="both"/>
        <w:rPr>
          <w:rFonts w:ascii="Arial" w:hAnsi="Arial" w:cs="Arial"/>
          <w:sz w:val="18"/>
          <w:szCs w:val="18"/>
          <w:lang w:eastAsia="en-AU"/>
        </w:rPr>
      </w:pPr>
      <w:r w:rsidRPr="00BB6CF4">
        <w:rPr>
          <w:rFonts w:ascii="Arial" w:hAnsi="Arial" w:cs="Arial"/>
          <w:sz w:val="18"/>
          <w:szCs w:val="18"/>
          <w:lang w:eastAsia="en-AU"/>
        </w:rPr>
        <w:t xml:space="preserve">The objective of the Agency is to operate under the Act, and in conjunction with other legislation, to give effect to Australia’s obligations under the </w:t>
      </w:r>
      <w:r w:rsidRPr="00BB6CF4">
        <w:rPr>
          <w:rFonts w:ascii="Arial" w:hAnsi="Arial" w:cs="Arial"/>
          <w:i/>
          <w:sz w:val="18"/>
          <w:szCs w:val="18"/>
          <w:lang w:eastAsia="en-AU"/>
        </w:rPr>
        <w:t>Convention on the Rights of Persons with Disabilities</w:t>
      </w:r>
      <w:r w:rsidRPr="00BB6CF4">
        <w:rPr>
          <w:rFonts w:ascii="Arial" w:hAnsi="Arial" w:cs="Arial"/>
          <w:sz w:val="18"/>
          <w:szCs w:val="18"/>
          <w:lang w:eastAsia="en-AU"/>
        </w:rPr>
        <w:t xml:space="preserve">. In doing so, the Agency supports the independence and social and economic participation of people with a disability.  </w:t>
      </w:r>
    </w:p>
    <w:p w14:paraId="68DCD4A6" w14:textId="77777777" w:rsidR="00A43992" w:rsidRDefault="00A43992" w:rsidP="00A43992">
      <w:pPr>
        <w:tabs>
          <w:tab w:val="left" w:pos="9504"/>
        </w:tabs>
        <w:spacing w:line="240" w:lineRule="auto"/>
        <w:jc w:val="both"/>
        <w:rPr>
          <w:rFonts w:ascii="Arial" w:hAnsi="Arial" w:cs="Arial"/>
          <w:sz w:val="18"/>
          <w:szCs w:val="18"/>
          <w:lang w:eastAsia="en-AU"/>
        </w:rPr>
      </w:pPr>
    </w:p>
    <w:p w14:paraId="7AD6CE06" w14:textId="77777777" w:rsidR="00A43992" w:rsidRPr="00120D25" w:rsidRDefault="00A43992" w:rsidP="00A43992">
      <w:pPr>
        <w:tabs>
          <w:tab w:val="left" w:pos="9504"/>
        </w:tabs>
        <w:spacing w:line="240" w:lineRule="auto"/>
        <w:jc w:val="both"/>
        <w:rPr>
          <w:rFonts w:ascii="Arial" w:hAnsi="Arial" w:cs="Arial"/>
          <w:sz w:val="18"/>
          <w:szCs w:val="18"/>
          <w:lang w:eastAsia="en-AU"/>
        </w:rPr>
      </w:pPr>
      <w:r w:rsidRPr="00BB6CF4">
        <w:rPr>
          <w:rFonts w:ascii="Arial" w:hAnsi="Arial" w:cs="Arial"/>
          <w:sz w:val="18"/>
          <w:szCs w:val="18"/>
          <w:lang w:eastAsia="en-AU"/>
        </w:rPr>
        <w:t>The Agency is structured to meet a single Government outcome</w:t>
      </w:r>
      <w:r>
        <w:rPr>
          <w:rFonts w:ascii="Arial" w:hAnsi="Arial" w:cs="Arial"/>
          <w:sz w:val="18"/>
          <w:szCs w:val="18"/>
          <w:lang w:eastAsia="en-AU"/>
        </w:rPr>
        <w:t xml:space="preserve">, outlined in Note 6.1. </w:t>
      </w:r>
      <w:r w:rsidRPr="00120D25">
        <w:rPr>
          <w:rFonts w:ascii="Arial" w:hAnsi="Arial" w:cs="Arial"/>
          <w:sz w:val="18"/>
          <w:szCs w:val="18"/>
          <w:lang w:eastAsia="en-AU"/>
        </w:rPr>
        <w:t>The Agency enables each participant</w:t>
      </w:r>
      <w:r>
        <w:rPr>
          <w:rFonts w:ascii="Arial" w:hAnsi="Arial" w:cs="Arial"/>
          <w:sz w:val="18"/>
          <w:szCs w:val="18"/>
          <w:lang w:eastAsia="en-AU"/>
        </w:rPr>
        <w:t xml:space="preserve"> in the Scheme</w:t>
      </w:r>
      <w:r w:rsidRPr="00120D25">
        <w:rPr>
          <w:rFonts w:ascii="Arial" w:hAnsi="Arial" w:cs="Arial"/>
          <w:sz w:val="18"/>
          <w:szCs w:val="18"/>
          <w:lang w:eastAsia="en-AU"/>
        </w:rPr>
        <w:t xml:space="preserve"> to exercise individual</w:t>
      </w:r>
      <w:r>
        <w:rPr>
          <w:rFonts w:ascii="Arial" w:hAnsi="Arial" w:cs="Arial"/>
          <w:sz w:val="18"/>
          <w:szCs w:val="18"/>
          <w:lang w:eastAsia="en-AU"/>
        </w:rPr>
        <w:t xml:space="preserve"> choice and</w:t>
      </w:r>
      <w:r w:rsidRPr="00120D25">
        <w:rPr>
          <w:rFonts w:ascii="Arial" w:hAnsi="Arial" w:cs="Arial"/>
          <w:sz w:val="18"/>
          <w:szCs w:val="18"/>
          <w:lang w:eastAsia="en-AU"/>
        </w:rPr>
        <w:t xml:space="preserve"> control in respec</w:t>
      </w:r>
      <w:r>
        <w:rPr>
          <w:rFonts w:ascii="Arial" w:hAnsi="Arial" w:cs="Arial"/>
          <w:sz w:val="18"/>
          <w:szCs w:val="18"/>
          <w:lang w:eastAsia="en-AU"/>
        </w:rPr>
        <w:t>t to the delivery of reasonable and</w:t>
      </w:r>
      <w:r w:rsidRPr="00120D25">
        <w:rPr>
          <w:rFonts w:ascii="Arial" w:hAnsi="Arial" w:cs="Arial"/>
          <w:sz w:val="18"/>
          <w:szCs w:val="18"/>
          <w:lang w:eastAsia="en-AU"/>
        </w:rPr>
        <w:t xml:space="preserve"> necessary care and support and undertakes to support people with disabilities, their families and </w:t>
      </w:r>
      <w:proofErr w:type="spellStart"/>
      <w:r w:rsidRPr="00120D25">
        <w:rPr>
          <w:rFonts w:ascii="Arial" w:hAnsi="Arial" w:cs="Arial"/>
          <w:sz w:val="18"/>
          <w:szCs w:val="18"/>
          <w:lang w:eastAsia="en-AU"/>
        </w:rPr>
        <w:t>carers</w:t>
      </w:r>
      <w:proofErr w:type="spellEnd"/>
      <w:r w:rsidRPr="00120D25">
        <w:rPr>
          <w:rFonts w:ascii="Arial" w:hAnsi="Arial" w:cs="Arial"/>
          <w:sz w:val="18"/>
          <w:szCs w:val="18"/>
          <w:lang w:eastAsia="en-AU"/>
        </w:rPr>
        <w:t xml:space="preserve">. It also works to support the wider disability sector in order to promote better outcomes for people with a disability, in areas such as research and building community awareness. </w:t>
      </w:r>
    </w:p>
    <w:p w14:paraId="1DAAC7B3" w14:textId="77777777" w:rsidR="00A43992" w:rsidRPr="00120D25" w:rsidRDefault="00A43992" w:rsidP="00A43992">
      <w:pPr>
        <w:tabs>
          <w:tab w:val="left" w:pos="9504"/>
        </w:tabs>
        <w:spacing w:line="240" w:lineRule="auto"/>
        <w:jc w:val="both"/>
        <w:rPr>
          <w:rFonts w:ascii="Arial" w:hAnsi="Arial" w:cs="Arial"/>
          <w:sz w:val="18"/>
          <w:szCs w:val="18"/>
          <w:lang w:eastAsia="en-AU"/>
        </w:rPr>
      </w:pPr>
    </w:p>
    <w:p w14:paraId="3BBBD9E5" w14:textId="77777777" w:rsidR="00A43992" w:rsidRPr="00120D25" w:rsidRDefault="00A43992" w:rsidP="00A43992">
      <w:pPr>
        <w:tabs>
          <w:tab w:val="left" w:pos="9504"/>
        </w:tabs>
        <w:spacing w:line="240" w:lineRule="auto"/>
        <w:jc w:val="both"/>
        <w:rPr>
          <w:rFonts w:ascii="Arial" w:hAnsi="Arial" w:cs="Arial"/>
          <w:sz w:val="18"/>
          <w:szCs w:val="18"/>
          <w:lang w:eastAsia="en-AU"/>
        </w:rPr>
      </w:pPr>
      <w:r w:rsidRPr="00120D25">
        <w:rPr>
          <w:rFonts w:ascii="Arial" w:hAnsi="Arial" w:cs="Arial"/>
          <w:sz w:val="18"/>
          <w:szCs w:val="18"/>
          <w:lang w:eastAsia="en-AU"/>
        </w:rPr>
        <w:t>The Agency is also responsible for reporting on the sustainability of the Scheme, including regularly making and assessing estimates of current and future expenditure as well as identifying and managing financial risks and issues relevant to the financial sustainability of the Scheme. This is achieved by adopting an insurance-based approach, informed by actuarial analysis, to the provision and funding of support for people with a disability.</w:t>
      </w:r>
    </w:p>
    <w:p w14:paraId="30A3050D" w14:textId="77777777" w:rsidR="00A43992" w:rsidRDefault="00A43992" w:rsidP="00A43992">
      <w:pPr>
        <w:tabs>
          <w:tab w:val="left" w:pos="9504"/>
        </w:tabs>
        <w:spacing w:line="240" w:lineRule="auto"/>
        <w:jc w:val="both"/>
        <w:rPr>
          <w:rFonts w:ascii="Arial" w:hAnsi="Arial" w:cs="Arial"/>
          <w:sz w:val="18"/>
          <w:szCs w:val="18"/>
          <w:lang w:eastAsia="en-AU"/>
        </w:rPr>
      </w:pPr>
    </w:p>
    <w:p w14:paraId="79059BE9" w14:textId="77777777" w:rsidR="00A43992" w:rsidRPr="00BB6CF4" w:rsidRDefault="00A43992" w:rsidP="00A43992">
      <w:pPr>
        <w:spacing w:line="240" w:lineRule="auto"/>
        <w:jc w:val="both"/>
        <w:rPr>
          <w:rFonts w:ascii="Arial" w:hAnsi="Arial" w:cs="Arial"/>
          <w:sz w:val="18"/>
          <w:szCs w:val="18"/>
          <w:lang w:eastAsia="en-AU"/>
        </w:rPr>
      </w:pPr>
      <w:r w:rsidRPr="00BB6CF4">
        <w:rPr>
          <w:rFonts w:ascii="Arial" w:hAnsi="Arial" w:cs="Arial"/>
          <w:sz w:val="18"/>
          <w:szCs w:val="18"/>
          <w:lang w:eastAsia="en-AU"/>
        </w:rPr>
        <w:t>The continued existence of the Agency in its present form and with its present programs is dependent on Commonwealth Government policy, continuing funding by Parliament for the Agency’s administration and programs and agreement with state and territory governments.</w:t>
      </w:r>
    </w:p>
    <w:p w14:paraId="673B31D4" w14:textId="77777777" w:rsidR="00A43992" w:rsidRPr="00BB6CF4" w:rsidRDefault="00A43992" w:rsidP="00A43992">
      <w:pPr>
        <w:spacing w:line="240" w:lineRule="auto"/>
        <w:rPr>
          <w:rFonts w:ascii="Arial" w:hAnsi="Arial" w:cs="Arial"/>
          <w:sz w:val="18"/>
          <w:szCs w:val="18"/>
          <w:lang w:eastAsia="en-AU"/>
        </w:rPr>
      </w:pPr>
    </w:p>
    <w:p w14:paraId="64F37957" w14:textId="77777777" w:rsidR="00A43992" w:rsidRPr="0077218B" w:rsidRDefault="00A43992" w:rsidP="00A43992">
      <w:pPr>
        <w:spacing w:line="240" w:lineRule="auto"/>
        <w:outlineLvl w:val="0"/>
        <w:rPr>
          <w:rFonts w:ascii="Arial" w:hAnsi="Arial" w:cs="Arial"/>
          <w:b/>
          <w:bCs/>
          <w:color w:val="6B2976"/>
          <w:sz w:val="18"/>
          <w:szCs w:val="18"/>
          <w:lang w:eastAsia="en-AU"/>
        </w:rPr>
      </w:pPr>
      <w:r w:rsidRPr="0077218B">
        <w:rPr>
          <w:rFonts w:ascii="Arial" w:hAnsi="Arial" w:cs="Arial"/>
          <w:b/>
          <w:bCs/>
          <w:color w:val="6B2976"/>
          <w:sz w:val="18"/>
          <w:szCs w:val="18"/>
          <w:lang w:eastAsia="en-AU"/>
        </w:rPr>
        <w:t>The Basis of Preparation</w:t>
      </w:r>
    </w:p>
    <w:p w14:paraId="6B82EAF3" w14:textId="77777777" w:rsidR="00A43992" w:rsidRPr="00BB6CF4" w:rsidRDefault="00A43992" w:rsidP="00A43992">
      <w:pPr>
        <w:spacing w:line="240" w:lineRule="auto"/>
        <w:rPr>
          <w:rFonts w:ascii="Arial" w:hAnsi="Arial" w:cs="Arial"/>
          <w:sz w:val="18"/>
          <w:szCs w:val="18"/>
          <w:lang w:eastAsia="en-AU"/>
        </w:rPr>
      </w:pPr>
    </w:p>
    <w:p w14:paraId="187C5F25" w14:textId="77777777" w:rsidR="00A43992" w:rsidRPr="00BB6CF4" w:rsidRDefault="00A43992" w:rsidP="00A43992">
      <w:pPr>
        <w:spacing w:line="240" w:lineRule="auto"/>
        <w:jc w:val="both"/>
        <w:rPr>
          <w:rFonts w:ascii="Arial" w:hAnsi="Arial" w:cs="Arial"/>
          <w:bCs/>
          <w:sz w:val="18"/>
          <w:szCs w:val="18"/>
          <w:lang w:eastAsia="en-AU"/>
        </w:rPr>
      </w:pPr>
      <w:r w:rsidRPr="00BB6CF4">
        <w:rPr>
          <w:rFonts w:ascii="Arial" w:hAnsi="Arial" w:cs="Arial"/>
          <w:bCs/>
          <w:sz w:val="18"/>
          <w:szCs w:val="18"/>
          <w:lang w:eastAsia="en-AU"/>
        </w:rPr>
        <w:t xml:space="preserve">The financial statements are general purpose financial statements as required by section 42 of the </w:t>
      </w:r>
      <w:r w:rsidRPr="00BB6CF4">
        <w:rPr>
          <w:rFonts w:ascii="Arial" w:hAnsi="Arial" w:cs="Arial"/>
          <w:bCs/>
          <w:i/>
          <w:sz w:val="18"/>
          <w:szCs w:val="18"/>
          <w:lang w:eastAsia="en-AU"/>
        </w:rPr>
        <w:t>Public Governance, Performance and Accountability Act 2013</w:t>
      </w:r>
      <w:r w:rsidRPr="00BB6CF4">
        <w:rPr>
          <w:rFonts w:ascii="Arial" w:hAnsi="Arial" w:cs="Arial"/>
          <w:bCs/>
          <w:sz w:val="18"/>
          <w:szCs w:val="18"/>
          <w:lang w:eastAsia="en-AU"/>
        </w:rPr>
        <w:t>.</w:t>
      </w:r>
    </w:p>
    <w:p w14:paraId="765AD373" w14:textId="77777777" w:rsidR="00A43992" w:rsidRPr="00BB6CF4" w:rsidRDefault="00A43992" w:rsidP="00A43992">
      <w:pPr>
        <w:spacing w:line="240" w:lineRule="auto"/>
        <w:jc w:val="both"/>
        <w:rPr>
          <w:rFonts w:ascii="Arial" w:hAnsi="Arial" w:cs="Arial"/>
          <w:sz w:val="18"/>
          <w:szCs w:val="18"/>
          <w:lang w:eastAsia="en-AU"/>
        </w:rPr>
      </w:pPr>
    </w:p>
    <w:p w14:paraId="156EC7C9" w14:textId="77777777" w:rsidR="00A43992" w:rsidRPr="00BB6CF4" w:rsidRDefault="00A43992" w:rsidP="00A43992">
      <w:pPr>
        <w:spacing w:line="240" w:lineRule="auto"/>
        <w:jc w:val="both"/>
        <w:rPr>
          <w:rFonts w:ascii="Arial" w:hAnsi="Arial" w:cs="Arial"/>
          <w:sz w:val="18"/>
          <w:szCs w:val="18"/>
          <w:lang w:eastAsia="en-AU"/>
        </w:rPr>
      </w:pPr>
      <w:r w:rsidRPr="00BB6CF4">
        <w:rPr>
          <w:rFonts w:ascii="Arial" w:hAnsi="Arial" w:cs="Arial"/>
          <w:sz w:val="18"/>
          <w:szCs w:val="18"/>
          <w:lang w:eastAsia="en-AU"/>
        </w:rPr>
        <w:t>The financial statements have been prepared in accordance with:</w:t>
      </w:r>
    </w:p>
    <w:p w14:paraId="55F317CD" w14:textId="77777777" w:rsidR="00A43992" w:rsidRPr="00BB6CF4" w:rsidRDefault="00A43992" w:rsidP="00A43992">
      <w:pPr>
        <w:numPr>
          <w:ilvl w:val="0"/>
          <w:numId w:val="13"/>
        </w:numPr>
        <w:spacing w:before="0" w:after="0" w:line="240" w:lineRule="auto"/>
        <w:contextualSpacing/>
        <w:jc w:val="both"/>
        <w:rPr>
          <w:rFonts w:ascii="Arial" w:hAnsi="Arial" w:cs="Arial"/>
          <w:sz w:val="18"/>
          <w:szCs w:val="18"/>
          <w:lang w:eastAsia="en-AU"/>
        </w:rPr>
      </w:pPr>
      <w:r w:rsidRPr="00FD020F">
        <w:rPr>
          <w:rFonts w:ascii="Arial" w:hAnsi="Arial" w:cs="Arial"/>
          <w:i/>
          <w:sz w:val="18"/>
          <w:szCs w:val="18"/>
          <w:lang w:eastAsia="en-AU"/>
        </w:rPr>
        <w:t>Public Governance, Performance and Accountability (Financial Reporting) Rule 2015</w:t>
      </w:r>
      <w:r w:rsidRPr="00BB6CF4">
        <w:rPr>
          <w:rFonts w:ascii="Arial" w:hAnsi="Arial" w:cs="Arial"/>
          <w:sz w:val="18"/>
          <w:szCs w:val="18"/>
          <w:lang w:eastAsia="en-AU"/>
        </w:rPr>
        <w:t xml:space="preserve"> (FRR) for reporting periods ending on or </w:t>
      </w:r>
      <w:r w:rsidRPr="00FD020F">
        <w:rPr>
          <w:rFonts w:ascii="Arial" w:hAnsi="Arial" w:cs="Arial"/>
          <w:sz w:val="18"/>
          <w:szCs w:val="18"/>
          <w:lang w:eastAsia="en-AU"/>
        </w:rPr>
        <w:t>after 1 July 2015;</w:t>
      </w:r>
      <w:r w:rsidRPr="00BB6CF4">
        <w:rPr>
          <w:rFonts w:ascii="Arial" w:hAnsi="Arial" w:cs="Arial"/>
          <w:sz w:val="18"/>
          <w:szCs w:val="18"/>
          <w:lang w:eastAsia="en-AU"/>
        </w:rPr>
        <w:t xml:space="preserve"> and  </w:t>
      </w:r>
    </w:p>
    <w:p w14:paraId="69E4ECA3" w14:textId="77777777" w:rsidR="00A43992" w:rsidRPr="00BB6CF4" w:rsidRDefault="00A43992" w:rsidP="00A43992">
      <w:pPr>
        <w:numPr>
          <w:ilvl w:val="0"/>
          <w:numId w:val="13"/>
        </w:numPr>
        <w:spacing w:before="0" w:after="0" w:line="240" w:lineRule="auto"/>
        <w:contextualSpacing/>
        <w:jc w:val="both"/>
        <w:rPr>
          <w:rFonts w:ascii="Arial" w:hAnsi="Arial" w:cs="Arial"/>
          <w:sz w:val="18"/>
          <w:szCs w:val="18"/>
          <w:lang w:eastAsia="en-AU"/>
        </w:rPr>
      </w:pPr>
      <w:r w:rsidRPr="00BB6CF4">
        <w:rPr>
          <w:rFonts w:ascii="Arial" w:hAnsi="Arial" w:cs="Arial"/>
          <w:sz w:val="18"/>
          <w:szCs w:val="18"/>
          <w:lang w:eastAsia="en-AU"/>
        </w:rPr>
        <w:t>Australian Accounting Standards and Interpretations issued by the Australian Accounting Standards Board (‘AASB’) that apply for the reporting period.</w:t>
      </w:r>
      <w:r w:rsidRPr="00BB6CF4">
        <w:rPr>
          <w:rFonts w:ascii="Arial" w:hAnsi="Arial" w:cs="Arial"/>
          <w:sz w:val="18"/>
          <w:szCs w:val="18"/>
          <w:lang w:eastAsia="en-AU"/>
        </w:rPr>
        <w:tab/>
      </w:r>
    </w:p>
    <w:p w14:paraId="0E5708E7" w14:textId="77777777" w:rsidR="00A43992" w:rsidRPr="00BB6CF4" w:rsidRDefault="00A43992" w:rsidP="00A43992">
      <w:pPr>
        <w:spacing w:line="240" w:lineRule="auto"/>
        <w:jc w:val="both"/>
        <w:rPr>
          <w:rFonts w:ascii="Arial" w:hAnsi="Arial" w:cs="Arial"/>
          <w:sz w:val="18"/>
          <w:szCs w:val="18"/>
          <w:lang w:eastAsia="en-AU"/>
        </w:rPr>
      </w:pPr>
    </w:p>
    <w:p w14:paraId="3BFD37AC" w14:textId="77777777" w:rsidR="00A43992" w:rsidRPr="00BB6CF4" w:rsidRDefault="00A43992" w:rsidP="00A43992">
      <w:pPr>
        <w:spacing w:line="240" w:lineRule="auto"/>
        <w:jc w:val="both"/>
        <w:rPr>
          <w:rFonts w:ascii="Arial" w:hAnsi="Arial" w:cs="Arial"/>
          <w:sz w:val="18"/>
          <w:szCs w:val="18"/>
          <w:lang w:eastAsia="en-AU"/>
        </w:rPr>
      </w:pPr>
      <w:r w:rsidRPr="00BB6CF4">
        <w:rPr>
          <w:rFonts w:ascii="Arial" w:hAnsi="Arial" w:cs="Arial"/>
          <w:sz w:val="18"/>
          <w:szCs w:val="18"/>
          <w:lang w:eastAsia="en-AU"/>
        </w:rPr>
        <w:t xml:space="preserve">The financial statements have been prepared on an accrual basis and in accordance with the historical cost convention, except for certain assets and liabilities which are recorded at fair value. </w:t>
      </w:r>
    </w:p>
    <w:p w14:paraId="7C4D8C56" w14:textId="77777777" w:rsidR="00A43992" w:rsidRPr="00BB6CF4" w:rsidRDefault="00A43992" w:rsidP="00A43992">
      <w:pPr>
        <w:spacing w:line="240" w:lineRule="auto"/>
        <w:jc w:val="both"/>
        <w:rPr>
          <w:rFonts w:ascii="Arial" w:hAnsi="Arial" w:cs="Arial"/>
          <w:sz w:val="18"/>
          <w:szCs w:val="18"/>
          <w:lang w:eastAsia="en-AU"/>
        </w:rPr>
      </w:pPr>
    </w:p>
    <w:p w14:paraId="460DAAB0" w14:textId="77777777" w:rsidR="00A43992" w:rsidRPr="00BB6CF4" w:rsidRDefault="00A43992" w:rsidP="00A43992">
      <w:pPr>
        <w:spacing w:line="240" w:lineRule="auto"/>
        <w:jc w:val="both"/>
        <w:rPr>
          <w:rFonts w:ascii="Arial" w:hAnsi="Arial" w:cs="Arial"/>
          <w:sz w:val="18"/>
          <w:szCs w:val="18"/>
          <w:lang w:eastAsia="en-AU"/>
        </w:rPr>
      </w:pPr>
      <w:r w:rsidRPr="00BB6CF4">
        <w:rPr>
          <w:rFonts w:ascii="Arial" w:hAnsi="Arial" w:cs="Arial"/>
          <w:sz w:val="18"/>
          <w:szCs w:val="18"/>
          <w:lang w:eastAsia="en-AU"/>
        </w:rPr>
        <w:lastRenderedPageBreak/>
        <w:t>Except where stated, no allowance is made for the effect of changing prices on the results or the financial position of the Agency. The financial statements are presented in Australian dollars and values are rounded to the nearest thousand dollars, unless otherwise specified.</w:t>
      </w:r>
    </w:p>
    <w:p w14:paraId="155A0E10" w14:textId="77777777" w:rsidR="00A43992" w:rsidRPr="00BB6CF4" w:rsidRDefault="00A43992" w:rsidP="00A43992">
      <w:pPr>
        <w:spacing w:line="240" w:lineRule="auto"/>
        <w:rPr>
          <w:rFonts w:ascii="Arial" w:hAnsi="Arial" w:cs="Arial"/>
          <w:sz w:val="18"/>
          <w:szCs w:val="18"/>
          <w:lang w:eastAsia="en-AU"/>
        </w:rPr>
      </w:pPr>
      <w:r w:rsidRPr="00BB6CF4">
        <w:rPr>
          <w:rFonts w:ascii="Arial" w:hAnsi="Arial" w:cs="Arial"/>
          <w:sz w:val="18"/>
          <w:szCs w:val="18"/>
          <w:lang w:eastAsia="en-AU"/>
        </w:rPr>
        <w:tab/>
      </w:r>
    </w:p>
    <w:p w14:paraId="3ADA3369" w14:textId="77777777" w:rsidR="00A43992" w:rsidRPr="0077218B" w:rsidRDefault="00A43992" w:rsidP="00A43992">
      <w:pPr>
        <w:spacing w:line="240" w:lineRule="auto"/>
        <w:outlineLvl w:val="0"/>
        <w:rPr>
          <w:rFonts w:ascii="Arial" w:hAnsi="Arial" w:cs="Arial"/>
          <w:b/>
          <w:bCs/>
          <w:color w:val="6B2976"/>
          <w:sz w:val="18"/>
          <w:szCs w:val="18"/>
          <w:lang w:eastAsia="en-AU"/>
        </w:rPr>
      </w:pPr>
      <w:r w:rsidRPr="0077218B">
        <w:rPr>
          <w:rFonts w:ascii="Arial" w:hAnsi="Arial" w:cs="Arial"/>
          <w:b/>
          <w:bCs/>
          <w:color w:val="6B2976"/>
          <w:sz w:val="18"/>
          <w:szCs w:val="18"/>
          <w:lang w:eastAsia="en-AU"/>
        </w:rPr>
        <w:t>New Australian Accounting Standards</w:t>
      </w:r>
    </w:p>
    <w:p w14:paraId="5FF31471" w14:textId="77777777" w:rsidR="00A43992" w:rsidRPr="00C12BB6" w:rsidRDefault="00A43992" w:rsidP="00A43992">
      <w:pPr>
        <w:spacing w:line="240" w:lineRule="auto"/>
        <w:rPr>
          <w:rFonts w:ascii="Arial" w:hAnsi="Arial" w:cs="Arial"/>
          <w:b/>
          <w:bCs/>
          <w:color w:val="009560"/>
          <w:sz w:val="18"/>
          <w:szCs w:val="18"/>
          <w:lang w:eastAsia="en-AU"/>
        </w:rPr>
      </w:pPr>
    </w:p>
    <w:p w14:paraId="0B640FF7" w14:textId="77777777" w:rsidR="00A43992" w:rsidRPr="001E3338" w:rsidRDefault="00A43992" w:rsidP="00A43992">
      <w:pPr>
        <w:outlineLvl w:val="0"/>
        <w:rPr>
          <w:rFonts w:ascii="Arial" w:hAnsi="Arial" w:cs="Arial"/>
          <w:i/>
          <w:sz w:val="18"/>
          <w:u w:val="single"/>
          <w:lang w:eastAsia="en-AU"/>
        </w:rPr>
      </w:pPr>
      <w:r w:rsidRPr="001E3338">
        <w:rPr>
          <w:rFonts w:ascii="Arial" w:hAnsi="Arial" w:cs="Arial"/>
          <w:i/>
          <w:sz w:val="18"/>
          <w:u w:val="single"/>
          <w:lang w:eastAsia="en-AU"/>
        </w:rPr>
        <w:t xml:space="preserve">Adoption of </w:t>
      </w:r>
      <w:r>
        <w:rPr>
          <w:rFonts w:ascii="Arial" w:hAnsi="Arial" w:cs="Arial"/>
          <w:i/>
          <w:sz w:val="18"/>
          <w:u w:val="single"/>
          <w:lang w:eastAsia="en-AU"/>
        </w:rPr>
        <w:t>N</w:t>
      </w:r>
      <w:r w:rsidRPr="001E3338">
        <w:rPr>
          <w:rFonts w:ascii="Arial" w:hAnsi="Arial" w:cs="Arial"/>
          <w:i/>
          <w:sz w:val="18"/>
          <w:u w:val="single"/>
          <w:lang w:eastAsia="en-AU"/>
        </w:rPr>
        <w:t xml:space="preserve">ew Australian Accounting Standard </w:t>
      </w:r>
      <w:r>
        <w:rPr>
          <w:rFonts w:ascii="Arial" w:hAnsi="Arial" w:cs="Arial"/>
          <w:i/>
          <w:sz w:val="18"/>
          <w:u w:val="single"/>
          <w:lang w:eastAsia="en-AU"/>
        </w:rPr>
        <w:t>R</w:t>
      </w:r>
      <w:r w:rsidRPr="001E3338">
        <w:rPr>
          <w:rFonts w:ascii="Arial" w:hAnsi="Arial" w:cs="Arial"/>
          <w:i/>
          <w:sz w:val="18"/>
          <w:u w:val="single"/>
          <w:lang w:eastAsia="en-AU"/>
        </w:rPr>
        <w:t>equirements</w:t>
      </w:r>
    </w:p>
    <w:p w14:paraId="18C53333" w14:textId="77777777" w:rsidR="00A43992" w:rsidRDefault="00A43992" w:rsidP="00A43992">
      <w:pPr>
        <w:spacing w:line="240" w:lineRule="auto"/>
        <w:contextualSpacing/>
        <w:jc w:val="both"/>
        <w:rPr>
          <w:rFonts w:ascii="Arial" w:eastAsia="Calibri" w:hAnsi="Arial" w:cs="Arial"/>
          <w:sz w:val="18"/>
          <w:szCs w:val="18"/>
        </w:rPr>
      </w:pPr>
      <w:r>
        <w:rPr>
          <w:rFonts w:ascii="Arial" w:eastAsia="Calibri" w:hAnsi="Arial" w:cs="Arial"/>
          <w:sz w:val="18"/>
          <w:szCs w:val="18"/>
        </w:rPr>
        <w:t xml:space="preserve">The Agency has adopted </w:t>
      </w:r>
      <w:r w:rsidRPr="00FC6569">
        <w:rPr>
          <w:rFonts w:ascii="Arial" w:eastAsia="Calibri" w:hAnsi="Arial" w:cs="Arial"/>
          <w:sz w:val="18"/>
          <w:szCs w:val="18"/>
        </w:rPr>
        <w:t xml:space="preserve">AASB 2015-7 </w:t>
      </w:r>
      <w:r w:rsidRPr="00FE47D1">
        <w:rPr>
          <w:rFonts w:ascii="Arial" w:eastAsia="Calibri" w:hAnsi="Arial" w:cs="Arial"/>
          <w:i/>
          <w:sz w:val="18"/>
          <w:szCs w:val="18"/>
        </w:rPr>
        <w:t>Amendments to Australian Accounting Standards – Fair Value Disclosures of Not-for-Profit Public Sector Entities</w:t>
      </w:r>
      <w:r w:rsidRPr="00FC6569">
        <w:rPr>
          <w:rFonts w:ascii="Arial" w:eastAsia="Calibri" w:hAnsi="Arial" w:cs="Arial"/>
          <w:sz w:val="18"/>
          <w:szCs w:val="18"/>
        </w:rPr>
        <w:t xml:space="preserve"> earlier than the application date sta</w:t>
      </w:r>
      <w:r>
        <w:rPr>
          <w:rFonts w:ascii="Arial" w:eastAsia="Calibri" w:hAnsi="Arial" w:cs="Arial"/>
          <w:sz w:val="18"/>
          <w:szCs w:val="18"/>
        </w:rPr>
        <w:t xml:space="preserve">ted in the standard. </w:t>
      </w:r>
      <w:r w:rsidRPr="00FC6569">
        <w:rPr>
          <w:rFonts w:ascii="Arial" w:eastAsia="Calibri" w:hAnsi="Arial" w:cs="Arial"/>
          <w:sz w:val="18"/>
          <w:szCs w:val="18"/>
        </w:rPr>
        <w:t>AASB 2015</w:t>
      </w:r>
      <w:r>
        <w:rPr>
          <w:rFonts w:ascii="Arial" w:eastAsia="Calibri" w:hAnsi="Arial" w:cs="Arial"/>
          <w:sz w:val="18"/>
          <w:szCs w:val="18"/>
        </w:rPr>
        <w:t>-</w:t>
      </w:r>
      <w:r w:rsidRPr="00FC6569">
        <w:rPr>
          <w:rFonts w:ascii="Arial" w:eastAsia="Calibri" w:hAnsi="Arial" w:cs="Arial"/>
          <w:sz w:val="18"/>
          <w:szCs w:val="18"/>
        </w:rPr>
        <w:t>7 provides relief from disclosing quantitative information about significant unobservable inputs used in</w:t>
      </w:r>
      <w:r>
        <w:rPr>
          <w:rFonts w:ascii="Arial" w:eastAsia="Calibri" w:hAnsi="Arial" w:cs="Arial"/>
          <w:sz w:val="18"/>
          <w:szCs w:val="18"/>
        </w:rPr>
        <w:t xml:space="preserve"> determining</w:t>
      </w:r>
      <w:r w:rsidRPr="00FC6569">
        <w:rPr>
          <w:rFonts w:ascii="Arial" w:eastAsia="Calibri" w:hAnsi="Arial" w:cs="Arial"/>
          <w:sz w:val="18"/>
          <w:szCs w:val="18"/>
        </w:rPr>
        <w:t xml:space="preserve"> fair value, where property, plant and equipment is held for its current service potential rather than to generate net cash flows. The standard has been applied and the effect is</w:t>
      </w:r>
      <w:r>
        <w:rPr>
          <w:rFonts w:ascii="Arial" w:eastAsia="Calibri" w:hAnsi="Arial" w:cs="Arial"/>
          <w:sz w:val="18"/>
          <w:szCs w:val="18"/>
        </w:rPr>
        <w:t xml:space="preserve"> that</w:t>
      </w:r>
      <w:r w:rsidRPr="00FC6569">
        <w:rPr>
          <w:rFonts w:ascii="Arial" w:eastAsia="Calibri" w:hAnsi="Arial" w:cs="Arial"/>
          <w:sz w:val="18"/>
          <w:szCs w:val="18"/>
        </w:rPr>
        <w:t xml:space="preserve"> these disclosures are no longer made.</w:t>
      </w:r>
      <w:r w:rsidRPr="00BB6CF4">
        <w:rPr>
          <w:rFonts w:ascii="Arial" w:eastAsia="Calibri" w:hAnsi="Arial" w:cs="Arial"/>
          <w:sz w:val="18"/>
          <w:szCs w:val="18"/>
        </w:rPr>
        <w:t xml:space="preserve"> </w:t>
      </w:r>
    </w:p>
    <w:p w14:paraId="6049F568" w14:textId="77777777" w:rsidR="00A43992" w:rsidRPr="00BB6CF4" w:rsidRDefault="00A43992" w:rsidP="00A43992">
      <w:pPr>
        <w:spacing w:line="240" w:lineRule="auto"/>
        <w:contextualSpacing/>
        <w:jc w:val="both"/>
        <w:rPr>
          <w:rFonts w:ascii="Arial" w:eastAsia="Calibri" w:hAnsi="Arial" w:cs="Arial"/>
          <w:sz w:val="18"/>
          <w:szCs w:val="18"/>
        </w:rPr>
      </w:pPr>
    </w:p>
    <w:p w14:paraId="1058745F" w14:textId="77777777" w:rsidR="00A43992" w:rsidRPr="00BB6CF4" w:rsidRDefault="00A43992" w:rsidP="00A43992">
      <w:pPr>
        <w:spacing w:line="240" w:lineRule="auto"/>
        <w:contextualSpacing/>
        <w:jc w:val="both"/>
        <w:rPr>
          <w:rFonts w:ascii="Arial" w:eastAsia="Calibri" w:hAnsi="Arial" w:cs="Arial"/>
          <w:sz w:val="18"/>
          <w:szCs w:val="18"/>
        </w:rPr>
      </w:pPr>
      <w:r w:rsidRPr="00BB6CF4">
        <w:rPr>
          <w:rFonts w:ascii="Arial" w:eastAsia="Calibri" w:hAnsi="Arial" w:cs="Arial"/>
          <w:sz w:val="18"/>
          <w:szCs w:val="18"/>
        </w:rPr>
        <w:t>There have been no</w:t>
      </w:r>
      <w:r>
        <w:rPr>
          <w:rFonts w:ascii="Arial" w:eastAsia="Calibri" w:hAnsi="Arial" w:cs="Arial"/>
          <w:sz w:val="18"/>
          <w:szCs w:val="18"/>
        </w:rPr>
        <w:t xml:space="preserve"> other</w:t>
      </w:r>
      <w:r w:rsidRPr="00BB6CF4">
        <w:rPr>
          <w:rFonts w:ascii="Arial" w:eastAsia="Calibri" w:hAnsi="Arial" w:cs="Arial"/>
          <w:sz w:val="18"/>
          <w:szCs w:val="18"/>
        </w:rPr>
        <w:t xml:space="preserve"> </w:t>
      </w:r>
      <w:r>
        <w:rPr>
          <w:rFonts w:ascii="Arial" w:eastAsia="Calibri" w:hAnsi="Arial" w:cs="Arial"/>
          <w:sz w:val="18"/>
          <w:szCs w:val="18"/>
        </w:rPr>
        <w:t xml:space="preserve">new, </w:t>
      </w:r>
      <w:r w:rsidRPr="00BB6CF4">
        <w:rPr>
          <w:rFonts w:ascii="Arial" w:eastAsia="Calibri" w:hAnsi="Arial" w:cs="Arial"/>
          <w:sz w:val="18"/>
          <w:szCs w:val="18"/>
        </w:rPr>
        <w:t>revised or amended standards or interpretations that were issued by the A</w:t>
      </w:r>
      <w:r>
        <w:rPr>
          <w:rFonts w:ascii="Arial" w:eastAsia="Calibri" w:hAnsi="Arial" w:cs="Arial"/>
          <w:sz w:val="18"/>
          <w:szCs w:val="18"/>
        </w:rPr>
        <w:t xml:space="preserve">ustralian </w:t>
      </w:r>
      <w:r w:rsidRPr="00BB6CF4">
        <w:rPr>
          <w:rFonts w:ascii="Arial" w:eastAsia="Calibri" w:hAnsi="Arial" w:cs="Arial"/>
          <w:sz w:val="18"/>
          <w:szCs w:val="18"/>
        </w:rPr>
        <w:t>A</w:t>
      </w:r>
      <w:r>
        <w:rPr>
          <w:rFonts w:ascii="Arial" w:eastAsia="Calibri" w:hAnsi="Arial" w:cs="Arial"/>
          <w:sz w:val="18"/>
          <w:szCs w:val="18"/>
        </w:rPr>
        <w:t xml:space="preserve">ccounting </w:t>
      </w:r>
      <w:r w:rsidRPr="00BB6CF4">
        <w:rPr>
          <w:rFonts w:ascii="Arial" w:eastAsia="Calibri" w:hAnsi="Arial" w:cs="Arial"/>
          <w:sz w:val="18"/>
          <w:szCs w:val="18"/>
        </w:rPr>
        <w:t>S</w:t>
      </w:r>
      <w:r>
        <w:rPr>
          <w:rFonts w:ascii="Arial" w:eastAsia="Calibri" w:hAnsi="Arial" w:cs="Arial"/>
          <w:sz w:val="18"/>
          <w:szCs w:val="18"/>
        </w:rPr>
        <w:t xml:space="preserve">tandards </w:t>
      </w:r>
      <w:r w:rsidRPr="00BB6CF4">
        <w:rPr>
          <w:rFonts w:ascii="Arial" w:eastAsia="Calibri" w:hAnsi="Arial" w:cs="Arial"/>
          <w:sz w:val="18"/>
          <w:szCs w:val="18"/>
        </w:rPr>
        <w:t>B</w:t>
      </w:r>
      <w:r>
        <w:rPr>
          <w:rFonts w:ascii="Arial" w:eastAsia="Calibri" w:hAnsi="Arial" w:cs="Arial"/>
          <w:sz w:val="18"/>
          <w:szCs w:val="18"/>
        </w:rPr>
        <w:t>oard</w:t>
      </w:r>
      <w:r w:rsidRPr="00BB6CF4">
        <w:rPr>
          <w:rFonts w:ascii="Arial" w:eastAsia="Calibri" w:hAnsi="Arial" w:cs="Arial"/>
          <w:sz w:val="18"/>
          <w:szCs w:val="18"/>
        </w:rPr>
        <w:t xml:space="preserve"> prior to the sign off date that are applicable to </w:t>
      </w:r>
      <w:r>
        <w:rPr>
          <w:rFonts w:ascii="Arial" w:eastAsia="Calibri" w:hAnsi="Arial" w:cs="Arial"/>
          <w:sz w:val="18"/>
          <w:szCs w:val="18"/>
        </w:rPr>
        <w:t>the current reporting period that had a material effect, or that are not expected to have a future material effect, on the Agency’s financial statements</w:t>
      </w:r>
      <w:r w:rsidRPr="00BB6CF4">
        <w:rPr>
          <w:rFonts w:ascii="Arial" w:eastAsia="Calibri" w:hAnsi="Arial" w:cs="Arial"/>
          <w:sz w:val="18"/>
          <w:szCs w:val="18"/>
        </w:rPr>
        <w:t xml:space="preserve">.  </w:t>
      </w:r>
    </w:p>
    <w:p w14:paraId="2C750EF8" w14:textId="77777777" w:rsidR="00A43992" w:rsidRPr="002257EA" w:rsidRDefault="00A43992" w:rsidP="00A43992">
      <w:pPr>
        <w:rPr>
          <w:sz w:val="8"/>
          <w:szCs w:val="8"/>
          <w:lang w:eastAsia="en-AU"/>
        </w:rPr>
      </w:pPr>
    </w:p>
    <w:p w14:paraId="21CC0B40" w14:textId="77777777" w:rsidR="00A43992" w:rsidRDefault="00A43992" w:rsidP="00A43992">
      <w:pPr>
        <w:rPr>
          <w:rFonts w:ascii="Arial" w:hAnsi="Arial" w:cs="Arial"/>
          <w:i/>
          <w:sz w:val="18"/>
          <w:szCs w:val="18"/>
          <w:u w:val="single"/>
          <w:lang w:eastAsia="en-AU"/>
        </w:rPr>
      </w:pPr>
    </w:p>
    <w:p w14:paraId="2BD850D8" w14:textId="77777777" w:rsidR="00A43992" w:rsidRPr="001E3338" w:rsidRDefault="00A43992" w:rsidP="00A43992">
      <w:pPr>
        <w:outlineLvl w:val="0"/>
        <w:rPr>
          <w:rFonts w:ascii="Arial" w:hAnsi="Arial" w:cs="Arial"/>
          <w:i/>
          <w:sz w:val="18"/>
          <w:szCs w:val="18"/>
          <w:u w:val="single"/>
          <w:lang w:eastAsia="en-AU"/>
        </w:rPr>
      </w:pPr>
      <w:r>
        <w:rPr>
          <w:rFonts w:ascii="Arial" w:hAnsi="Arial" w:cs="Arial"/>
          <w:i/>
          <w:sz w:val="18"/>
          <w:szCs w:val="18"/>
          <w:u w:val="single"/>
          <w:lang w:eastAsia="en-AU"/>
        </w:rPr>
        <w:t>Future Australian</w:t>
      </w:r>
      <w:r w:rsidRPr="001E3338">
        <w:rPr>
          <w:rFonts w:ascii="Arial" w:hAnsi="Arial" w:cs="Arial"/>
          <w:i/>
          <w:sz w:val="18"/>
          <w:szCs w:val="18"/>
          <w:u w:val="single"/>
          <w:lang w:eastAsia="en-AU"/>
        </w:rPr>
        <w:t xml:space="preserve"> Accounting Standard requirements</w:t>
      </w:r>
    </w:p>
    <w:p w14:paraId="24A249F5" w14:textId="77777777" w:rsidR="00A43992" w:rsidRPr="00633717" w:rsidRDefault="00A43992" w:rsidP="00A43992">
      <w:pPr>
        <w:spacing w:line="240" w:lineRule="auto"/>
        <w:contextualSpacing/>
        <w:jc w:val="both"/>
        <w:rPr>
          <w:rFonts w:ascii="Arial" w:eastAsia="Calibri" w:hAnsi="Arial" w:cs="Arial"/>
          <w:sz w:val="18"/>
          <w:szCs w:val="18"/>
        </w:rPr>
      </w:pPr>
      <w:r w:rsidRPr="00633717">
        <w:rPr>
          <w:rFonts w:ascii="Arial" w:eastAsia="Calibri" w:hAnsi="Arial" w:cs="Arial"/>
          <w:sz w:val="18"/>
          <w:szCs w:val="18"/>
        </w:rPr>
        <w:t xml:space="preserve">The following new, revised and amending standards and interpretations were issued by the Australian Accounting Standards Board prior to the signing of the statement by the </w:t>
      </w:r>
      <w:r>
        <w:rPr>
          <w:rFonts w:ascii="Arial" w:eastAsia="Calibri" w:hAnsi="Arial" w:cs="Arial"/>
          <w:sz w:val="18"/>
          <w:szCs w:val="18"/>
        </w:rPr>
        <w:t>A</w:t>
      </w:r>
      <w:r w:rsidRPr="00633717">
        <w:rPr>
          <w:rFonts w:ascii="Arial" w:eastAsia="Calibri" w:hAnsi="Arial" w:cs="Arial"/>
          <w:sz w:val="18"/>
          <w:szCs w:val="18"/>
        </w:rPr>
        <w:t xml:space="preserve">ccountable </w:t>
      </w:r>
      <w:r>
        <w:rPr>
          <w:rFonts w:ascii="Arial" w:eastAsia="Calibri" w:hAnsi="Arial" w:cs="Arial"/>
          <w:sz w:val="18"/>
          <w:szCs w:val="18"/>
        </w:rPr>
        <w:t>A</w:t>
      </w:r>
      <w:r w:rsidRPr="00633717">
        <w:rPr>
          <w:rFonts w:ascii="Arial" w:eastAsia="Calibri" w:hAnsi="Arial" w:cs="Arial"/>
          <w:sz w:val="18"/>
          <w:szCs w:val="18"/>
        </w:rPr>
        <w:t xml:space="preserve">uthority and </w:t>
      </w:r>
      <w:r>
        <w:rPr>
          <w:rFonts w:ascii="Arial" w:eastAsia="Calibri" w:hAnsi="Arial" w:cs="Arial"/>
          <w:sz w:val="18"/>
          <w:szCs w:val="18"/>
        </w:rPr>
        <w:t>C</w:t>
      </w:r>
      <w:r w:rsidRPr="00633717">
        <w:rPr>
          <w:rFonts w:ascii="Arial" w:eastAsia="Calibri" w:hAnsi="Arial" w:cs="Arial"/>
          <w:sz w:val="18"/>
          <w:szCs w:val="18"/>
        </w:rPr>
        <w:t xml:space="preserve">hief </w:t>
      </w:r>
      <w:r>
        <w:rPr>
          <w:rFonts w:ascii="Arial" w:eastAsia="Calibri" w:hAnsi="Arial" w:cs="Arial"/>
          <w:sz w:val="18"/>
          <w:szCs w:val="18"/>
        </w:rPr>
        <w:t>F</w:t>
      </w:r>
      <w:r w:rsidRPr="00633717">
        <w:rPr>
          <w:rFonts w:ascii="Arial" w:eastAsia="Calibri" w:hAnsi="Arial" w:cs="Arial"/>
          <w:sz w:val="18"/>
          <w:szCs w:val="18"/>
        </w:rPr>
        <w:t xml:space="preserve">inancial </w:t>
      </w:r>
      <w:r>
        <w:rPr>
          <w:rFonts w:ascii="Arial" w:eastAsia="Calibri" w:hAnsi="Arial" w:cs="Arial"/>
          <w:sz w:val="18"/>
          <w:szCs w:val="18"/>
        </w:rPr>
        <w:t>O</w:t>
      </w:r>
      <w:r w:rsidRPr="00633717">
        <w:rPr>
          <w:rFonts w:ascii="Arial" w:eastAsia="Calibri" w:hAnsi="Arial" w:cs="Arial"/>
          <w:sz w:val="18"/>
          <w:szCs w:val="18"/>
        </w:rPr>
        <w:t xml:space="preserve">fficer, which are expected to have a material financial impact on the </w:t>
      </w:r>
      <w:r>
        <w:rPr>
          <w:rFonts w:ascii="Arial" w:eastAsia="Calibri" w:hAnsi="Arial" w:cs="Arial"/>
          <w:sz w:val="18"/>
          <w:szCs w:val="18"/>
        </w:rPr>
        <w:t>Agenc</w:t>
      </w:r>
      <w:r w:rsidRPr="00633717">
        <w:rPr>
          <w:rFonts w:ascii="Arial" w:eastAsia="Calibri" w:hAnsi="Arial" w:cs="Arial"/>
          <w:sz w:val="18"/>
          <w:szCs w:val="18"/>
        </w:rPr>
        <w:t>y’s financial statements for future reporting periods:</w:t>
      </w:r>
    </w:p>
    <w:p w14:paraId="00FC0D88" w14:textId="77777777" w:rsidR="00A43992" w:rsidRDefault="00A43992" w:rsidP="00A43992">
      <w:pPr>
        <w:rPr>
          <w:rFonts w:ascii="Arial" w:hAnsi="Arial" w:cs="Arial"/>
          <w:sz w:val="18"/>
          <w:szCs w:val="18"/>
          <w:lang w:eastAsia="en-AU"/>
        </w:rPr>
      </w:pPr>
    </w:p>
    <w:tbl>
      <w:tblPr>
        <w:tblW w:w="8848"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24"/>
        <w:gridCol w:w="1559"/>
        <w:gridCol w:w="4265"/>
      </w:tblGrid>
      <w:tr w:rsidR="00A43992" w14:paraId="63E67672" w14:textId="77777777" w:rsidTr="007211E3">
        <w:trPr>
          <w:cantSplit/>
          <w:trHeight w:val="255"/>
          <w:tblHeader/>
        </w:trPr>
        <w:tc>
          <w:tcPr>
            <w:tcW w:w="3024" w:type="dxa"/>
            <w:tcBorders>
              <w:top w:val="single" w:sz="12" w:space="0" w:color="auto"/>
              <w:left w:val="single" w:sz="12" w:space="0" w:color="auto"/>
              <w:bottom w:val="single" w:sz="12" w:space="0" w:color="auto"/>
              <w:right w:val="single" w:sz="6" w:space="0" w:color="auto"/>
            </w:tcBorders>
            <w:shd w:val="clear" w:color="FFFFFF" w:fill="FFFFFF"/>
            <w:noWrap/>
            <w:vAlign w:val="center"/>
          </w:tcPr>
          <w:p w14:paraId="609FBF7E" w14:textId="77777777" w:rsidR="00A43992" w:rsidRPr="002E4757" w:rsidRDefault="00A43992" w:rsidP="007211E3">
            <w:pPr>
              <w:rPr>
                <w:rFonts w:ascii="Arial" w:hAnsi="Arial" w:cs="Arial"/>
                <w:b/>
                <w:sz w:val="18"/>
                <w:szCs w:val="18"/>
              </w:rPr>
            </w:pPr>
            <w:r w:rsidRPr="002E4757">
              <w:rPr>
                <w:rFonts w:ascii="Arial" w:hAnsi="Arial" w:cs="Arial"/>
                <w:b/>
                <w:sz w:val="18"/>
                <w:szCs w:val="18"/>
              </w:rPr>
              <w:lastRenderedPageBreak/>
              <w:t>Standard/Interpretation</w:t>
            </w:r>
          </w:p>
        </w:tc>
        <w:tc>
          <w:tcPr>
            <w:tcW w:w="1559" w:type="dxa"/>
            <w:tcBorders>
              <w:top w:val="single" w:sz="12" w:space="0" w:color="auto"/>
              <w:left w:val="single" w:sz="6" w:space="0" w:color="auto"/>
              <w:bottom w:val="single" w:sz="12" w:space="0" w:color="auto"/>
              <w:right w:val="single" w:sz="6" w:space="0" w:color="auto"/>
            </w:tcBorders>
            <w:shd w:val="clear" w:color="FFFFFF" w:fill="FFFFFF"/>
            <w:vAlign w:val="center"/>
          </w:tcPr>
          <w:p w14:paraId="6B82419A" w14:textId="77777777" w:rsidR="00A43992" w:rsidRPr="002E4757" w:rsidRDefault="00A43992" w:rsidP="007211E3">
            <w:pPr>
              <w:jc w:val="center"/>
              <w:rPr>
                <w:rFonts w:ascii="Arial" w:hAnsi="Arial" w:cs="Arial"/>
                <w:b/>
                <w:bCs/>
                <w:sz w:val="18"/>
                <w:szCs w:val="18"/>
              </w:rPr>
            </w:pPr>
            <w:r w:rsidRPr="002E4757">
              <w:rPr>
                <w:rFonts w:ascii="Arial" w:hAnsi="Arial" w:cs="Arial"/>
                <w:b/>
                <w:bCs/>
                <w:sz w:val="18"/>
                <w:szCs w:val="18"/>
              </w:rPr>
              <w:t>Application date for the Agency</w:t>
            </w:r>
          </w:p>
        </w:tc>
        <w:tc>
          <w:tcPr>
            <w:tcW w:w="4265" w:type="dxa"/>
            <w:tcBorders>
              <w:top w:val="single" w:sz="12" w:space="0" w:color="auto"/>
              <w:left w:val="single" w:sz="6" w:space="0" w:color="auto"/>
              <w:bottom w:val="single" w:sz="12" w:space="0" w:color="auto"/>
              <w:right w:val="single" w:sz="12" w:space="0" w:color="auto"/>
            </w:tcBorders>
            <w:shd w:val="clear" w:color="FFFFFF" w:fill="FFFFFF"/>
            <w:vAlign w:val="center"/>
          </w:tcPr>
          <w:p w14:paraId="7F1BADC6" w14:textId="77777777" w:rsidR="00A43992" w:rsidRPr="002E4757" w:rsidRDefault="00A43992" w:rsidP="007211E3">
            <w:pPr>
              <w:rPr>
                <w:rFonts w:ascii="Arial" w:hAnsi="Arial" w:cs="Arial"/>
                <w:b/>
                <w:sz w:val="18"/>
                <w:szCs w:val="18"/>
              </w:rPr>
            </w:pPr>
            <w:r w:rsidRPr="002E4757">
              <w:rPr>
                <w:rFonts w:ascii="Arial" w:hAnsi="Arial" w:cs="Arial"/>
                <w:b/>
                <w:sz w:val="18"/>
                <w:szCs w:val="18"/>
              </w:rPr>
              <w:t>Nature of impending change/s in accounting policy and likely impact on initial application</w:t>
            </w:r>
          </w:p>
        </w:tc>
      </w:tr>
      <w:tr w:rsidR="00A43992" w14:paraId="4D1AEB5B" w14:textId="77777777" w:rsidTr="007211E3">
        <w:trPr>
          <w:cantSplit/>
          <w:trHeight w:val="255"/>
        </w:trPr>
        <w:tc>
          <w:tcPr>
            <w:tcW w:w="3024" w:type="dxa"/>
            <w:tcBorders>
              <w:top w:val="single" w:sz="6" w:space="0" w:color="auto"/>
              <w:left w:val="single" w:sz="12" w:space="0" w:color="auto"/>
              <w:bottom w:val="single" w:sz="6" w:space="0" w:color="auto"/>
            </w:tcBorders>
            <w:shd w:val="clear" w:color="FFFFFF" w:fill="FFFFFF"/>
            <w:noWrap/>
          </w:tcPr>
          <w:p w14:paraId="1B5AD473" w14:textId="77777777" w:rsidR="00A43992" w:rsidRDefault="00A43992" w:rsidP="007211E3">
            <w:pPr>
              <w:rPr>
                <w:rFonts w:ascii="Arial" w:hAnsi="Arial" w:cs="Arial"/>
                <w:bCs/>
                <w:i/>
                <w:sz w:val="18"/>
                <w:szCs w:val="18"/>
              </w:rPr>
            </w:pPr>
            <w:r w:rsidRPr="005013FF">
              <w:rPr>
                <w:rFonts w:ascii="Arial" w:hAnsi="Arial" w:cs="Arial"/>
                <w:bCs/>
                <w:sz w:val="18"/>
                <w:szCs w:val="18"/>
              </w:rPr>
              <w:t xml:space="preserve">AASB 15 </w:t>
            </w:r>
            <w:r w:rsidRPr="005013FF">
              <w:rPr>
                <w:rFonts w:ascii="Arial" w:hAnsi="Arial" w:cs="Arial"/>
                <w:bCs/>
                <w:i/>
                <w:sz w:val="18"/>
                <w:szCs w:val="18"/>
              </w:rPr>
              <w:t>Revenue from Contracts with Customers</w:t>
            </w:r>
            <w:r>
              <w:rPr>
                <w:rFonts w:ascii="Arial" w:hAnsi="Arial" w:cs="Arial"/>
                <w:bCs/>
                <w:i/>
                <w:sz w:val="18"/>
                <w:szCs w:val="18"/>
              </w:rPr>
              <w:t>;</w:t>
            </w:r>
          </w:p>
          <w:p w14:paraId="0694FBE0" w14:textId="77777777" w:rsidR="00A43992" w:rsidRDefault="00A43992" w:rsidP="007211E3">
            <w:pPr>
              <w:rPr>
                <w:rFonts w:ascii="Arial" w:hAnsi="Arial" w:cs="Arial"/>
                <w:bCs/>
                <w:i/>
                <w:sz w:val="18"/>
                <w:szCs w:val="18"/>
              </w:rPr>
            </w:pPr>
            <w:r w:rsidRPr="005013FF">
              <w:rPr>
                <w:rFonts w:ascii="Arial" w:hAnsi="Arial" w:cs="Arial"/>
                <w:bCs/>
                <w:sz w:val="18"/>
                <w:szCs w:val="18"/>
              </w:rPr>
              <w:t xml:space="preserve">AASB 2014-5 </w:t>
            </w:r>
            <w:r w:rsidRPr="005013FF">
              <w:rPr>
                <w:rFonts w:ascii="Arial" w:hAnsi="Arial" w:cs="Arial"/>
                <w:bCs/>
                <w:i/>
                <w:sz w:val="18"/>
                <w:szCs w:val="18"/>
              </w:rPr>
              <w:t>Amendments to Australian Accounting Standards arising from AASB 15</w:t>
            </w:r>
            <w:r>
              <w:rPr>
                <w:rFonts w:ascii="Arial" w:hAnsi="Arial" w:cs="Arial"/>
                <w:bCs/>
                <w:i/>
                <w:sz w:val="18"/>
                <w:szCs w:val="18"/>
              </w:rPr>
              <w:t>;</w:t>
            </w:r>
          </w:p>
          <w:p w14:paraId="1C8F676A" w14:textId="77777777" w:rsidR="00A43992" w:rsidRPr="005013FF" w:rsidRDefault="00A43992" w:rsidP="007211E3">
            <w:pPr>
              <w:rPr>
                <w:rFonts w:ascii="Arial" w:hAnsi="Arial" w:cs="Arial"/>
                <w:bCs/>
                <w:sz w:val="18"/>
                <w:szCs w:val="18"/>
              </w:rPr>
            </w:pPr>
            <w:r w:rsidRPr="005013FF">
              <w:rPr>
                <w:rFonts w:ascii="Arial" w:hAnsi="Arial" w:cs="Arial"/>
                <w:bCs/>
                <w:sz w:val="18"/>
                <w:szCs w:val="18"/>
              </w:rPr>
              <w:t xml:space="preserve">AASB 2015-8 </w:t>
            </w:r>
            <w:r w:rsidRPr="005539E7">
              <w:rPr>
                <w:rFonts w:ascii="Arial" w:hAnsi="Arial" w:cs="Arial"/>
                <w:bCs/>
                <w:i/>
                <w:sz w:val="18"/>
                <w:szCs w:val="18"/>
              </w:rPr>
              <w:t>Amendments to Australian Accounting Standards – Effective Date of AASB 15</w:t>
            </w:r>
          </w:p>
        </w:tc>
        <w:tc>
          <w:tcPr>
            <w:tcW w:w="1559" w:type="dxa"/>
            <w:tcBorders>
              <w:top w:val="single" w:sz="6" w:space="0" w:color="auto"/>
              <w:bottom w:val="single" w:sz="6" w:space="0" w:color="auto"/>
            </w:tcBorders>
            <w:shd w:val="clear" w:color="FFFFFF" w:fill="FFFFFF"/>
            <w:noWrap/>
          </w:tcPr>
          <w:p w14:paraId="447F1956" w14:textId="77777777" w:rsidR="00A43992" w:rsidRPr="00C87EF5" w:rsidRDefault="00A43992" w:rsidP="007211E3">
            <w:pPr>
              <w:jc w:val="center"/>
              <w:rPr>
                <w:rFonts w:ascii="Arial" w:hAnsi="Arial" w:cs="Arial"/>
                <w:bCs/>
                <w:sz w:val="18"/>
                <w:szCs w:val="18"/>
              </w:rPr>
            </w:pPr>
            <w:r>
              <w:rPr>
                <w:rFonts w:ascii="Arial" w:hAnsi="Arial" w:cs="Arial"/>
                <w:bCs/>
                <w:sz w:val="18"/>
                <w:szCs w:val="18"/>
              </w:rPr>
              <w:t>1</w:t>
            </w:r>
            <w:r w:rsidRPr="00C87EF5">
              <w:rPr>
                <w:rFonts w:ascii="Arial" w:hAnsi="Arial" w:cs="Arial"/>
                <w:bCs/>
                <w:sz w:val="18"/>
                <w:szCs w:val="18"/>
              </w:rPr>
              <w:t xml:space="preserve"> </w:t>
            </w:r>
            <w:r>
              <w:rPr>
                <w:rFonts w:ascii="Arial" w:hAnsi="Arial" w:cs="Arial"/>
                <w:bCs/>
                <w:sz w:val="18"/>
                <w:szCs w:val="18"/>
              </w:rPr>
              <w:t>July</w:t>
            </w:r>
            <w:r w:rsidRPr="00C87EF5">
              <w:rPr>
                <w:rFonts w:ascii="Arial" w:hAnsi="Arial" w:cs="Arial"/>
                <w:bCs/>
                <w:sz w:val="18"/>
                <w:szCs w:val="18"/>
              </w:rPr>
              <w:t xml:space="preserve"> 201</w:t>
            </w:r>
            <w:r>
              <w:rPr>
                <w:rFonts w:ascii="Arial" w:hAnsi="Arial" w:cs="Arial"/>
                <w:bCs/>
                <w:sz w:val="18"/>
                <w:szCs w:val="18"/>
              </w:rPr>
              <w:t>8</w:t>
            </w:r>
          </w:p>
        </w:tc>
        <w:tc>
          <w:tcPr>
            <w:tcW w:w="4265" w:type="dxa"/>
            <w:tcBorders>
              <w:top w:val="single" w:sz="6" w:space="0" w:color="auto"/>
              <w:bottom w:val="single" w:sz="6" w:space="0" w:color="auto"/>
              <w:right w:val="single" w:sz="12" w:space="0" w:color="auto"/>
            </w:tcBorders>
            <w:shd w:val="clear" w:color="FFFFFF" w:fill="FFFFFF"/>
            <w:noWrap/>
          </w:tcPr>
          <w:p w14:paraId="5AFBCB30" w14:textId="77777777" w:rsidR="00A43992" w:rsidRDefault="00A43992" w:rsidP="007211E3">
            <w:pPr>
              <w:rPr>
                <w:rFonts w:ascii="Arial" w:hAnsi="Arial" w:cs="Arial"/>
                <w:sz w:val="18"/>
                <w:szCs w:val="18"/>
              </w:rPr>
            </w:pPr>
            <w:r>
              <w:rPr>
                <w:rFonts w:ascii="Arial" w:hAnsi="Arial" w:cs="Arial"/>
                <w:sz w:val="18"/>
                <w:szCs w:val="18"/>
              </w:rPr>
              <w:t xml:space="preserve">Nature: The revised Standard outlines a single comprehensive model for entities to use in accounting for revenue arising from contracts with customers, replacing </w:t>
            </w:r>
            <w:r w:rsidRPr="00001A4A">
              <w:rPr>
                <w:rFonts w:ascii="Arial" w:hAnsi="Arial" w:cs="Arial"/>
                <w:sz w:val="18"/>
                <w:szCs w:val="18"/>
              </w:rPr>
              <w:t xml:space="preserve">AASB 111 </w:t>
            </w:r>
            <w:r w:rsidRPr="00001A4A">
              <w:rPr>
                <w:rFonts w:ascii="Arial" w:hAnsi="Arial" w:cs="Arial"/>
                <w:i/>
                <w:sz w:val="18"/>
                <w:szCs w:val="18"/>
              </w:rPr>
              <w:t>Construction Contracts</w:t>
            </w:r>
            <w:r w:rsidRPr="00001A4A">
              <w:rPr>
                <w:rFonts w:ascii="Arial" w:hAnsi="Arial" w:cs="Arial"/>
                <w:sz w:val="18"/>
                <w:szCs w:val="18"/>
              </w:rPr>
              <w:t xml:space="preserve">, AASB 118 </w:t>
            </w:r>
            <w:r w:rsidRPr="00001A4A">
              <w:rPr>
                <w:rFonts w:ascii="Arial" w:hAnsi="Arial" w:cs="Arial"/>
                <w:i/>
                <w:sz w:val="18"/>
                <w:szCs w:val="18"/>
              </w:rPr>
              <w:t>Revenue</w:t>
            </w:r>
            <w:r w:rsidRPr="00001A4A">
              <w:rPr>
                <w:rFonts w:ascii="Arial" w:hAnsi="Arial" w:cs="Arial"/>
                <w:sz w:val="18"/>
                <w:szCs w:val="18"/>
              </w:rPr>
              <w:t xml:space="preserve">, Interpretation 13 </w:t>
            </w:r>
            <w:r w:rsidRPr="00001A4A">
              <w:rPr>
                <w:rFonts w:ascii="Arial" w:hAnsi="Arial" w:cs="Arial"/>
                <w:i/>
                <w:sz w:val="18"/>
                <w:szCs w:val="18"/>
              </w:rPr>
              <w:t xml:space="preserve">Customer Loyalty </w:t>
            </w:r>
            <w:proofErr w:type="spellStart"/>
            <w:r w:rsidRPr="00001A4A">
              <w:rPr>
                <w:rFonts w:ascii="Arial" w:hAnsi="Arial" w:cs="Arial"/>
                <w:i/>
                <w:sz w:val="18"/>
                <w:szCs w:val="18"/>
              </w:rPr>
              <w:t>Programmes</w:t>
            </w:r>
            <w:proofErr w:type="spellEnd"/>
            <w:r w:rsidRPr="00001A4A">
              <w:rPr>
                <w:rFonts w:ascii="Arial" w:hAnsi="Arial" w:cs="Arial"/>
                <w:sz w:val="18"/>
                <w:szCs w:val="18"/>
              </w:rPr>
              <w:t xml:space="preserve">, Interpretation 15 </w:t>
            </w:r>
            <w:r w:rsidRPr="00001A4A">
              <w:rPr>
                <w:rFonts w:ascii="Arial" w:hAnsi="Arial" w:cs="Arial"/>
                <w:i/>
                <w:sz w:val="18"/>
                <w:szCs w:val="18"/>
              </w:rPr>
              <w:t>Agreements for the Construction of Real Estate</w:t>
            </w:r>
            <w:r w:rsidRPr="00001A4A">
              <w:rPr>
                <w:rFonts w:ascii="Arial" w:hAnsi="Arial" w:cs="Arial"/>
                <w:sz w:val="18"/>
                <w:szCs w:val="18"/>
              </w:rPr>
              <w:t xml:space="preserve">, Interpretation 18 </w:t>
            </w:r>
            <w:r w:rsidRPr="00001A4A">
              <w:rPr>
                <w:rFonts w:ascii="Arial" w:hAnsi="Arial" w:cs="Arial"/>
                <w:i/>
                <w:sz w:val="18"/>
                <w:szCs w:val="18"/>
              </w:rPr>
              <w:t>Transfers of Assets from Customers</w:t>
            </w:r>
            <w:r w:rsidRPr="00001A4A">
              <w:rPr>
                <w:rFonts w:ascii="Arial" w:hAnsi="Arial" w:cs="Arial"/>
                <w:sz w:val="18"/>
                <w:szCs w:val="18"/>
              </w:rPr>
              <w:t xml:space="preserve">, and Interpretation 131 </w:t>
            </w:r>
            <w:r w:rsidRPr="00001A4A">
              <w:rPr>
                <w:rFonts w:ascii="Arial" w:hAnsi="Arial" w:cs="Arial"/>
                <w:i/>
                <w:sz w:val="18"/>
                <w:szCs w:val="18"/>
              </w:rPr>
              <w:t>Revenue-Barter Transactions Involving Advertising Services</w:t>
            </w:r>
            <w:r w:rsidRPr="00001A4A">
              <w:rPr>
                <w:rFonts w:ascii="Arial" w:hAnsi="Arial" w:cs="Arial"/>
                <w:sz w:val="18"/>
                <w:szCs w:val="18"/>
              </w:rPr>
              <w:t>.</w:t>
            </w:r>
            <w:r>
              <w:rPr>
                <w:rFonts w:ascii="Arial" w:hAnsi="Arial" w:cs="Arial"/>
                <w:sz w:val="18"/>
                <w:szCs w:val="18"/>
              </w:rPr>
              <w:t xml:space="preserve"> </w:t>
            </w:r>
            <w:r w:rsidRPr="00001A4A">
              <w:rPr>
                <w:rFonts w:ascii="Arial" w:hAnsi="Arial" w:cs="Arial"/>
                <w:sz w:val="18"/>
                <w:szCs w:val="18"/>
              </w:rPr>
              <w:t xml:space="preserve">The core principle is that an entity </w:t>
            </w:r>
            <w:proofErr w:type="spellStart"/>
            <w:r w:rsidRPr="00001A4A">
              <w:rPr>
                <w:rFonts w:ascii="Arial" w:hAnsi="Arial" w:cs="Arial"/>
                <w:sz w:val="18"/>
                <w:szCs w:val="18"/>
              </w:rPr>
              <w:t>recognises</w:t>
            </w:r>
            <w:proofErr w:type="spellEnd"/>
            <w:r w:rsidRPr="00001A4A">
              <w:rPr>
                <w:rFonts w:ascii="Arial" w:hAnsi="Arial" w:cs="Arial"/>
                <w:sz w:val="18"/>
                <w:szCs w:val="18"/>
              </w:rPr>
              <w:t xml:space="preserve"> revenue to depict the transfer of promised goods or services to customers in an amount that reflects the </w:t>
            </w:r>
            <w:r>
              <w:rPr>
                <w:rFonts w:ascii="Arial" w:hAnsi="Arial" w:cs="Arial"/>
                <w:sz w:val="18"/>
                <w:szCs w:val="18"/>
              </w:rPr>
              <w:t xml:space="preserve">expected </w:t>
            </w:r>
            <w:r w:rsidRPr="00001A4A">
              <w:rPr>
                <w:rFonts w:ascii="Arial" w:hAnsi="Arial" w:cs="Arial"/>
                <w:sz w:val="18"/>
                <w:szCs w:val="18"/>
              </w:rPr>
              <w:t>consideration in exchange for those goods or services.</w:t>
            </w:r>
          </w:p>
          <w:p w14:paraId="08AECD34" w14:textId="77777777" w:rsidR="00A43992" w:rsidRDefault="00A43992" w:rsidP="007211E3">
            <w:pPr>
              <w:rPr>
                <w:rFonts w:ascii="Arial" w:hAnsi="Arial" w:cs="Arial"/>
                <w:sz w:val="18"/>
                <w:szCs w:val="18"/>
              </w:rPr>
            </w:pPr>
          </w:p>
          <w:p w14:paraId="3502F26C" w14:textId="77777777" w:rsidR="00A43992" w:rsidRDefault="00A43992" w:rsidP="007211E3">
            <w:pPr>
              <w:rPr>
                <w:rFonts w:ascii="Arial" w:hAnsi="Arial" w:cs="Arial"/>
                <w:sz w:val="18"/>
                <w:szCs w:val="18"/>
              </w:rPr>
            </w:pPr>
            <w:r>
              <w:rPr>
                <w:rFonts w:ascii="Arial" w:hAnsi="Arial" w:cs="Arial"/>
                <w:sz w:val="18"/>
                <w:szCs w:val="18"/>
              </w:rPr>
              <w:t xml:space="preserve">Likely impact: Expected to have an impact on the recognition, measurement and disclosure of revenue for exchange transactions. </w:t>
            </w:r>
            <w:r w:rsidRPr="00001A4A">
              <w:rPr>
                <w:rFonts w:ascii="Arial" w:hAnsi="Arial" w:cs="Arial"/>
                <w:sz w:val="18"/>
                <w:szCs w:val="18"/>
              </w:rPr>
              <w:t xml:space="preserve">AASB 1004 </w:t>
            </w:r>
            <w:r w:rsidRPr="00FC6569">
              <w:rPr>
                <w:rFonts w:ascii="Arial" w:hAnsi="Arial" w:cs="Arial"/>
                <w:i/>
                <w:sz w:val="18"/>
                <w:szCs w:val="18"/>
              </w:rPr>
              <w:t>Contributions</w:t>
            </w:r>
            <w:r w:rsidRPr="00001A4A">
              <w:rPr>
                <w:rFonts w:ascii="Arial" w:hAnsi="Arial" w:cs="Arial"/>
                <w:sz w:val="18"/>
                <w:szCs w:val="18"/>
              </w:rPr>
              <w:t xml:space="preserve"> continue</w:t>
            </w:r>
            <w:r>
              <w:rPr>
                <w:rFonts w:ascii="Arial" w:hAnsi="Arial" w:cs="Arial"/>
                <w:sz w:val="18"/>
                <w:szCs w:val="18"/>
              </w:rPr>
              <w:t>s</w:t>
            </w:r>
            <w:r w:rsidRPr="00001A4A">
              <w:rPr>
                <w:rFonts w:ascii="Arial" w:hAnsi="Arial" w:cs="Arial"/>
                <w:sz w:val="18"/>
                <w:szCs w:val="18"/>
              </w:rPr>
              <w:t xml:space="preserve"> to apply to non-exchange transactions</w:t>
            </w:r>
            <w:r>
              <w:rPr>
                <w:rFonts w:ascii="Arial" w:hAnsi="Arial" w:cs="Arial"/>
                <w:sz w:val="18"/>
                <w:szCs w:val="18"/>
              </w:rPr>
              <w:t>, including contributions by Government,</w:t>
            </w:r>
            <w:r w:rsidRPr="00001A4A">
              <w:rPr>
                <w:rFonts w:ascii="Arial" w:hAnsi="Arial" w:cs="Arial"/>
                <w:sz w:val="18"/>
                <w:szCs w:val="18"/>
              </w:rPr>
              <w:t xml:space="preserve"> until the Income from Transactions of N</w:t>
            </w:r>
            <w:r>
              <w:rPr>
                <w:rFonts w:ascii="Arial" w:hAnsi="Arial" w:cs="Arial"/>
                <w:sz w:val="18"/>
                <w:szCs w:val="18"/>
              </w:rPr>
              <w:t xml:space="preserve">ot </w:t>
            </w:r>
            <w:r w:rsidRPr="00001A4A">
              <w:rPr>
                <w:rFonts w:ascii="Arial" w:hAnsi="Arial" w:cs="Arial"/>
                <w:sz w:val="18"/>
                <w:szCs w:val="18"/>
              </w:rPr>
              <w:t>F</w:t>
            </w:r>
            <w:r>
              <w:rPr>
                <w:rFonts w:ascii="Arial" w:hAnsi="Arial" w:cs="Arial"/>
                <w:sz w:val="18"/>
                <w:szCs w:val="18"/>
              </w:rPr>
              <w:t xml:space="preserve">or </w:t>
            </w:r>
            <w:r w:rsidRPr="00001A4A">
              <w:rPr>
                <w:rFonts w:ascii="Arial" w:hAnsi="Arial" w:cs="Arial"/>
                <w:sz w:val="18"/>
                <w:szCs w:val="18"/>
              </w:rPr>
              <w:t>P</w:t>
            </w:r>
            <w:r>
              <w:rPr>
                <w:rFonts w:ascii="Arial" w:hAnsi="Arial" w:cs="Arial"/>
                <w:sz w:val="18"/>
                <w:szCs w:val="18"/>
              </w:rPr>
              <w:t>rofit</w:t>
            </w:r>
            <w:r w:rsidRPr="00001A4A">
              <w:rPr>
                <w:rFonts w:ascii="Arial" w:hAnsi="Arial" w:cs="Arial"/>
                <w:sz w:val="18"/>
                <w:szCs w:val="18"/>
              </w:rPr>
              <w:t xml:space="preserve"> Entities project is completed</w:t>
            </w:r>
            <w:r>
              <w:rPr>
                <w:rFonts w:ascii="Arial" w:hAnsi="Arial" w:cs="Arial"/>
                <w:sz w:val="18"/>
                <w:szCs w:val="18"/>
              </w:rPr>
              <w:t xml:space="preserve"> by the Australian Accounting Standards Board and a new standard is issued.</w:t>
            </w:r>
          </w:p>
        </w:tc>
      </w:tr>
      <w:tr w:rsidR="00A43992" w14:paraId="0079E545" w14:textId="77777777" w:rsidTr="007211E3">
        <w:trPr>
          <w:cantSplit/>
          <w:trHeight w:val="255"/>
        </w:trPr>
        <w:tc>
          <w:tcPr>
            <w:tcW w:w="3024" w:type="dxa"/>
            <w:tcBorders>
              <w:top w:val="single" w:sz="6" w:space="0" w:color="auto"/>
              <w:left w:val="single" w:sz="12" w:space="0" w:color="auto"/>
              <w:bottom w:val="single" w:sz="12" w:space="0" w:color="auto"/>
            </w:tcBorders>
            <w:shd w:val="clear" w:color="FFFFFF" w:fill="FFFFFF"/>
            <w:noWrap/>
          </w:tcPr>
          <w:p w14:paraId="1CC3DEE6" w14:textId="77777777" w:rsidR="00A43992" w:rsidRPr="005013FF" w:rsidRDefault="00A43992" w:rsidP="007211E3">
            <w:pPr>
              <w:rPr>
                <w:rFonts w:ascii="Arial" w:hAnsi="Arial" w:cs="Arial"/>
                <w:bCs/>
                <w:sz w:val="18"/>
                <w:szCs w:val="18"/>
              </w:rPr>
            </w:pPr>
            <w:r>
              <w:rPr>
                <w:rFonts w:ascii="Arial" w:hAnsi="Arial" w:cs="Arial"/>
                <w:bCs/>
                <w:sz w:val="18"/>
                <w:szCs w:val="18"/>
              </w:rPr>
              <w:t xml:space="preserve">AASB 16 </w:t>
            </w:r>
            <w:r w:rsidRPr="00D94913">
              <w:rPr>
                <w:rFonts w:ascii="Arial" w:hAnsi="Arial" w:cs="Arial"/>
                <w:bCs/>
                <w:i/>
                <w:sz w:val="18"/>
                <w:szCs w:val="18"/>
              </w:rPr>
              <w:t>Leases</w:t>
            </w:r>
          </w:p>
        </w:tc>
        <w:tc>
          <w:tcPr>
            <w:tcW w:w="1559" w:type="dxa"/>
            <w:tcBorders>
              <w:top w:val="single" w:sz="6" w:space="0" w:color="auto"/>
              <w:bottom w:val="single" w:sz="12" w:space="0" w:color="auto"/>
            </w:tcBorders>
            <w:shd w:val="clear" w:color="FFFFFF" w:fill="FFFFFF"/>
            <w:noWrap/>
          </w:tcPr>
          <w:p w14:paraId="214AD30E" w14:textId="77777777" w:rsidR="00A43992" w:rsidRPr="00C87EF5" w:rsidRDefault="00A43992" w:rsidP="007211E3">
            <w:pPr>
              <w:jc w:val="center"/>
              <w:rPr>
                <w:rFonts w:ascii="Arial" w:hAnsi="Arial" w:cs="Arial"/>
                <w:bCs/>
                <w:sz w:val="18"/>
                <w:szCs w:val="18"/>
              </w:rPr>
            </w:pPr>
            <w:r>
              <w:rPr>
                <w:rFonts w:ascii="Arial" w:hAnsi="Arial" w:cs="Arial"/>
                <w:bCs/>
                <w:sz w:val="18"/>
                <w:szCs w:val="18"/>
              </w:rPr>
              <w:t>1</w:t>
            </w:r>
            <w:r w:rsidRPr="00C87EF5">
              <w:rPr>
                <w:rFonts w:ascii="Arial" w:hAnsi="Arial" w:cs="Arial"/>
                <w:bCs/>
                <w:sz w:val="18"/>
                <w:szCs w:val="18"/>
              </w:rPr>
              <w:t xml:space="preserve"> </w:t>
            </w:r>
            <w:r>
              <w:rPr>
                <w:rFonts w:ascii="Arial" w:hAnsi="Arial" w:cs="Arial"/>
                <w:bCs/>
                <w:sz w:val="18"/>
                <w:szCs w:val="18"/>
              </w:rPr>
              <w:t>July</w:t>
            </w:r>
            <w:r w:rsidRPr="00C87EF5">
              <w:rPr>
                <w:rFonts w:ascii="Arial" w:hAnsi="Arial" w:cs="Arial"/>
                <w:bCs/>
                <w:sz w:val="18"/>
                <w:szCs w:val="18"/>
              </w:rPr>
              <w:t xml:space="preserve"> 201</w:t>
            </w:r>
            <w:r>
              <w:rPr>
                <w:rFonts w:ascii="Arial" w:hAnsi="Arial" w:cs="Arial"/>
                <w:bCs/>
                <w:sz w:val="18"/>
                <w:szCs w:val="18"/>
              </w:rPr>
              <w:t>9</w:t>
            </w:r>
          </w:p>
        </w:tc>
        <w:tc>
          <w:tcPr>
            <w:tcW w:w="4265" w:type="dxa"/>
            <w:tcBorders>
              <w:top w:val="single" w:sz="6" w:space="0" w:color="auto"/>
              <w:bottom w:val="single" w:sz="12" w:space="0" w:color="auto"/>
              <w:right w:val="single" w:sz="12" w:space="0" w:color="auto"/>
            </w:tcBorders>
            <w:shd w:val="clear" w:color="FFFFFF" w:fill="FFFFFF"/>
            <w:noWrap/>
          </w:tcPr>
          <w:p w14:paraId="4E8F8E16" w14:textId="77777777" w:rsidR="00A43992" w:rsidRDefault="00A43992" w:rsidP="007211E3">
            <w:pPr>
              <w:rPr>
                <w:rFonts w:ascii="Arial" w:hAnsi="Arial" w:cs="Arial"/>
                <w:sz w:val="18"/>
                <w:szCs w:val="18"/>
              </w:rPr>
            </w:pPr>
            <w:r>
              <w:rPr>
                <w:rFonts w:ascii="Arial" w:hAnsi="Arial" w:cs="Arial"/>
                <w:sz w:val="18"/>
                <w:szCs w:val="18"/>
              </w:rPr>
              <w:t xml:space="preserve">Nature: The revised standard replaces AASB 117 </w:t>
            </w:r>
            <w:r w:rsidRPr="00633717">
              <w:rPr>
                <w:rFonts w:ascii="Arial" w:hAnsi="Arial" w:cs="Arial"/>
                <w:i/>
                <w:sz w:val="18"/>
                <w:szCs w:val="18"/>
              </w:rPr>
              <w:t>Leases</w:t>
            </w:r>
            <w:r>
              <w:rPr>
                <w:rFonts w:ascii="Arial" w:hAnsi="Arial" w:cs="Arial"/>
                <w:sz w:val="18"/>
                <w:szCs w:val="18"/>
              </w:rPr>
              <w:t xml:space="preserve"> and</w:t>
            </w:r>
            <w:r w:rsidRPr="00B62A8E">
              <w:rPr>
                <w:rFonts w:ascii="Arial" w:hAnsi="Arial" w:cs="Arial"/>
                <w:sz w:val="18"/>
                <w:szCs w:val="18"/>
              </w:rPr>
              <w:t xml:space="preserve"> provides a single lessee accounting model, requiring lessees to </w:t>
            </w:r>
            <w:proofErr w:type="spellStart"/>
            <w:r w:rsidRPr="00B62A8E">
              <w:rPr>
                <w:rFonts w:ascii="Arial" w:hAnsi="Arial" w:cs="Arial"/>
                <w:sz w:val="18"/>
                <w:szCs w:val="18"/>
              </w:rPr>
              <w:t>recognise</w:t>
            </w:r>
            <w:proofErr w:type="spellEnd"/>
            <w:r w:rsidRPr="00B62A8E">
              <w:rPr>
                <w:rFonts w:ascii="Arial" w:hAnsi="Arial" w:cs="Arial"/>
                <w:sz w:val="18"/>
                <w:szCs w:val="18"/>
              </w:rPr>
              <w:t xml:space="preserve"> assets and liabilities for all leases unless the lease term is 12 months or less or the underlying asset has a low value.</w:t>
            </w:r>
            <w:r>
              <w:rPr>
                <w:rFonts w:ascii="Arial" w:hAnsi="Arial" w:cs="Arial"/>
                <w:sz w:val="18"/>
                <w:szCs w:val="18"/>
              </w:rPr>
              <w:t xml:space="preserve"> </w:t>
            </w:r>
            <w:r w:rsidRPr="00B62A8E">
              <w:rPr>
                <w:rFonts w:ascii="Arial" w:hAnsi="Arial" w:cs="Arial"/>
                <w:sz w:val="18"/>
                <w:szCs w:val="18"/>
              </w:rPr>
              <w:t xml:space="preserve">Lessors continue to classify leases as operating or finance, with </w:t>
            </w:r>
            <w:r>
              <w:rPr>
                <w:rFonts w:ascii="Arial" w:hAnsi="Arial" w:cs="Arial"/>
                <w:sz w:val="18"/>
                <w:szCs w:val="18"/>
              </w:rPr>
              <w:t>AASB</w:t>
            </w:r>
            <w:r w:rsidRPr="00B62A8E">
              <w:rPr>
                <w:rFonts w:ascii="Arial" w:hAnsi="Arial" w:cs="Arial"/>
                <w:sz w:val="18"/>
                <w:szCs w:val="18"/>
              </w:rPr>
              <w:t xml:space="preserve"> 16’s approach to lessor accounting substantially unchanged from its predecessor, </w:t>
            </w:r>
            <w:r>
              <w:rPr>
                <w:rFonts w:ascii="Arial" w:hAnsi="Arial" w:cs="Arial"/>
                <w:sz w:val="18"/>
                <w:szCs w:val="18"/>
              </w:rPr>
              <w:t>AASB</w:t>
            </w:r>
            <w:r w:rsidRPr="00B62A8E">
              <w:rPr>
                <w:rFonts w:ascii="Arial" w:hAnsi="Arial" w:cs="Arial"/>
                <w:sz w:val="18"/>
                <w:szCs w:val="18"/>
              </w:rPr>
              <w:t xml:space="preserve"> </w:t>
            </w:r>
            <w:r>
              <w:rPr>
                <w:rFonts w:ascii="Arial" w:hAnsi="Arial" w:cs="Arial"/>
                <w:sz w:val="18"/>
                <w:szCs w:val="18"/>
              </w:rPr>
              <w:t>1</w:t>
            </w:r>
            <w:r w:rsidRPr="00B62A8E">
              <w:rPr>
                <w:rFonts w:ascii="Arial" w:hAnsi="Arial" w:cs="Arial"/>
                <w:sz w:val="18"/>
                <w:szCs w:val="18"/>
              </w:rPr>
              <w:t>17.</w:t>
            </w:r>
          </w:p>
          <w:p w14:paraId="744ABF33" w14:textId="77777777" w:rsidR="00A43992" w:rsidRDefault="00A43992" w:rsidP="007211E3">
            <w:pPr>
              <w:rPr>
                <w:rFonts w:ascii="Arial" w:hAnsi="Arial" w:cs="Arial"/>
                <w:sz w:val="18"/>
                <w:szCs w:val="18"/>
              </w:rPr>
            </w:pPr>
          </w:p>
          <w:p w14:paraId="7296063A" w14:textId="77777777" w:rsidR="00A43992" w:rsidRDefault="00A43992" w:rsidP="007211E3">
            <w:pPr>
              <w:rPr>
                <w:rFonts w:ascii="Arial" w:hAnsi="Arial" w:cs="Arial"/>
                <w:sz w:val="18"/>
                <w:szCs w:val="18"/>
              </w:rPr>
            </w:pPr>
            <w:r>
              <w:rPr>
                <w:rFonts w:ascii="Arial" w:hAnsi="Arial" w:cs="Arial"/>
                <w:sz w:val="18"/>
                <w:szCs w:val="18"/>
              </w:rPr>
              <w:t>Likely impact: Expected to have an impact on the recognition, measurement and disclosure of leases.</w:t>
            </w:r>
          </w:p>
        </w:tc>
      </w:tr>
    </w:tbl>
    <w:p w14:paraId="5F5D47D4" w14:textId="77777777" w:rsidR="00A43992" w:rsidRPr="00BB6CF4" w:rsidRDefault="00A43992" w:rsidP="00A43992">
      <w:pPr>
        <w:rPr>
          <w:rFonts w:ascii="Arial" w:hAnsi="Arial" w:cs="Arial"/>
          <w:sz w:val="18"/>
          <w:szCs w:val="18"/>
          <w:lang w:eastAsia="en-AU"/>
        </w:rPr>
      </w:pPr>
    </w:p>
    <w:p w14:paraId="18997FF6" w14:textId="77777777" w:rsidR="00A43992" w:rsidRDefault="00A43992" w:rsidP="00A43992">
      <w:pPr>
        <w:spacing w:line="120" w:lineRule="atLeast"/>
        <w:jc w:val="both"/>
        <w:rPr>
          <w:rFonts w:ascii="Arial" w:hAnsi="Arial" w:cs="Arial"/>
          <w:sz w:val="18"/>
          <w:szCs w:val="18"/>
          <w:lang w:eastAsia="en-AU"/>
        </w:rPr>
      </w:pPr>
      <w:r>
        <w:rPr>
          <w:rFonts w:ascii="Arial" w:hAnsi="Arial" w:cs="Arial"/>
          <w:sz w:val="18"/>
          <w:szCs w:val="18"/>
          <w:lang w:eastAsia="en-AU"/>
        </w:rPr>
        <w:t>All other new, revised and amending standards and interpretations that were issued prior to signing date and are applicable to future reporting periods are not expected to have a material impact on the Agency’s financial statements.</w:t>
      </w:r>
    </w:p>
    <w:p w14:paraId="53CECD8B" w14:textId="77777777" w:rsidR="00A43992" w:rsidRDefault="00A43992" w:rsidP="00A43992">
      <w:pPr>
        <w:spacing w:line="120" w:lineRule="atLeast"/>
        <w:jc w:val="both"/>
        <w:rPr>
          <w:rFonts w:ascii="Arial" w:hAnsi="Arial" w:cs="Arial"/>
          <w:sz w:val="18"/>
          <w:szCs w:val="18"/>
          <w:lang w:eastAsia="en-AU"/>
        </w:rPr>
      </w:pPr>
    </w:p>
    <w:p w14:paraId="3FB02AC8" w14:textId="77777777" w:rsidR="00A43992" w:rsidRDefault="00A43992" w:rsidP="00A43992">
      <w:pPr>
        <w:spacing w:line="120" w:lineRule="atLeast"/>
        <w:jc w:val="both"/>
        <w:rPr>
          <w:rFonts w:ascii="Arial" w:hAnsi="Arial" w:cs="Arial"/>
          <w:sz w:val="18"/>
          <w:szCs w:val="18"/>
          <w:lang w:eastAsia="en-AU"/>
        </w:rPr>
      </w:pPr>
    </w:p>
    <w:p w14:paraId="646619F7" w14:textId="77777777" w:rsidR="00A43992" w:rsidRDefault="00A43992" w:rsidP="00A43992">
      <w:pPr>
        <w:spacing w:line="120" w:lineRule="atLeast"/>
        <w:jc w:val="both"/>
        <w:rPr>
          <w:rFonts w:ascii="Arial" w:hAnsi="Arial" w:cs="Arial"/>
          <w:sz w:val="18"/>
          <w:szCs w:val="18"/>
          <w:lang w:eastAsia="en-AU"/>
        </w:rPr>
      </w:pPr>
    </w:p>
    <w:p w14:paraId="3BFEF45E" w14:textId="77777777" w:rsidR="00A43992" w:rsidRPr="0077218B" w:rsidRDefault="00A43992" w:rsidP="00A43992">
      <w:pPr>
        <w:spacing w:line="240" w:lineRule="auto"/>
        <w:outlineLvl w:val="0"/>
        <w:rPr>
          <w:rFonts w:ascii="Arial" w:hAnsi="Arial" w:cs="Arial"/>
          <w:b/>
          <w:bCs/>
          <w:color w:val="6B2976"/>
          <w:sz w:val="18"/>
          <w:szCs w:val="18"/>
          <w:lang w:eastAsia="en-AU"/>
        </w:rPr>
      </w:pPr>
      <w:r w:rsidRPr="0077218B">
        <w:rPr>
          <w:rFonts w:ascii="Arial" w:hAnsi="Arial" w:cs="Arial"/>
          <w:b/>
          <w:bCs/>
          <w:color w:val="6B2976"/>
          <w:sz w:val="18"/>
          <w:szCs w:val="18"/>
          <w:lang w:eastAsia="en-AU"/>
        </w:rPr>
        <w:lastRenderedPageBreak/>
        <w:t>Taxation</w:t>
      </w:r>
    </w:p>
    <w:p w14:paraId="3EF1999C" w14:textId="77777777" w:rsidR="00A43992" w:rsidRDefault="00A43992" w:rsidP="00A43992">
      <w:pPr>
        <w:keepNext/>
        <w:spacing w:line="240" w:lineRule="auto"/>
        <w:jc w:val="both"/>
        <w:rPr>
          <w:rFonts w:ascii="Arial" w:hAnsi="Arial" w:cs="Arial"/>
          <w:sz w:val="18"/>
          <w:szCs w:val="18"/>
          <w:lang w:eastAsia="en-AU"/>
        </w:rPr>
      </w:pPr>
    </w:p>
    <w:p w14:paraId="559EB8E2" w14:textId="77777777" w:rsidR="00A43992" w:rsidRPr="00BB6CF4" w:rsidRDefault="00A43992" w:rsidP="00A43992">
      <w:pPr>
        <w:keepNext/>
        <w:spacing w:line="240" w:lineRule="auto"/>
        <w:jc w:val="both"/>
        <w:rPr>
          <w:rFonts w:ascii="Arial" w:hAnsi="Arial" w:cs="Arial"/>
          <w:sz w:val="18"/>
          <w:szCs w:val="18"/>
          <w:lang w:eastAsia="en-AU"/>
        </w:rPr>
      </w:pPr>
      <w:r w:rsidRPr="00BB6CF4">
        <w:rPr>
          <w:rFonts w:ascii="Arial" w:hAnsi="Arial" w:cs="Arial"/>
          <w:sz w:val="18"/>
          <w:szCs w:val="18"/>
          <w:lang w:eastAsia="en-AU"/>
        </w:rPr>
        <w:t xml:space="preserve">The Agency is exempt from all forms of taxation except Fringe Benefits Tax (FBT) and the Goods </w:t>
      </w:r>
      <w:r>
        <w:rPr>
          <w:rFonts w:ascii="Arial" w:hAnsi="Arial" w:cs="Arial"/>
          <w:sz w:val="18"/>
          <w:szCs w:val="18"/>
          <w:lang w:eastAsia="en-AU"/>
        </w:rPr>
        <w:t>and Services Tax (GST).</w:t>
      </w:r>
    </w:p>
    <w:p w14:paraId="45278D51" w14:textId="77777777" w:rsidR="00A43992" w:rsidRDefault="00A43992" w:rsidP="00A43992"/>
    <w:p w14:paraId="196546C0" w14:textId="77777777" w:rsidR="00A43992" w:rsidRDefault="00A43992" w:rsidP="00A43992">
      <w:pPr>
        <w:spacing w:line="240" w:lineRule="auto"/>
        <w:outlineLvl w:val="0"/>
        <w:rPr>
          <w:rFonts w:ascii="Arial" w:hAnsi="Arial" w:cs="Arial"/>
          <w:b/>
          <w:bCs/>
          <w:color w:val="009560"/>
          <w:sz w:val="18"/>
          <w:szCs w:val="18"/>
          <w:lang w:eastAsia="en-AU"/>
        </w:rPr>
      </w:pPr>
      <w:r w:rsidRPr="0077218B">
        <w:rPr>
          <w:rFonts w:ascii="Arial" w:hAnsi="Arial" w:cs="Arial"/>
          <w:b/>
          <w:bCs/>
          <w:color w:val="6B2976"/>
          <w:sz w:val="18"/>
          <w:szCs w:val="18"/>
          <w:lang w:eastAsia="en-AU"/>
        </w:rPr>
        <w:t>Events after the Reporting Period</w:t>
      </w:r>
    </w:p>
    <w:p w14:paraId="5D5803EC" w14:textId="77777777" w:rsidR="00A43992" w:rsidRDefault="00A43992" w:rsidP="00A43992">
      <w:pPr>
        <w:spacing w:line="240" w:lineRule="auto"/>
        <w:jc w:val="both"/>
        <w:rPr>
          <w:rFonts w:ascii="Arial" w:hAnsi="Arial" w:cs="Arial"/>
          <w:sz w:val="18"/>
          <w:szCs w:val="18"/>
          <w:lang w:eastAsia="en-AU"/>
        </w:rPr>
      </w:pPr>
    </w:p>
    <w:p w14:paraId="149B5C37" w14:textId="77777777" w:rsidR="00A43992" w:rsidRPr="00D70544" w:rsidRDefault="00A43992" w:rsidP="00A43992">
      <w:pPr>
        <w:spacing w:line="240" w:lineRule="auto"/>
        <w:jc w:val="both"/>
        <w:rPr>
          <w:rFonts w:ascii="Arial" w:hAnsi="Arial" w:cs="Arial"/>
          <w:sz w:val="18"/>
          <w:szCs w:val="18"/>
          <w:lang w:eastAsia="en-AU"/>
        </w:rPr>
      </w:pPr>
      <w:r>
        <w:rPr>
          <w:rFonts w:ascii="Arial" w:hAnsi="Arial" w:cs="Arial"/>
          <w:sz w:val="18"/>
          <w:szCs w:val="18"/>
          <w:lang w:eastAsia="en-AU"/>
        </w:rPr>
        <w:t>No subsequent events have been identified that have potential to significantly affect the ongoing structure or financial activities of the Agency.</w:t>
      </w:r>
    </w:p>
    <w:p w14:paraId="272D578A" w14:textId="77777777" w:rsidR="00A43992" w:rsidRDefault="00A43992" w:rsidP="00A43992">
      <w:pPr>
        <w:spacing w:line="240" w:lineRule="auto"/>
        <w:rPr>
          <w:rFonts w:ascii="Arial" w:hAnsi="Arial" w:cs="Arial"/>
          <w:bCs/>
          <w:color w:val="009560"/>
          <w:sz w:val="18"/>
          <w:szCs w:val="18"/>
          <w:lang w:eastAsia="en-AU"/>
        </w:rPr>
      </w:pPr>
      <w:r>
        <w:rPr>
          <w:rFonts w:ascii="Arial" w:hAnsi="Arial" w:cs="Arial"/>
          <w:bCs/>
          <w:color w:val="009560"/>
          <w:sz w:val="18"/>
          <w:szCs w:val="18"/>
          <w:lang w:eastAsia="en-AU"/>
        </w:rPr>
        <w:br w:type="page"/>
      </w:r>
    </w:p>
    <w:p w14:paraId="11840D65" w14:textId="77777777" w:rsidR="00A43992" w:rsidRDefault="00A43992" w:rsidP="00A43992">
      <w:pPr>
        <w:pStyle w:val="ContinuedNotesHeading-Level1"/>
        <w:sectPr w:rsidR="00A43992" w:rsidSect="007211E3">
          <w:type w:val="continuous"/>
          <w:pgSz w:w="11906" w:h="16838" w:code="9"/>
          <w:pgMar w:top="1134" w:right="1700" w:bottom="1134" w:left="1134" w:header="958" w:footer="737" w:gutter="0"/>
          <w:cols w:space="708"/>
          <w:docGrid w:linePitch="360"/>
        </w:sectPr>
      </w:pPr>
      <w:bookmarkStart w:id="156" w:name="_Toc444065770"/>
      <w:bookmarkStart w:id="157" w:name="_Toc444077332"/>
      <w:bookmarkEnd w:id="146"/>
      <w:bookmarkEnd w:id="147"/>
    </w:p>
    <w:p w14:paraId="1202A161" w14:textId="014F7B2B" w:rsidR="00A43992" w:rsidRPr="00EE5DE1" w:rsidRDefault="00A43992" w:rsidP="00A43992">
      <w:pPr>
        <w:pStyle w:val="SectionHeading"/>
      </w:pPr>
      <w:bookmarkStart w:id="158" w:name="_Toc447030535"/>
      <w:bookmarkStart w:id="159" w:name="_Toc447030687"/>
      <w:bookmarkStart w:id="160" w:name="_Toc447030780"/>
      <w:bookmarkStart w:id="161" w:name="_Toc456865053"/>
      <w:bookmarkStart w:id="162" w:name="_Toc464482132"/>
      <w:r w:rsidRPr="00EE5DE1">
        <w:lastRenderedPageBreak/>
        <w:t>Financial Performance</w:t>
      </w:r>
      <w:bookmarkEnd w:id="156"/>
      <w:bookmarkEnd w:id="157"/>
      <w:bookmarkEnd w:id="158"/>
      <w:bookmarkEnd w:id="159"/>
      <w:bookmarkEnd w:id="160"/>
      <w:bookmarkEnd w:id="161"/>
      <w:bookmarkEnd w:id="162"/>
    </w:p>
    <w:p w14:paraId="09F5B6DF" w14:textId="77777777" w:rsidR="00A43992" w:rsidRDefault="00A43992" w:rsidP="00A43992">
      <w:pPr>
        <w:pStyle w:val="SectionHeadingDescription"/>
      </w:pPr>
      <w:bookmarkStart w:id="163" w:name="_Toc444065771"/>
      <w:r w:rsidRPr="00EE5DE1">
        <w:t xml:space="preserve">This section analyses the financial performance of the </w:t>
      </w:r>
      <w:r>
        <w:t>Agency</w:t>
      </w:r>
      <w:r w:rsidRPr="00EE5DE1">
        <w:t xml:space="preserve"> for the </w:t>
      </w:r>
      <w:r>
        <w:t>period</w:t>
      </w:r>
      <w:r w:rsidRPr="00EE5DE1">
        <w:t xml:space="preserve"> ended</w:t>
      </w:r>
      <w:r>
        <w:t xml:space="preserve"> </w:t>
      </w:r>
      <w:fldSimple w:instr=" DOCPROPERTY  pEnd  \* MERGEFORMAT ">
        <w:r w:rsidR="00F337D2" w:rsidRPr="00F337D2">
          <w:rPr>
            <w:b/>
            <w:bCs/>
            <w:lang w:val="en-US"/>
          </w:rPr>
          <w:t>30 June</w:t>
        </w:r>
      </w:fldSimple>
      <w:r w:rsidRPr="00EE5DE1">
        <w:t xml:space="preserve"> </w:t>
      </w:r>
      <w:fldSimple w:instr=" DOCPROPERTY  crYear  \* MERGEFORMAT ">
        <w:r w:rsidR="00F337D2" w:rsidRPr="00F337D2">
          <w:rPr>
            <w:b/>
            <w:bCs/>
            <w:lang w:val="en-US"/>
          </w:rPr>
          <w:t>2016</w:t>
        </w:r>
      </w:fldSimple>
      <w:r w:rsidRPr="00EE5DE1">
        <w:t>.</w:t>
      </w:r>
      <w:bookmarkStart w:id="164" w:name="_Toc443469523"/>
      <w:bookmarkStart w:id="165" w:name="_Toc444065772"/>
      <w:bookmarkStart w:id="166" w:name="_Toc444077333"/>
      <w:bookmarkEnd w:id="163"/>
    </w:p>
    <w:p w14:paraId="32753811" w14:textId="42F59F0A" w:rsidR="00A43992" w:rsidRPr="00FF78A0" w:rsidRDefault="00A43992" w:rsidP="00A43992">
      <w:pPr>
        <w:pStyle w:val="SubHeading"/>
      </w:pPr>
      <w:bookmarkStart w:id="167" w:name="_Toc447030536"/>
      <w:bookmarkStart w:id="168" w:name="_Toc447030688"/>
      <w:bookmarkStart w:id="169" w:name="_Toc447030781"/>
      <w:bookmarkStart w:id="170" w:name="_Toc456865054"/>
      <w:r w:rsidRPr="00714F4A">
        <w:t>Exp</w:t>
      </w:r>
      <w:r w:rsidRPr="00FF3E9C">
        <w:t>enses</w:t>
      </w:r>
      <w:bookmarkEnd w:id="164"/>
      <w:bookmarkEnd w:id="165"/>
      <w:bookmarkEnd w:id="166"/>
      <w:bookmarkEnd w:id="167"/>
      <w:bookmarkEnd w:id="168"/>
      <w:bookmarkEnd w:id="169"/>
      <w:bookmarkEnd w:id="170"/>
    </w:p>
    <w:tbl>
      <w:tblPr>
        <w:tblW w:w="9087" w:type="dxa"/>
        <w:tblInd w:w="80" w:type="dxa"/>
        <w:tblLayout w:type="fixed"/>
        <w:tblLook w:val="04A0" w:firstRow="1" w:lastRow="0" w:firstColumn="1" w:lastColumn="0" w:noHBand="0" w:noVBand="1"/>
      </w:tblPr>
      <w:tblGrid>
        <w:gridCol w:w="6375"/>
        <w:gridCol w:w="1252"/>
        <w:gridCol w:w="267"/>
        <w:gridCol w:w="1193"/>
      </w:tblGrid>
      <w:tr w:rsidR="00A43992" w14:paraId="56B5553F" w14:textId="77777777" w:rsidTr="007211E3">
        <w:trPr>
          <w:trHeight w:val="240"/>
        </w:trPr>
        <w:tc>
          <w:tcPr>
            <w:tcW w:w="6383" w:type="dxa"/>
            <w:tcBorders>
              <w:top w:val="nil"/>
              <w:left w:val="nil"/>
              <w:bottom w:val="nil"/>
              <w:right w:val="nil"/>
            </w:tcBorders>
            <w:shd w:val="clear" w:color="FFFFFF" w:fill="FFFFFF"/>
            <w:noWrap/>
            <w:vAlign w:val="bottom"/>
            <w:hideMark/>
          </w:tcPr>
          <w:p w14:paraId="55F4C0B6" w14:textId="77777777" w:rsidR="00A43992" w:rsidRDefault="00A43992" w:rsidP="007211E3">
            <w:pPr>
              <w:rPr>
                <w:rFonts w:ascii="Arial" w:hAnsi="Arial" w:cs="Arial"/>
                <w:sz w:val="18"/>
                <w:szCs w:val="18"/>
              </w:rPr>
            </w:pPr>
            <w:bookmarkStart w:id="171" w:name="Note_EEXTABLE1" w:colFirst="0" w:colLast="0"/>
            <w:r>
              <w:rPr>
                <w:rFonts w:ascii="Arial" w:hAnsi="Arial" w:cs="Arial"/>
                <w:sz w:val="18"/>
                <w:szCs w:val="18"/>
              </w:rPr>
              <w:t> </w:t>
            </w:r>
          </w:p>
        </w:tc>
        <w:tc>
          <w:tcPr>
            <w:tcW w:w="1253" w:type="dxa"/>
            <w:tcBorders>
              <w:top w:val="nil"/>
              <w:left w:val="nil"/>
              <w:bottom w:val="nil"/>
              <w:right w:val="nil"/>
            </w:tcBorders>
            <w:shd w:val="clear" w:color="FFFFFF" w:fill="FFFFFF"/>
            <w:vAlign w:val="bottom"/>
            <w:hideMark/>
          </w:tcPr>
          <w:p w14:paraId="2991EC79" w14:textId="77777777" w:rsidR="00A43992" w:rsidRDefault="00A43992" w:rsidP="007211E3">
            <w:pPr>
              <w:jc w:val="right"/>
              <w:rPr>
                <w:rFonts w:ascii="Arial" w:hAnsi="Arial" w:cs="Arial"/>
                <w:b/>
                <w:bCs/>
                <w:sz w:val="18"/>
                <w:szCs w:val="18"/>
              </w:rPr>
            </w:pPr>
            <w:r>
              <w:rPr>
                <w:rFonts w:ascii="Arial" w:hAnsi="Arial" w:cs="Arial"/>
                <w:b/>
                <w:bCs/>
                <w:sz w:val="18"/>
                <w:szCs w:val="18"/>
              </w:rPr>
              <w:t>2016</w:t>
            </w:r>
          </w:p>
        </w:tc>
        <w:tc>
          <w:tcPr>
            <w:tcW w:w="267" w:type="dxa"/>
            <w:tcBorders>
              <w:top w:val="nil"/>
              <w:left w:val="nil"/>
              <w:bottom w:val="nil"/>
              <w:right w:val="nil"/>
            </w:tcBorders>
            <w:shd w:val="clear" w:color="FFFFFF" w:fill="FFFFFF"/>
            <w:noWrap/>
            <w:vAlign w:val="bottom"/>
            <w:hideMark/>
          </w:tcPr>
          <w:p w14:paraId="5E299614" w14:textId="77777777" w:rsidR="00A43992" w:rsidRDefault="00A43992" w:rsidP="007211E3">
            <w:pPr>
              <w:rPr>
                <w:rFonts w:ascii="Arial" w:hAnsi="Arial" w:cs="Arial"/>
                <w:sz w:val="18"/>
                <w:szCs w:val="18"/>
              </w:rPr>
            </w:pPr>
            <w:r>
              <w:rPr>
                <w:rFonts w:ascii="Arial" w:hAnsi="Arial" w:cs="Arial"/>
                <w:sz w:val="18"/>
                <w:szCs w:val="18"/>
              </w:rPr>
              <w:t> </w:t>
            </w:r>
          </w:p>
        </w:tc>
        <w:tc>
          <w:tcPr>
            <w:tcW w:w="1194" w:type="dxa"/>
            <w:tcBorders>
              <w:top w:val="nil"/>
              <w:left w:val="nil"/>
              <w:bottom w:val="nil"/>
              <w:right w:val="nil"/>
            </w:tcBorders>
            <w:shd w:val="clear" w:color="FFFFFF" w:fill="FFFFFF"/>
            <w:vAlign w:val="bottom"/>
            <w:hideMark/>
          </w:tcPr>
          <w:p w14:paraId="7C6F58F9" w14:textId="77777777" w:rsidR="00A43992" w:rsidRDefault="00A43992" w:rsidP="007211E3">
            <w:pPr>
              <w:jc w:val="right"/>
              <w:rPr>
                <w:rFonts w:ascii="Arial" w:hAnsi="Arial" w:cs="Arial"/>
                <w:sz w:val="18"/>
                <w:szCs w:val="18"/>
              </w:rPr>
            </w:pPr>
            <w:r>
              <w:rPr>
                <w:rFonts w:ascii="Arial" w:hAnsi="Arial" w:cs="Arial"/>
                <w:sz w:val="18"/>
                <w:szCs w:val="18"/>
              </w:rPr>
              <w:t>2015</w:t>
            </w:r>
          </w:p>
        </w:tc>
      </w:tr>
      <w:bookmarkEnd w:id="171"/>
      <w:tr w:rsidR="00A43992" w14:paraId="1A27151E" w14:textId="77777777" w:rsidTr="007211E3">
        <w:trPr>
          <w:trHeight w:val="240"/>
        </w:trPr>
        <w:tc>
          <w:tcPr>
            <w:tcW w:w="6383" w:type="dxa"/>
            <w:tcBorders>
              <w:top w:val="nil"/>
              <w:left w:val="nil"/>
              <w:bottom w:val="nil"/>
              <w:right w:val="nil"/>
            </w:tcBorders>
            <w:shd w:val="clear" w:color="FFFFFF" w:fill="FFFFFF"/>
            <w:noWrap/>
            <w:vAlign w:val="bottom"/>
            <w:hideMark/>
          </w:tcPr>
          <w:p w14:paraId="0594376B" w14:textId="77777777" w:rsidR="00A43992" w:rsidRDefault="00A43992" w:rsidP="007211E3">
            <w:pPr>
              <w:rPr>
                <w:rFonts w:ascii="Arial" w:hAnsi="Arial" w:cs="Arial"/>
                <w:sz w:val="18"/>
                <w:szCs w:val="18"/>
              </w:rPr>
            </w:pPr>
            <w:r>
              <w:rPr>
                <w:rFonts w:ascii="Arial" w:hAnsi="Arial" w:cs="Arial"/>
                <w:sz w:val="18"/>
                <w:szCs w:val="18"/>
              </w:rPr>
              <w:t> </w:t>
            </w:r>
          </w:p>
        </w:tc>
        <w:tc>
          <w:tcPr>
            <w:tcW w:w="1253" w:type="dxa"/>
            <w:tcBorders>
              <w:top w:val="nil"/>
              <w:left w:val="nil"/>
              <w:bottom w:val="nil"/>
              <w:right w:val="nil"/>
            </w:tcBorders>
            <w:shd w:val="clear" w:color="FFFFFF" w:fill="FFFFFF"/>
            <w:vAlign w:val="bottom"/>
            <w:hideMark/>
          </w:tcPr>
          <w:p w14:paraId="221EBC12" w14:textId="77777777" w:rsidR="00A43992" w:rsidRDefault="00A43992" w:rsidP="007211E3">
            <w:pPr>
              <w:jc w:val="right"/>
              <w:rPr>
                <w:rFonts w:ascii="Arial" w:hAnsi="Arial" w:cs="Arial"/>
                <w:b/>
                <w:bCs/>
                <w:sz w:val="18"/>
                <w:szCs w:val="18"/>
              </w:rPr>
            </w:pPr>
            <w:r>
              <w:rPr>
                <w:rFonts w:ascii="Arial" w:hAnsi="Arial" w:cs="Arial"/>
                <w:b/>
                <w:bCs/>
                <w:sz w:val="18"/>
                <w:szCs w:val="18"/>
              </w:rPr>
              <w:t>$'000</w:t>
            </w:r>
          </w:p>
        </w:tc>
        <w:tc>
          <w:tcPr>
            <w:tcW w:w="267" w:type="dxa"/>
            <w:tcBorders>
              <w:top w:val="nil"/>
              <w:left w:val="nil"/>
              <w:bottom w:val="nil"/>
              <w:right w:val="nil"/>
            </w:tcBorders>
            <w:shd w:val="clear" w:color="FFFFFF" w:fill="FFFFFF"/>
            <w:noWrap/>
            <w:vAlign w:val="bottom"/>
            <w:hideMark/>
          </w:tcPr>
          <w:p w14:paraId="1021BADC" w14:textId="77777777" w:rsidR="00A43992" w:rsidRDefault="00A43992" w:rsidP="007211E3">
            <w:pPr>
              <w:rPr>
                <w:rFonts w:ascii="Arial" w:hAnsi="Arial" w:cs="Arial"/>
                <w:sz w:val="18"/>
                <w:szCs w:val="18"/>
              </w:rPr>
            </w:pPr>
            <w:r>
              <w:rPr>
                <w:rFonts w:ascii="Arial" w:hAnsi="Arial" w:cs="Arial"/>
                <w:sz w:val="18"/>
                <w:szCs w:val="18"/>
              </w:rPr>
              <w:t> </w:t>
            </w:r>
          </w:p>
        </w:tc>
        <w:tc>
          <w:tcPr>
            <w:tcW w:w="1194" w:type="dxa"/>
            <w:tcBorders>
              <w:top w:val="nil"/>
              <w:left w:val="nil"/>
              <w:bottom w:val="nil"/>
              <w:right w:val="nil"/>
            </w:tcBorders>
            <w:shd w:val="clear" w:color="FFFFFF" w:fill="FFFFFF"/>
            <w:vAlign w:val="bottom"/>
            <w:hideMark/>
          </w:tcPr>
          <w:p w14:paraId="790A45DD" w14:textId="77777777" w:rsidR="00A43992" w:rsidRDefault="00A43992" w:rsidP="007211E3">
            <w:pPr>
              <w:jc w:val="right"/>
              <w:rPr>
                <w:rFonts w:ascii="Arial" w:hAnsi="Arial" w:cs="Arial"/>
                <w:sz w:val="18"/>
                <w:szCs w:val="18"/>
              </w:rPr>
            </w:pPr>
            <w:r>
              <w:rPr>
                <w:rFonts w:ascii="Arial" w:hAnsi="Arial" w:cs="Arial"/>
                <w:sz w:val="18"/>
                <w:szCs w:val="18"/>
              </w:rPr>
              <w:t>$'000</w:t>
            </w:r>
          </w:p>
        </w:tc>
      </w:tr>
      <w:tr w:rsidR="00A43992" w14:paraId="587D9007" w14:textId="77777777" w:rsidTr="007211E3">
        <w:trPr>
          <w:trHeight w:val="240"/>
        </w:trPr>
        <w:tc>
          <w:tcPr>
            <w:tcW w:w="6383" w:type="dxa"/>
            <w:tcBorders>
              <w:top w:val="nil"/>
              <w:left w:val="nil"/>
              <w:bottom w:val="nil"/>
              <w:right w:val="nil"/>
            </w:tcBorders>
            <w:shd w:val="clear" w:color="FFFFFF" w:fill="FFFFFF"/>
            <w:noWrap/>
            <w:vAlign w:val="bottom"/>
            <w:hideMark/>
          </w:tcPr>
          <w:p w14:paraId="6861CDAD" w14:textId="77777777" w:rsidR="00A43992" w:rsidRDefault="00A43992" w:rsidP="007211E3">
            <w:pPr>
              <w:rPr>
                <w:rFonts w:ascii="Arial" w:hAnsi="Arial" w:cs="Arial"/>
                <w:b/>
                <w:bCs/>
                <w:sz w:val="18"/>
                <w:szCs w:val="18"/>
                <w:u w:val="single"/>
              </w:rPr>
            </w:pPr>
            <w:r>
              <w:rPr>
                <w:rFonts w:ascii="Arial" w:hAnsi="Arial" w:cs="Arial"/>
                <w:b/>
                <w:bCs/>
                <w:sz w:val="18"/>
                <w:szCs w:val="18"/>
                <w:u w:val="single"/>
              </w:rPr>
              <w:t>Note 1.1A: Employee benefits</w:t>
            </w:r>
          </w:p>
        </w:tc>
        <w:tc>
          <w:tcPr>
            <w:tcW w:w="1253" w:type="dxa"/>
            <w:tcBorders>
              <w:top w:val="nil"/>
              <w:left w:val="nil"/>
              <w:bottom w:val="nil"/>
              <w:right w:val="nil"/>
            </w:tcBorders>
            <w:shd w:val="clear" w:color="FFFFFF" w:fill="FFFFFF"/>
            <w:vAlign w:val="bottom"/>
            <w:hideMark/>
          </w:tcPr>
          <w:p w14:paraId="0B1C6561" w14:textId="77777777" w:rsidR="00A43992" w:rsidRDefault="00A43992" w:rsidP="007211E3">
            <w:pPr>
              <w:jc w:val="right"/>
              <w:rPr>
                <w:rFonts w:ascii="Arial" w:hAnsi="Arial" w:cs="Arial"/>
                <w:b/>
                <w:bCs/>
                <w:sz w:val="18"/>
                <w:szCs w:val="18"/>
              </w:rPr>
            </w:pPr>
            <w:r>
              <w:rPr>
                <w:rFonts w:ascii="Arial" w:hAnsi="Arial" w:cs="Arial"/>
                <w:b/>
                <w:bCs/>
                <w:sz w:val="18"/>
                <w:szCs w:val="18"/>
              </w:rPr>
              <w:t> </w:t>
            </w:r>
          </w:p>
        </w:tc>
        <w:tc>
          <w:tcPr>
            <w:tcW w:w="267" w:type="dxa"/>
            <w:tcBorders>
              <w:top w:val="nil"/>
              <w:left w:val="nil"/>
              <w:bottom w:val="nil"/>
              <w:right w:val="nil"/>
            </w:tcBorders>
            <w:shd w:val="clear" w:color="FFFFFF" w:fill="FFFFFF"/>
            <w:noWrap/>
            <w:vAlign w:val="bottom"/>
            <w:hideMark/>
          </w:tcPr>
          <w:p w14:paraId="5B69F38F" w14:textId="77777777" w:rsidR="00A43992" w:rsidRDefault="00A43992" w:rsidP="007211E3">
            <w:pPr>
              <w:rPr>
                <w:rFonts w:ascii="Arial" w:hAnsi="Arial" w:cs="Arial"/>
                <w:sz w:val="18"/>
                <w:szCs w:val="18"/>
              </w:rPr>
            </w:pPr>
            <w:r>
              <w:rPr>
                <w:rFonts w:ascii="Arial" w:hAnsi="Arial" w:cs="Arial"/>
                <w:sz w:val="18"/>
                <w:szCs w:val="18"/>
              </w:rPr>
              <w:t> </w:t>
            </w:r>
          </w:p>
        </w:tc>
        <w:tc>
          <w:tcPr>
            <w:tcW w:w="1194" w:type="dxa"/>
            <w:tcBorders>
              <w:top w:val="nil"/>
              <w:left w:val="nil"/>
              <w:bottom w:val="nil"/>
              <w:right w:val="nil"/>
            </w:tcBorders>
            <w:shd w:val="clear" w:color="FFFFFF" w:fill="FFFFFF"/>
            <w:vAlign w:val="bottom"/>
            <w:hideMark/>
          </w:tcPr>
          <w:p w14:paraId="0AB18D12" w14:textId="77777777" w:rsidR="00A43992" w:rsidRDefault="00A43992" w:rsidP="007211E3">
            <w:pPr>
              <w:jc w:val="right"/>
              <w:rPr>
                <w:rFonts w:ascii="Arial" w:hAnsi="Arial" w:cs="Arial"/>
                <w:sz w:val="18"/>
                <w:szCs w:val="18"/>
              </w:rPr>
            </w:pPr>
            <w:r>
              <w:rPr>
                <w:rFonts w:ascii="Arial" w:hAnsi="Arial" w:cs="Arial"/>
                <w:sz w:val="18"/>
                <w:szCs w:val="18"/>
              </w:rPr>
              <w:t> </w:t>
            </w:r>
          </w:p>
        </w:tc>
      </w:tr>
      <w:tr w:rsidR="00A43992" w14:paraId="1342D66C" w14:textId="77777777" w:rsidTr="007211E3">
        <w:trPr>
          <w:trHeight w:val="240"/>
        </w:trPr>
        <w:tc>
          <w:tcPr>
            <w:tcW w:w="6383" w:type="dxa"/>
            <w:tcBorders>
              <w:top w:val="nil"/>
              <w:left w:val="nil"/>
              <w:bottom w:val="nil"/>
              <w:right w:val="nil"/>
            </w:tcBorders>
            <w:shd w:val="clear" w:color="FFFFFF" w:fill="FFFFFF"/>
            <w:vAlign w:val="bottom"/>
            <w:hideMark/>
          </w:tcPr>
          <w:p w14:paraId="640B47FD" w14:textId="77777777" w:rsidR="00A43992" w:rsidRDefault="00A43992" w:rsidP="007211E3">
            <w:pPr>
              <w:rPr>
                <w:rFonts w:ascii="Arial" w:hAnsi="Arial" w:cs="Arial"/>
                <w:sz w:val="18"/>
                <w:szCs w:val="18"/>
              </w:rPr>
            </w:pPr>
            <w:r>
              <w:rPr>
                <w:rFonts w:ascii="Arial" w:hAnsi="Arial" w:cs="Arial"/>
                <w:sz w:val="18"/>
                <w:szCs w:val="18"/>
              </w:rPr>
              <w:t>Wages and salaries</w:t>
            </w:r>
          </w:p>
        </w:tc>
        <w:tc>
          <w:tcPr>
            <w:tcW w:w="1253" w:type="dxa"/>
            <w:tcBorders>
              <w:top w:val="nil"/>
              <w:left w:val="nil"/>
              <w:bottom w:val="nil"/>
              <w:right w:val="nil"/>
            </w:tcBorders>
            <w:shd w:val="clear" w:color="FFFFFF" w:fill="FFFFFF"/>
            <w:noWrap/>
            <w:vAlign w:val="bottom"/>
            <w:hideMark/>
          </w:tcPr>
          <w:p w14:paraId="1FD5A0E2" w14:textId="77777777" w:rsidR="00A43992" w:rsidRDefault="00A43992" w:rsidP="007211E3">
            <w:pPr>
              <w:jc w:val="right"/>
              <w:rPr>
                <w:rFonts w:ascii="Arial" w:hAnsi="Arial" w:cs="Arial"/>
                <w:b/>
                <w:bCs/>
                <w:sz w:val="18"/>
                <w:szCs w:val="18"/>
              </w:rPr>
            </w:pPr>
            <w:r>
              <w:rPr>
                <w:rFonts w:ascii="Arial" w:hAnsi="Arial" w:cs="Arial"/>
                <w:b/>
                <w:bCs/>
                <w:sz w:val="18"/>
                <w:szCs w:val="18"/>
              </w:rPr>
              <w:t>88,342</w:t>
            </w:r>
          </w:p>
        </w:tc>
        <w:tc>
          <w:tcPr>
            <w:tcW w:w="267" w:type="dxa"/>
            <w:tcBorders>
              <w:top w:val="nil"/>
              <w:left w:val="nil"/>
              <w:bottom w:val="nil"/>
              <w:right w:val="nil"/>
            </w:tcBorders>
            <w:shd w:val="clear" w:color="FFFFFF" w:fill="FFFFFF"/>
            <w:noWrap/>
            <w:vAlign w:val="bottom"/>
            <w:hideMark/>
          </w:tcPr>
          <w:p w14:paraId="6189CE20" w14:textId="77777777" w:rsidR="00A43992" w:rsidRDefault="00A43992" w:rsidP="007211E3">
            <w:pPr>
              <w:rPr>
                <w:rFonts w:ascii="Arial" w:hAnsi="Arial" w:cs="Arial"/>
                <w:sz w:val="18"/>
                <w:szCs w:val="18"/>
              </w:rPr>
            </w:pPr>
            <w:r>
              <w:rPr>
                <w:rFonts w:ascii="Arial" w:hAnsi="Arial" w:cs="Arial"/>
                <w:sz w:val="18"/>
                <w:szCs w:val="18"/>
              </w:rPr>
              <w:t> </w:t>
            </w:r>
          </w:p>
        </w:tc>
        <w:tc>
          <w:tcPr>
            <w:tcW w:w="1194" w:type="dxa"/>
            <w:tcBorders>
              <w:top w:val="nil"/>
              <w:left w:val="nil"/>
              <w:bottom w:val="nil"/>
              <w:right w:val="nil"/>
            </w:tcBorders>
            <w:shd w:val="clear" w:color="FFFFFF" w:fill="FFFFFF"/>
            <w:noWrap/>
            <w:vAlign w:val="bottom"/>
            <w:hideMark/>
          </w:tcPr>
          <w:p w14:paraId="7EB57B29" w14:textId="77777777" w:rsidR="00A43992" w:rsidRDefault="00A43992" w:rsidP="007211E3">
            <w:pPr>
              <w:jc w:val="right"/>
              <w:rPr>
                <w:rFonts w:ascii="Arial" w:hAnsi="Arial" w:cs="Arial"/>
                <w:sz w:val="18"/>
                <w:szCs w:val="18"/>
              </w:rPr>
            </w:pPr>
            <w:r>
              <w:rPr>
                <w:rFonts w:ascii="Arial" w:hAnsi="Arial" w:cs="Arial"/>
                <w:sz w:val="18"/>
                <w:szCs w:val="18"/>
              </w:rPr>
              <w:t>56,070</w:t>
            </w:r>
          </w:p>
        </w:tc>
      </w:tr>
      <w:tr w:rsidR="00A43992" w14:paraId="199E74FD" w14:textId="77777777" w:rsidTr="007211E3">
        <w:trPr>
          <w:trHeight w:val="240"/>
        </w:trPr>
        <w:tc>
          <w:tcPr>
            <w:tcW w:w="6383" w:type="dxa"/>
            <w:tcBorders>
              <w:top w:val="nil"/>
              <w:left w:val="nil"/>
              <w:bottom w:val="nil"/>
              <w:right w:val="nil"/>
            </w:tcBorders>
            <w:shd w:val="clear" w:color="FFFFFF" w:fill="FFFFFF"/>
            <w:vAlign w:val="bottom"/>
            <w:hideMark/>
          </w:tcPr>
          <w:p w14:paraId="0628B0E6" w14:textId="77777777" w:rsidR="00A43992" w:rsidRDefault="00A43992" w:rsidP="007211E3">
            <w:pPr>
              <w:rPr>
                <w:rFonts w:ascii="Arial" w:hAnsi="Arial" w:cs="Arial"/>
                <w:sz w:val="18"/>
                <w:szCs w:val="18"/>
              </w:rPr>
            </w:pPr>
            <w:r>
              <w:rPr>
                <w:rFonts w:ascii="Arial" w:hAnsi="Arial" w:cs="Arial"/>
                <w:sz w:val="18"/>
                <w:szCs w:val="18"/>
              </w:rPr>
              <w:t>Superannuation</w:t>
            </w:r>
          </w:p>
        </w:tc>
        <w:tc>
          <w:tcPr>
            <w:tcW w:w="1253" w:type="dxa"/>
            <w:tcBorders>
              <w:top w:val="nil"/>
              <w:left w:val="nil"/>
              <w:bottom w:val="nil"/>
              <w:right w:val="nil"/>
            </w:tcBorders>
            <w:shd w:val="clear" w:color="FFFFFF" w:fill="FFFFFF"/>
            <w:noWrap/>
            <w:vAlign w:val="bottom"/>
            <w:hideMark/>
          </w:tcPr>
          <w:p w14:paraId="62171BDA" w14:textId="77777777" w:rsidR="00A43992" w:rsidRDefault="00A43992" w:rsidP="007211E3">
            <w:pPr>
              <w:rPr>
                <w:rFonts w:ascii="Arial" w:hAnsi="Arial" w:cs="Arial"/>
                <w:sz w:val="18"/>
                <w:szCs w:val="18"/>
              </w:rPr>
            </w:pPr>
            <w:r>
              <w:rPr>
                <w:rFonts w:ascii="Arial" w:hAnsi="Arial" w:cs="Arial"/>
                <w:sz w:val="18"/>
                <w:szCs w:val="18"/>
              </w:rPr>
              <w:t> </w:t>
            </w:r>
          </w:p>
        </w:tc>
        <w:tc>
          <w:tcPr>
            <w:tcW w:w="267" w:type="dxa"/>
            <w:tcBorders>
              <w:top w:val="nil"/>
              <w:left w:val="nil"/>
              <w:bottom w:val="nil"/>
              <w:right w:val="nil"/>
            </w:tcBorders>
            <w:shd w:val="clear" w:color="FFFFFF" w:fill="FFFFFF"/>
            <w:noWrap/>
            <w:vAlign w:val="bottom"/>
            <w:hideMark/>
          </w:tcPr>
          <w:p w14:paraId="2B947228" w14:textId="77777777" w:rsidR="00A43992" w:rsidRDefault="00A43992" w:rsidP="007211E3">
            <w:pPr>
              <w:rPr>
                <w:rFonts w:ascii="Arial" w:hAnsi="Arial" w:cs="Arial"/>
                <w:sz w:val="18"/>
                <w:szCs w:val="18"/>
              </w:rPr>
            </w:pPr>
            <w:r>
              <w:rPr>
                <w:rFonts w:ascii="Arial" w:hAnsi="Arial" w:cs="Arial"/>
                <w:sz w:val="18"/>
                <w:szCs w:val="18"/>
              </w:rPr>
              <w:t> </w:t>
            </w:r>
          </w:p>
        </w:tc>
        <w:tc>
          <w:tcPr>
            <w:tcW w:w="1194" w:type="dxa"/>
            <w:tcBorders>
              <w:top w:val="nil"/>
              <w:left w:val="nil"/>
              <w:bottom w:val="nil"/>
              <w:right w:val="nil"/>
            </w:tcBorders>
            <w:shd w:val="clear" w:color="FFFFFF" w:fill="FFFFFF"/>
            <w:noWrap/>
            <w:vAlign w:val="bottom"/>
            <w:hideMark/>
          </w:tcPr>
          <w:p w14:paraId="78EC3AF3" w14:textId="77777777" w:rsidR="00A43992" w:rsidRDefault="00A43992" w:rsidP="007211E3">
            <w:pPr>
              <w:jc w:val="right"/>
              <w:rPr>
                <w:rFonts w:ascii="Arial" w:hAnsi="Arial" w:cs="Arial"/>
                <w:sz w:val="18"/>
                <w:szCs w:val="18"/>
              </w:rPr>
            </w:pPr>
            <w:r>
              <w:rPr>
                <w:rFonts w:ascii="Arial" w:hAnsi="Arial" w:cs="Arial"/>
                <w:sz w:val="18"/>
                <w:szCs w:val="18"/>
              </w:rPr>
              <w:t> </w:t>
            </w:r>
          </w:p>
        </w:tc>
      </w:tr>
      <w:tr w:rsidR="00A43992" w14:paraId="6A550F61" w14:textId="77777777" w:rsidTr="007211E3">
        <w:trPr>
          <w:trHeight w:val="240"/>
        </w:trPr>
        <w:tc>
          <w:tcPr>
            <w:tcW w:w="6383" w:type="dxa"/>
            <w:tcBorders>
              <w:top w:val="nil"/>
              <w:left w:val="nil"/>
              <w:bottom w:val="nil"/>
              <w:right w:val="nil"/>
            </w:tcBorders>
            <w:shd w:val="clear" w:color="FFFFFF" w:fill="FFFFFF"/>
            <w:noWrap/>
            <w:vAlign w:val="bottom"/>
            <w:hideMark/>
          </w:tcPr>
          <w:p w14:paraId="6EFAD95C" w14:textId="77777777" w:rsidR="00A43992" w:rsidRDefault="00A43992" w:rsidP="007211E3">
            <w:pPr>
              <w:ind w:firstLineChars="100" w:firstLine="180"/>
              <w:rPr>
                <w:rFonts w:ascii="Arial" w:hAnsi="Arial" w:cs="Arial"/>
                <w:sz w:val="18"/>
                <w:szCs w:val="18"/>
              </w:rPr>
            </w:pPr>
            <w:r>
              <w:rPr>
                <w:rFonts w:ascii="Arial" w:hAnsi="Arial" w:cs="Arial"/>
                <w:sz w:val="18"/>
                <w:szCs w:val="18"/>
              </w:rPr>
              <w:t>Defined contribution plans</w:t>
            </w:r>
          </w:p>
        </w:tc>
        <w:tc>
          <w:tcPr>
            <w:tcW w:w="1253" w:type="dxa"/>
            <w:tcBorders>
              <w:top w:val="nil"/>
              <w:left w:val="nil"/>
              <w:bottom w:val="nil"/>
              <w:right w:val="nil"/>
            </w:tcBorders>
            <w:shd w:val="clear" w:color="FFFFFF" w:fill="FFFFFF"/>
            <w:noWrap/>
            <w:vAlign w:val="bottom"/>
            <w:hideMark/>
          </w:tcPr>
          <w:p w14:paraId="28719B41" w14:textId="77777777" w:rsidR="00A43992" w:rsidRDefault="00A43992" w:rsidP="007211E3">
            <w:pPr>
              <w:jc w:val="right"/>
              <w:rPr>
                <w:rFonts w:ascii="Arial" w:hAnsi="Arial" w:cs="Arial"/>
                <w:b/>
                <w:bCs/>
                <w:sz w:val="18"/>
                <w:szCs w:val="18"/>
              </w:rPr>
            </w:pPr>
            <w:r>
              <w:rPr>
                <w:rFonts w:ascii="Arial" w:hAnsi="Arial" w:cs="Arial"/>
                <w:b/>
                <w:bCs/>
                <w:sz w:val="18"/>
                <w:szCs w:val="18"/>
              </w:rPr>
              <w:t>10,965</w:t>
            </w:r>
          </w:p>
        </w:tc>
        <w:tc>
          <w:tcPr>
            <w:tcW w:w="267" w:type="dxa"/>
            <w:tcBorders>
              <w:top w:val="nil"/>
              <w:left w:val="nil"/>
              <w:bottom w:val="nil"/>
              <w:right w:val="nil"/>
            </w:tcBorders>
            <w:shd w:val="clear" w:color="FFFFFF" w:fill="FFFFFF"/>
            <w:noWrap/>
            <w:vAlign w:val="bottom"/>
            <w:hideMark/>
          </w:tcPr>
          <w:p w14:paraId="295DD7C5" w14:textId="77777777" w:rsidR="00A43992" w:rsidRDefault="00A43992" w:rsidP="007211E3">
            <w:pPr>
              <w:rPr>
                <w:rFonts w:ascii="Arial" w:hAnsi="Arial" w:cs="Arial"/>
                <w:sz w:val="18"/>
                <w:szCs w:val="18"/>
              </w:rPr>
            </w:pPr>
            <w:r>
              <w:rPr>
                <w:rFonts w:ascii="Arial" w:hAnsi="Arial" w:cs="Arial"/>
                <w:sz w:val="18"/>
                <w:szCs w:val="18"/>
              </w:rPr>
              <w:t> </w:t>
            </w:r>
          </w:p>
        </w:tc>
        <w:tc>
          <w:tcPr>
            <w:tcW w:w="1194" w:type="dxa"/>
            <w:tcBorders>
              <w:top w:val="nil"/>
              <w:left w:val="nil"/>
              <w:bottom w:val="nil"/>
              <w:right w:val="nil"/>
            </w:tcBorders>
            <w:shd w:val="clear" w:color="FFFFFF" w:fill="FFFFFF"/>
            <w:noWrap/>
            <w:vAlign w:val="bottom"/>
            <w:hideMark/>
          </w:tcPr>
          <w:p w14:paraId="102B5B2A" w14:textId="77777777" w:rsidR="00A43992" w:rsidRDefault="00A43992" w:rsidP="007211E3">
            <w:pPr>
              <w:jc w:val="right"/>
              <w:rPr>
                <w:rFonts w:ascii="Arial" w:hAnsi="Arial" w:cs="Arial"/>
                <w:sz w:val="18"/>
                <w:szCs w:val="18"/>
              </w:rPr>
            </w:pPr>
            <w:r>
              <w:rPr>
                <w:rFonts w:ascii="Arial" w:hAnsi="Arial" w:cs="Arial"/>
                <w:sz w:val="18"/>
                <w:szCs w:val="18"/>
              </w:rPr>
              <w:t>7,226</w:t>
            </w:r>
          </w:p>
        </w:tc>
      </w:tr>
      <w:tr w:rsidR="00A43992" w14:paraId="0EC19300" w14:textId="77777777" w:rsidTr="007211E3">
        <w:trPr>
          <w:trHeight w:val="240"/>
        </w:trPr>
        <w:tc>
          <w:tcPr>
            <w:tcW w:w="6383" w:type="dxa"/>
            <w:tcBorders>
              <w:top w:val="nil"/>
              <w:left w:val="nil"/>
              <w:bottom w:val="nil"/>
              <w:right w:val="nil"/>
            </w:tcBorders>
            <w:shd w:val="clear" w:color="FFFFFF" w:fill="FFFFFF"/>
            <w:noWrap/>
            <w:vAlign w:val="bottom"/>
            <w:hideMark/>
          </w:tcPr>
          <w:p w14:paraId="5C3BF41F" w14:textId="77777777" w:rsidR="00A43992" w:rsidRDefault="00A43992" w:rsidP="007211E3">
            <w:pPr>
              <w:ind w:firstLineChars="100" w:firstLine="180"/>
              <w:rPr>
                <w:rFonts w:ascii="Arial" w:hAnsi="Arial" w:cs="Arial"/>
                <w:sz w:val="18"/>
                <w:szCs w:val="18"/>
              </w:rPr>
            </w:pPr>
            <w:r>
              <w:rPr>
                <w:rFonts w:ascii="Arial" w:hAnsi="Arial" w:cs="Arial"/>
                <w:sz w:val="18"/>
                <w:szCs w:val="18"/>
              </w:rPr>
              <w:t>Defined benefit plans</w:t>
            </w:r>
          </w:p>
        </w:tc>
        <w:tc>
          <w:tcPr>
            <w:tcW w:w="1253" w:type="dxa"/>
            <w:tcBorders>
              <w:top w:val="nil"/>
              <w:left w:val="nil"/>
              <w:bottom w:val="nil"/>
              <w:right w:val="nil"/>
            </w:tcBorders>
            <w:shd w:val="clear" w:color="FFFFFF" w:fill="FFFFFF"/>
            <w:noWrap/>
            <w:vAlign w:val="bottom"/>
            <w:hideMark/>
          </w:tcPr>
          <w:p w14:paraId="03113B15" w14:textId="77777777" w:rsidR="00A43992" w:rsidRDefault="00A43992" w:rsidP="007211E3">
            <w:pPr>
              <w:jc w:val="right"/>
              <w:rPr>
                <w:rFonts w:ascii="Arial" w:hAnsi="Arial" w:cs="Arial"/>
                <w:b/>
                <w:bCs/>
                <w:sz w:val="18"/>
                <w:szCs w:val="18"/>
              </w:rPr>
            </w:pPr>
            <w:r>
              <w:rPr>
                <w:rFonts w:ascii="Arial" w:hAnsi="Arial" w:cs="Arial"/>
                <w:b/>
                <w:bCs/>
                <w:sz w:val="18"/>
                <w:szCs w:val="18"/>
              </w:rPr>
              <w:t>4,059</w:t>
            </w:r>
          </w:p>
        </w:tc>
        <w:tc>
          <w:tcPr>
            <w:tcW w:w="267" w:type="dxa"/>
            <w:tcBorders>
              <w:top w:val="nil"/>
              <w:left w:val="nil"/>
              <w:bottom w:val="nil"/>
              <w:right w:val="nil"/>
            </w:tcBorders>
            <w:shd w:val="clear" w:color="FFFFFF" w:fill="FFFFFF"/>
            <w:noWrap/>
            <w:vAlign w:val="bottom"/>
            <w:hideMark/>
          </w:tcPr>
          <w:p w14:paraId="471444BC" w14:textId="77777777" w:rsidR="00A43992" w:rsidRDefault="00A43992" w:rsidP="007211E3">
            <w:pPr>
              <w:rPr>
                <w:rFonts w:ascii="Arial" w:hAnsi="Arial" w:cs="Arial"/>
                <w:sz w:val="18"/>
                <w:szCs w:val="18"/>
              </w:rPr>
            </w:pPr>
            <w:r>
              <w:rPr>
                <w:rFonts w:ascii="Arial" w:hAnsi="Arial" w:cs="Arial"/>
                <w:sz w:val="18"/>
                <w:szCs w:val="18"/>
              </w:rPr>
              <w:t> </w:t>
            </w:r>
          </w:p>
        </w:tc>
        <w:tc>
          <w:tcPr>
            <w:tcW w:w="1194" w:type="dxa"/>
            <w:tcBorders>
              <w:top w:val="nil"/>
              <w:left w:val="nil"/>
              <w:bottom w:val="nil"/>
              <w:right w:val="nil"/>
            </w:tcBorders>
            <w:shd w:val="clear" w:color="FFFFFF" w:fill="FFFFFF"/>
            <w:noWrap/>
            <w:vAlign w:val="bottom"/>
            <w:hideMark/>
          </w:tcPr>
          <w:p w14:paraId="6F9DAB4D" w14:textId="77777777" w:rsidR="00A43992" w:rsidRDefault="00A43992" w:rsidP="007211E3">
            <w:pPr>
              <w:jc w:val="right"/>
              <w:rPr>
                <w:rFonts w:ascii="Arial" w:hAnsi="Arial" w:cs="Arial"/>
                <w:sz w:val="18"/>
                <w:szCs w:val="18"/>
              </w:rPr>
            </w:pPr>
            <w:r>
              <w:rPr>
                <w:rFonts w:ascii="Arial" w:hAnsi="Arial" w:cs="Arial"/>
                <w:sz w:val="18"/>
                <w:szCs w:val="18"/>
              </w:rPr>
              <w:t>2,344</w:t>
            </w:r>
          </w:p>
        </w:tc>
      </w:tr>
      <w:tr w:rsidR="00A43992" w14:paraId="78DEFA98" w14:textId="77777777" w:rsidTr="007211E3">
        <w:trPr>
          <w:trHeight w:val="240"/>
        </w:trPr>
        <w:tc>
          <w:tcPr>
            <w:tcW w:w="6383" w:type="dxa"/>
            <w:tcBorders>
              <w:top w:val="nil"/>
              <w:left w:val="nil"/>
              <w:bottom w:val="nil"/>
              <w:right w:val="nil"/>
            </w:tcBorders>
            <w:shd w:val="clear" w:color="FFFFFF" w:fill="FFFFFF"/>
            <w:vAlign w:val="bottom"/>
            <w:hideMark/>
          </w:tcPr>
          <w:p w14:paraId="33311B60" w14:textId="77777777" w:rsidR="00A43992" w:rsidRDefault="00A43992" w:rsidP="007211E3">
            <w:pPr>
              <w:rPr>
                <w:rFonts w:ascii="Arial" w:hAnsi="Arial" w:cs="Arial"/>
                <w:sz w:val="18"/>
                <w:szCs w:val="18"/>
              </w:rPr>
            </w:pPr>
            <w:r>
              <w:rPr>
                <w:rFonts w:ascii="Arial" w:hAnsi="Arial" w:cs="Arial"/>
                <w:sz w:val="18"/>
                <w:szCs w:val="18"/>
              </w:rPr>
              <w:t>Leave and other entitlements</w:t>
            </w:r>
          </w:p>
        </w:tc>
        <w:tc>
          <w:tcPr>
            <w:tcW w:w="1253" w:type="dxa"/>
            <w:tcBorders>
              <w:top w:val="nil"/>
              <w:left w:val="nil"/>
              <w:bottom w:val="nil"/>
              <w:right w:val="nil"/>
            </w:tcBorders>
            <w:shd w:val="clear" w:color="FFFFFF" w:fill="FFFFFF"/>
            <w:noWrap/>
            <w:vAlign w:val="bottom"/>
            <w:hideMark/>
          </w:tcPr>
          <w:p w14:paraId="7DF40A70" w14:textId="77777777" w:rsidR="00A43992" w:rsidRDefault="00A43992" w:rsidP="007211E3">
            <w:pPr>
              <w:jc w:val="right"/>
              <w:rPr>
                <w:rFonts w:ascii="Arial" w:hAnsi="Arial" w:cs="Arial"/>
                <w:b/>
                <w:bCs/>
                <w:sz w:val="18"/>
                <w:szCs w:val="18"/>
              </w:rPr>
            </w:pPr>
            <w:r>
              <w:rPr>
                <w:rFonts w:ascii="Arial" w:hAnsi="Arial" w:cs="Arial"/>
                <w:b/>
                <w:bCs/>
                <w:sz w:val="18"/>
                <w:szCs w:val="18"/>
              </w:rPr>
              <w:t>11,909</w:t>
            </w:r>
          </w:p>
        </w:tc>
        <w:tc>
          <w:tcPr>
            <w:tcW w:w="267" w:type="dxa"/>
            <w:tcBorders>
              <w:top w:val="nil"/>
              <w:left w:val="nil"/>
              <w:bottom w:val="nil"/>
              <w:right w:val="nil"/>
            </w:tcBorders>
            <w:shd w:val="clear" w:color="FFFFFF" w:fill="FFFFFF"/>
            <w:noWrap/>
            <w:vAlign w:val="bottom"/>
            <w:hideMark/>
          </w:tcPr>
          <w:p w14:paraId="16415F5B" w14:textId="77777777" w:rsidR="00A43992" w:rsidRDefault="00A43992" w:rsidP="007211E3">
            <w:pPr>
              <w:rPr>
                <w:rFonts w:ascii="Arial" w:hAnsi="Arial" w:cs="Arial"/>
                <w:sz w:val="18"/>
                <w:szCs w:val="18"/>
              </w:rPr>
            </w:pPr>
            <w:r>
              <w:rPr>
                <w:rFonts w:ascii="Arial" w:hAnsi="Arial" w:cs="Arial"/>
                <w:sz w:val="18"/>
                <w:szCs w:val="18"/>
              </w:rPr>
              <w:t> </w:t>
            </w:r>
          </w:p>
        </w:tc>
        <w:tc>
          <w:tcPr>
            <w:tcW w:w="1194" w:type="dxa"/>
            <w:tcBorders>
              <w:top w:val="nil"/>
              <w:left w:val="nil"/>
              <w:bottom w:val="nil"/>
              <w:right w:val="nil"/>
            </w:tcBorders>
            <w:shd w:val="clear" w:color="FFFFFF" w:fill="FFFFFF"/>
            <w:noWrap/>
            <w:vAlign w:val="bottom"/>
            <w:hideMark/>
          </w:tcPr>
          <w:p w14:paraId="64F3D27D" w14:textId="77777777" w:rsidR="00A43992" w:rsidRDefault="00A43992" w:rsidP="007211E3">
            <w:pPr>
              <w:jc w:val="right"/>
              <w:rPr>
                <w:rFonts w:ascii="Arial" w:hAnsi="Arial" w:cs="Arial"/>
                <w:sz w:val="18"/>
                <w:szCs w:val="18"/>
              </w:rPr>
            </w:pPr>
            <w:r>
              <w:rPr>
                <w:rFonts w:ascii="Arial" w:hAnsi="Arial" w:cs="Arial"/>
                <w:sz w:val="18"/>
                <w:szCs w:val="18"/>
              </w:rPr>
              <w:t>7,337</w:t>
            </w:r>
          </w:p>
        </w:tc>
      </w:tr>
      <w:tr w:rsidR="00A43992" w14:paraId="2A3D584F" w14:textId="77777777" w:rsidTr="007211E3">
        <w:trPr>
          <w:trHeight w:val="240"/>
        </w:trPr>
        <w:tc>
          <w:tcPr>
            <w:tcW w:w="6383" w:type="dxa"/>
            <w:tcBorders>
              <w:top w:val="nil"/>
              <w:left w:val="nil"/>
              <w:bottom w:val="nil"/>
              <w:right w:val="nil"/>
            </w:tcBorders>
            <w:shd w:val="clear" w:color="FFFFFF" w:fill="FFFFFF"/>
            <w:vAlign w:val="bottom"/>
            <w:hideMark/>
          </w:tcPr>
          <w:p w14:paraId="1D409CB8" w14:textId="77777777" w:rsidR="00A43992" w:rsidRDefault="00A43992" w:rsidP="007211E3">
            <w:pPr>
              <w:rPr>
                <w:rFonts w:ascii="Arial" w:hAnsi="Arial" w:cs="Arial"/>
                <w:sz w:val="18"/>
                <w:szCs w:val="18"/>
              </w:rPr>
            </w:pPr>
            <w:r>
              <w:rPr>
                <w:rFonts w:ascii="Arial" w:hAnsi="Arial" w:cs="Arial"/>
                <w:sz w:val="18"/>
                <w:szCs w:val="18"/>
              </w:rPr>
              <w:t>Separation and redundancies</w:t>
            </w:r>
          </w:p>
        </w:tc>
        <w:tc>
          <w:tcPr>
            <w:tcW w:w="1253" w:type="dxa"/>
            <w:tcBorders>
              <w:top w:val="nil"/>
              <w:left w:val="nil"/>
              <w:bottom w:val="nil"/>
              <w:right w:val="nil"/>
            </w:tcBorders>
            <w:shd w:val="clear" w:color="FFFFFF" w:fill="FFFFFF"/>
            <w:noWrap/>
            <w:vAlign w:val="bottom"/>
            <w:hideMark/>
          </w:tcPr>
          <w:p w14:paraId="52C9104A" w14:textId="77777777" w:rsidR="00A43992" w:rsidRDefault="00A43992" w:rsidP="007211E3">
            <w:pPr>
              <w:jc w:val="right"/>
              <w:rPr>
                <w:rFonts w:ascii="Arial" w:hAnsi="Arial" w:cs="Arial"/>
                <w:b/>
                <w:bCs/>
                <w:sz w:val="18"/>
                <w:szCs w:val="18"/>
              </w:rPr>
            </w:pPr>
            <w:r>
              <w:rPr>
                <w:rFonts w:ascii="Arial" w:hAnsi="Arial" w:cs="Arial"/>
                <w:b/>
                <w:bCs/>
                <w:sz w:val="18"/>
                <w:szCs w:val="18"/>
              </w:rPr>
              <w:t>189</w:t>
            </w:r>
          </w:p>
        </w:tc>
        <w:tc>
          <w:tcPr>
            <w:tcW w:w="267" w:type="dxa"/>
            <w:tcBorders>
              <w:top w:val="nil"/>
              <w:left w:val="nil"/>
              <w:bottom w:val="nil"/>
              <w:right w:val="nil"/>
            </w:tcBorders>
            <w:shd w:val="clear" w:color="FFFFFF" w:fill="FFFFFF"/>
            <w:noWrap/>
            <w:vAlign w:val="bottom"/>
            <w:hideMark/>
          </w:tcPr>
          <w:p w14:paraId="0682D1BC" w14:textId="77777777" w:rsidR="00A43992" w:rsidRDefault="00A43992" w:rsidP="007211E3">
            <w:pPr>
              <w:rPr>
                <w:rFonts w:ascii="Arial" w:hAnsi="Arial" w:cs="Arial"/>
                <w:sz w:val="18"/>
                <w:szCs w:val="18"/>
              </w:rPr>
            </w:pPr>
            <w:r>
              <w:rPr>
                <w:rFonts w:ascii="Arial" w:hAnsi="Arial" w:cs="Arial"/>
                <w:sz w:val="18"/>
                <w:szCs w:val="18"/>
              </w:rPr>
              <w:t> </w:t>
            </w:r>
          </w:p>
        </w:tc>
        <w:tc>
          <w:tcPr>
            <w:tcW w:w="1194" w:type="dxa"/>
            <w:tcBorders>
              <w:top w:val="nil"/>
              <w:left w:val="nil"/>
              <w:bottom w:val="nil"/>
              <w:right w:val="nil"/>
            </w:tcBorders>
            <w:shd w:val="clear" w:color="FFFFFF" w:fill="FFFFFF"/>
            <w:noWrap/>
            <w:vAlign w:val="bottom"/>
            <w:hideMark/>
          </w:tcPr>
          <w:p w14:paraId="63B4CD85" w14:textId="77777777" w:rsidR="00A43992" w:rsidRDefault="00A43992" w:rsidP="007211E3">
            <w:pPr>
              <w:jc w:val="right"/>
              <w:rPr>
                <w:rFonts w:ascii="Arial" w:hAnsi="Arial" w:cs="Arial"/>
                <w:sz w:val="18"/>
                <w:szCs w:val="18"/>
              </w:rPr>
            </w:pPr>
            <w:r>
              <w:rPr>
                <w:rFonts w:ascii="Arial" w:hAnsi="Arial" w:cs="Arial"/>
                <w:sz w:val="18"/>
                <w:szCs w:val="18"/>
              </w:rPr>
              <w:t>391</w:t>
            </w:r>
          </w:p>
        </w:tc>
      </w:tr>
      <w:tr w:rsidR="00A43992" w14:paraId="48896920" w14:textId="77777777" w:rsidTr="007211E3">
        <w:trPr>
          <w:trHeight w:val="240"/>
        </w:trPr>
        <w:tc>
          <w:tcPr>
            <w:tcW w:w="6383" w:type="dxa"/>
            <w:tcBorders>
              <w:top w:val="nil"/>
              <w:left w:val="nil"/>
              <w:bottom w:val="nil"/>
              <w:right w:val="nil"/>
            </w:tcBorders>
            <w:shd w:val="clear" w:color="FFFFFF" w:fill="FFFFFF"/>
            <w:vAlign w:val="bottom"/>
            <w:hideMark/>
          </w:tcPr>
          <w:p w14:paraId="0E71A53F" w14:textId="77777777" w:rsidR="00A43992" w:rsidRDefault="00A43992" w:rsidP="007211E3">
            <w:pPr>
              <w:rPr>
                <w:rFonts w:ascii="Arial" w:hAnsi="Arial" w:cs="Arial"/>
                <w:b/>
                <w:bCs/>
                <w:sz w:val="18"/>
                <w:szCs w:val="18"/>
              </w:rPr>
            </w:pPr>
            <w:r>
              <w:rPr>
                <w:rFonts w:ascii="Arial" w:hAnsi="Arial" w:cs="Arial"/>
                <w:b/>
                <w:bCs/>
                <w:sz w:val="18"/>
                <w:szCs w:val="18"/>
              </w:rPr>
              <w:t>Total employee benefits</w:t>
            </w:r>
          </w:p>
        </w:tc>
        <w:tc>
          <w:tcPr>
            <w:tcW w:w="1253" w:type="dxa"/>
            <w:tcBorders>
              <w:top w:val="single" w:sz="4" w:space="0" w:color="auto"/>
              <w:left w:val="nil"/>
              <w:bottom w:val="single" w:sz="4" w:space="0" w:color="auto"/>
              <w:right w:val="nil"/>
            </w:tcBorders>
            <w:shd w:val="clear" w:color="FFFFFF" w:fill="FFFFFF"/>
            <w:noWrap/>
            <w:vAlign w:val="bottom"/>
            <w:hideMark/>
          </w:tcPr>
          <w:p w14:paraId="38DD0D7F" w14:textId="77777777" w:rsidR="00A43992" w:rsidRDefault="00A43992" w:rsidP="007211E3">
            <w:pPr>
              <w:jc w:val="right"/>
              <w:rPr>
                <w:rFonts w:ascii="Arial" w:hAnsi="Arial" w:cs="Arial"/>
                <w:b/>
                <w:bCs/>
                <w:sz w:val="18"/>
                <w:szCs w:val="18"/>
              </w:rPr>
            </w:pPr>
            <w:r>
              <w:rPr>
                <w:rFonts w:ascii="Arial" w:hAnsi="Arial" w:cs="Arial"/>
                <w:b/>
                <w:bCs/>
                <w:sz w:val="18"/>
                <w:szCs w:val="18"/>
              </w:rPr>
              <w:t>115,464</w:t>
            </w:r>
          </w:p>
        </w:tc>
        <w:tc>
          <w:tcPr>
            <w:tcW w:w="267" w:type="dxa"/>
            <w:tcBorders>
              <w:top w:val="nil"/>
              <w:left w:val="nil"/>
              <w:bottom w:val="nil"/>
              <w:right w:val="nil"/>
            </w:tcBorders>
            <w:shd w:val="clear" w:color="FFFFFF" w:fill="FFFFFF"/>
            <w:noWrap/>
            <w:vAlign w:val="bottom"/>
            <w:hideMark/>
          </w:tcPr>
          <w:p w14:paraId="135B900A" w14:textId="77777777" w:rsidR="00A43992" w:rsidRDefault="00A43992" w:rsidP="007211E3">
            <w:pPr>
              <w:rPr>
                <w:rFonts w:ascii="Arial" w:hAnsi="Arial" w:cs="Arial"/>
                <w:sz w:val="18"/>
                <w:szCs w:val="18"/>
              </w:rPr>
            </w:pPr>
            <w:r>
              <w:rPr>
                <w:rFonts w:ascii="Arial" w:hAnsi="Arial" w:cs="Arial"/>
                <w:sz w:val="18"/>
                <w:szCs w:val="18"/>
              </w:rPr>
              <w:t> </w:t>
            </w:r>
          </w:p>
        </w:tc>
        <w:tc>
          <w:tcPr>
            <w:tcW w:w="1194" w:type="dxa"/>
            <w:tcBorders>
              <w:top w:val="single" w:sz="4" w:space="0" w:color="auto"/>
              <w:left w:val="nil"/>
              <w:bottom w:val="single" w:sz="4" w:space="0" w:color="auto"/>
              <w:right w:val="nil"/>
            </w:tcBorders>
            <w:shd w:val="clear" w:color="FFFFFF" w:fill="FFFFFF"/>
            <w:noWrap/>
            <w:vAlign w:val="bottom"/>
            <w:hideMark/>
          </w:tcPr>
          <w:p w14:paraId="3AB18D60" w14:textId="77777777" w:rsidR="00A43992" w:rsidRDefault="00A43992" w:rsidP="007211E3">
            <w:pPr>
              <w:jc w:val="right"/>
              <w:rPr>
                <w:rFonts w:ascii="Arial" w:hAnsi="Arial" w:cs="Arial"/>
                <w:sz w:val="18"/>
                <w:szCs w:val="18"/>
              </w:rPr>
            </w:pPr>
            <w:r>
              <w:rPr>
                <w:rFonts w:ascii="Arial" w:hAnsi="Arial" w:cs="Arial"/>
                <w:sz w:val="18"/>
                <w:szCs w:val="18"/>
              </w:rPr>
              <w:t>73,368</w:t>
            </w:r>
          </w:p>
        </w:tc>
      </w:tr>
    </w:tbl>
    <w:p w14:paraId="5A92D4E1" w14:textId="77777777" w:rsidR="00A43992" w:rsidRDefault="00A43992" w:rsidP="00A43992">
      <w:pPr>
        <w:pStyle w:val="ReferenceText"/>
      </w:pPr>
      <w:bookmarkStart w:id="172" w:name="RANGE!D6:D16"/>
      <w:bookmarkStart w:id="173" w:name="RANGE!D6:G16"/>
      <w:bookmarkEnd w:id="172"/>
      <w:bookmarkEnd w:id="173"/>
    </w:p>
    <w:p w14:paraId="4DFD96ED" w14:textId="413ED00C" w:rsidR="00A43992" w:rsidRPr="00EE5DE1" w:rsidRDefault="00A43992" w:rsidP="00A43992">
      <w:pPr>
        <w:pStyle w:val="PolicyheadingDept"/>
        <w:outlineLvl w:val="0"/>
      </w:pPr>
      <w:r w:rsidRPr="00EE5DE1">
        <w:t>Accounting Policy</w:t>
      </w:r>
    </w:p>
    <w:p w14:paraId="1493DE1D" w14:textId="77777777" w:rsidR="00A43992" w:rsidRDefault="00A43992" w:rsidP="00A43992">
      <w:pPr>
        <w:pStyle w:val="PolicytextDept"/>
      </w:pPr>
      <w:r w:rsidRPr="00EE5DE1">
        <w:t>Accounting policies for employee</w:t>
      </w:r>
      <w:r w:rsidRPr="002A7896">
        <w:t xml:space="preserve"> related expenses is contained in </w:t>
      </w:r>
      <w:r>
        <w:t>Section 4 – Governance, Employees and Relationships</w:t>
      </w:r>
      <w:r w:rsidRPr="002A7896">
        <w:t xml:space="preserve">. </w:t>
      </w:r>
    </w:p>
    <w:tbl>
      <w:tblPr>
        <w:tblW w:w="9087" w:type="dxa"/>
        <w:tblInd w:w="80" w:type="dxa"/>
        <w:tblLayout w:type="fixed"/>
        <w:tblLook w:val="04A0" w:firstRow="1" w:lastRow="0" w:firstColumn="1" w:lastColumn="0" w:noHBand="0" w:noVBand="1"/>
      </w:tblPr>
      <w:tblGrid>
        <w:gridCol w:w="6353"/>
        <w:gridCol w:w="1249"/>
        <w:gridCol w:w="236"/>
        <w:gridCol w:w="1249"/>
      </w:tblGrid>
      <w:tr w:rsidR="00A43992" w14:paraId="207B465A" w14:textId="77777777" w:rsidTr="007211E3">
        <w:trPr>
          <w:trHeight w:val="255"/>
        </w:trPr>
        <w:tc>
          <w:tcPr>
            <w:tcW w:w="6353" w:type="dxa"/>
            <w:tcBorders>
              <w:top w:val="nil"/>
              <w:left w:val="nil"/>
              <w:bottom w:val="nil"/>
              <w:right w:val="nil"/>
            </w:tcBorders>
            <w:shd w:val="clear" w:color="FFFFFF" w:fill="FFFFFF"/>
            <w:noWrap/>
            <w:vAlign w:val="bottom"/>
            <w:hideMark/>
          </w:tcPr>
          <w:p w14:paraId="07BCB41D" w14:textId="77777777" w:rsidR="00A43992" w:rsidRDefault="00A43992" w:rsidP="007211E3">
            <w:pPr>
              <w:rPr>
                <w:rFonts w:ascii="Arial" w:hAnsi="Arial" w:cs="Arial"/>
                <w:b/>
                <w:bCs/>
                <w:sz w:val="18"/>
                <w:szCs w:val="18"/>
                <w:u w:val="single"/>
              </w:rPr>
            </w:pPr>
            <w:bookmarkStart w:id="174" w:name="RANGE!D8:G41"/>
            <w:bookmarkStart w:id="175" w:name="Note_SXPTABLE1" w:colFirst="0" w:colLast="0"/>
            <w:r>
              <w:rPr>
                <w:rFonts w:ascii="Arial" w:hAnsi="Arial" w:cs="Arial"/>
                <w:b/>
                <w:bCs/>
                <w:sz w:val="18"/>
                <w:szCs w:val="18"/>
                <w:u w:val="single"/>
              </w:rPr>
              <w:t>Note 1.1B: Suppliers</w:t>
            </w:r>
            <w:bookmarkEnd w:id="174"/>
          </w:p>
        </w:tc>
        <w:tc>
          <w:tcPr>
            <w:tcW w:w="1249" w:type="dxa"/>
            <w:tcBorders>
              <w:top w:val="nil"/>
              <w:left w:val="nil"/>
              <w:bottom w:val="nil"/>
              <w:right w:val="nil"/>
            </w:tcBorders>
            <w:shd w:val="clear" w:color="FFFFFF" w:fill="FFFFFF"/>
            <w:vAlign w:val="bottom"/>
            <w:hideMark/>
          </w:tcPr>
          <w:p w14:paraId="6D566B23" w14:textId="77777777" w:rsidR="00A43992" w:rsidRDefault="00A43992" w:rsidP="007211E3">
            <w:pPr>
              <w:jc w:val="right"/>
              <w:rPr>
                <w:rFonts w:ascii="Arial" w:hAnsi="Arial" w:cs="Arial"/>
                <w:b/>
                <w:bCs/>
                <w:sz w:val="18"/>
                <w:szCs w:val="18"/>
              </w:rPr>
            </w:pPr>
            <w:r>
              <w:rPr>
                <w:rFonts w:ascii="Arial" w:hAnsi="Arial" w:cs="Arial"/>
                <w:b/>
                <w:bCs/>
                <w:sz w:val="18"/>
                <w:szCs w:val="18"/>
              </w:rPr>
              <w:t> </w:t>
            </w:r>
          </w:p>
        </w:tc>
        <w:tc>
          <w:tcPr>
            <w:tcW w:w="236" w:type="dxa"/>
            <w:tcBorders>
              <w:top w:val="nil"/>
              <w:left w:val="nil"/>
              <w:bottom w:val="nil"/>
              <w:right w:val="nil"/>
            </w:tcBorders>
            <w:shd w:val="clear" w:color="FFFFFF" w:fill="FFFFFF"/>
            <w:noWrap/>
            <w:vAlign w:val="bottom"/>
            <w:hideMark/>
          </w:tcPr>
          <w:p w14:paraId="27591D2B" w14:textId="77777777" w:rsidR="00A43992" w:rsidRDefault="00A43992" w:rsidP="007211E3">
            <w:pPr>
              <w:rPr>
                <w:rFonts w:ascii="Arial" w:hAnsi="Arial" w:cs="Arial"/>
                <w:sz w:val="18"/>
                <w:szCs w:val="18"/>
              </w:rPr>
            </w:pPr>
            <w:r>
              <w:rPr>
                <w:rFonts w:ascii="Arial" w:hAnsi="Arial" w:cs="Arial"/>
                <w:sz w:val="18"/>
                <w:szCs w:val="18"/>
              </w:rPr>
              <w:t> </w:t>
            </w:r>
          </w:p>
        </w:tc>
        <w:tc>
          <w:tcPr>
            <w:tcW w:w="1249" w:type="dxa"/>
            <w:tcBorders>
              <w:top w:val="nil"/>
              <w:left w:val="nil"/>
              <w:bottom w:val="nil"/>
              <w:right w:val="nil"/>
            </w:tcBorders>
            <w:shd w:val="clear" w:color="FFFFFF" w:fill="FFFFFF"/>
            <w:vAlign w:val="bottom"/>
            <w:hideMark/>
          </w:tcPr>
          <w:p w14:paraId="20C0D36A" w14:textId="77777777" w:rsidR="00A43992" w:rsidRDefault="00A43992" w:rsidP="007211E3">
            <w:pPr>
              <w:jc w:val="right"/>
              <w:rPr>
                <w:rFonts w:ascii="Arial" w:hAnsi="Arial" w:cs="Arial"/>
                <w:sz w:val="18"/>
                <w:szCs w:val="18"/>
              </w:rPr>
            </w:pPr>
            <w:r>
              <w:rPr>
                <w:rFonts w:ascii="Arial" w:hAnsi="Arial" w:cs="Arial"/>
                <w:sz w:val="18"/>
                <w:szCs w:val="18"/>
              </w:rPr>
              <w:t> </w:t>
            </w:r>
          </w:p>
        </w:tc>
      </w:tr>
      <w:bookmarkEnd w:id="175"/>
      <w:tr w:rsidR="00A43992" w14:paraId="3973259B" w14:textId="77777777" w:rsidTr="007211E3">
        <w:trPr>
          <w:trHeight w:val="255"/>
        </w:trPr>
        <w:tc>
          <w:tcPr>
            <w:tcW w:w="6353" w:type="dxa"/>
            <w:tcBorders>
              <w:top w:val="nil"/>
              <w:left w:val="nil"/>
              <w:bottom w:val="nil"/>
              <w:right w:val="nil"/>
            </w:tcBorders>
            <w:shd w:val="clear" w:color="FFFFFF" w:fill="FFFFFF"/>
            <w:vAlign w:val="bottom"/>
            <w:hideMark/>
          </w:tcPr>
          <w:p w14:paraId="3446B10E" w14:textId="77777777" w:rsidR="00A43992" w:rsidRDefault="00A43992" w:rsidP="007211E3">
            <w:pPr>
              <w:rPr>
                <w:rFonts w:ascii="Arial" w:hAnsi="Arial" w:cs="Arial"/>
                <w:b/>
                <w:bCs/>
                <w:sz w:val="18"/>
                <w:szCs w:val="18"/>
              </w:rPr>
            </w:pPr>
            <w:r>
              <w:rPr>
                <w:rFonts w:ascii="Arial" w:hAnsi="Arial" w:cs="Arial"/>
                <w:b/>
                <w:bCs/>
                <w:sz w:val="18"/>
                <w:szCs w:val="18"/>
              </w:rPr>
              <w:t>Services rendered</w:t>
            </w:r>
          </w:p>
        </w:tc>
        <w:tc>
          <w:tcPr>
            <w:tcW w:w="1249" w:type="dxa"/>
            <w:tcBorders>
              <w:top w:val="nil"/>
              <w:left w:val="nil"/>
              <w:bottom w:val="nil"/>
              <w:right w:val="nil"/>
            </w:tcBorders>
            <w:shd w:val="clear" w:color="FFFFFF" w:fill="FFFFFF"/>
            <w:noWrap/>
            <w:vAlign w:val="bottom"/>
            <w:hideMark/>
          </w:tcPr>
          <w:p w14:paraId="17032F12" w14:textId="77777777" w:rsidR="00A43992" w:rsidRDefault="00A43992" w:rsidP="007211E3">
            <w:pPr>
              <w:rPr>
                <w:rFonts w:ascii="Arial" w:hAnsi="Arial" w:cs="Arial"/>
                <w:sz w:val="18"/>
                <w:szCs w:val="18"/>
              </w:rPr>
            </w:pPr>
            <w:r>
              <w:rPr>
                <w:rFonts w:ascii="Arial" w:hAnsi="Arial" w:cs="Arial"/>
                <w:sz w:val="18"/>
                <w:szCs w:val="18"/>
              </w:rPr>
              <w:t> </w:t>
            </w:r>
          </w:p>
        </w:tc>
        <w:tc>
          <w:tcPr>
            <w:tcW w:w="236" w:type="dxa"/>
            <w:tcBorders>
              <w:top w:val="nil"/>
              <w:left w:val="nil"/>
              <w:bottom w:val="nil"/>
              <w:right w:val="nil"/>
            </w:tcBorders>
            <w:shd w:val="clear" w:color="FFFFFF" w:fill="FFFFFF"/>
            <w:noWrap/>
            <w:vAlign w:val="bottom"/>
            <w:hideMark/>
          </w:tcPr>
          <w:p w14:paraId="703175DD" w14:textId="77777777" w:rsidR="00A43992" w:rsidRDefault="00A43992" w:rsidP="007211E3">
            <w:pPr>
              <w:rPr>
                <w:rFonts w:ascii="Arial" w:hAnsi="Arial" w:cs="Arial"/>
                <w:sz w:val="18"/>
                <w:szCs w:val="18"/>
              </w:rPr>
            </w:pPr>
            <w:r>
              <w:rPr>
                <w:rFonts w:ascii="Arial" w:hAnsi="Arial" w:cs="Arial"/>
                <w:sz w:val="18"/>
                <w:szCs w:val="18"/>
              </w:rPr>
              <w:t> </w:t>
            </w:r>
          </w:p>
        </w:tc>
        <w:tc>
          <w:tcPr>
            <w:tcW w:w="1249" w:type="dxa"/>
            <w:tcBorders>
              <w:top w:val="nil"/>
              <w:left w:val="nil"/>
              <w:bottom w:val="nil"/>
              <w:right w:val="nil"/>
            </w:tcBorders>
            <w:shd w:val="clear" w:color="FFFFFF" w:fill="FFFFFF"/>
            <w:noWrap/>
            <w:vAlign w:val="bottom"/>
            <w:hideMark/>
          </w:tcPr>
          <w:p w14:paraId="3483A58F" w14:textId="77777777" w:rsidR="00A43992" w:rsidRDefault="00A43992" w:rsidP="007211E3">
            <w:pPr>
              <w:rPr>
                <w:rFonts w:ascii="Arial" w:hAnsi="Arial" w:cs="Arial"/>
                <w:sz w:val="18"/>
                <w:szCs w:val="18"/>
              </w:rPr>
            </w:pPr>
            <w:r>
              <w:rPr>
                <w:rFonts w:ascii="Arial" w:hAnsi="Arial" w:cs="Arial"/>
                <w:sz w:val="18"/>
                <w:szCs w:val="18"/>
              </w:rPr>
              <w:t> </w:t>
            </w:r>
          </w:p>
        </w:tc>
      </w:tr>
      <w:tr w:rsidR="00A43992" w14:paraId="27C4F80A" w14:textId="77777777" w:rsidTr="007211E3">
        <w:trPr>
          <w:trHeight w:val="255"/>
        </w:trPr>
        <w:tc>
          <w:tcPr>
            <w:tcW w:w="6353" w:type="dxa"/>
            <w:tcBorders>
              <w:top w:val="nil"/>
              <w:left w:val="nil"/>
              <w:bottom w:val="nil"/>
              <w:right w:val="nil"/>
            </w:tcBorders>
            <w:shd w:val="clear" w:color="FFFFFF" w:fill="FFFFFF"/>
            <w:noWrap/>
            <w:vAlign w:val="bottom"/>
            <w:hideMark/>
          </w:tcPr>
          <w:p w14:paraId="1176902A" w14:textId="77777777" w:rsidR="00A43992" w:rsidRDefault="00A43992" w:rsidP="007211E3">
            <w:pPr>
              <w:ind w:firstLineChars="100" w:firstLine="180"/>
              <w:rPr>
                <w:rFonts w:ascii="Arial" w:hAnsi="Arial" w:cs="Arial"/>
                <w:sz w:val="18"/>
                <w:szCs w:val="18"/>
              </w:rPr>
            </w:pPr>
            <w:r>
              <w:rPr>
                <w:rFonts w:ascii="Arial" w:hAnsi="Arial" w:cs="Arial"/>
                <w:sz w:val="18"/>
                <w:szCs w:val="18"/>
              </w:rPr>
              <w:t>Travel</w:t>
            </w:r>
          </w:p>
        </w:tc>
        <w:tc>
          <w:tcPr>
            <w:tcW w:w="1249" w:type="dxa"/>
            <w:tcBorders>
              <w:top w:val="nil"/>
              <w:left w:val="nil"/>
              <w:bottom w:val="nil"/>
              <w:right w:val="nil"/>
            </w:tcBorders>
            <w:shd w:val="clear" w:color="FFFFFF" w:fill="FFFFFF"/>
            <w:noWrap/>
            <w:vAlign w:val="bottom"/>
            <w:hideMark/>
          </w:tcPr>
          <w:p w14:paraId="0C856178" w14:textId="77777777" w:rsidR="00A43992" w:rsidRDefault="00A43992" w:rsidP="007211E3">
            <w:pPr>
              <w:jc w:val="right"/>
              <w:rPr>
                <w:rFonts w:ascii="Arial" w:hAnsi="Arial" w:cs="Arial"/>
                <w:b/>
                <w:bCs/>
                <w:sz w:val="18"/>
                <w:szCs w:val="18"/>
              </w:rPr>
            </w:pPr>
            <w:r>
              <w:rPr>
                <w:rFonts w:ascii="Arial" w:hAnsi="Arial" w:cs="Arial"/>
                <w:b/>
                <w:bCs/>
                <w:sz w:val="18"/>
                <w:szCs w:val="18"/>
              </w:rPr>
              <w:t>5,382</w:t>
            </w:r>
          </w:p>
        </w:tc>
        <w:tc>
          <w:tcPr>
            <w:tcW w:w="236" w:type="dxa"/>
            <w:tcBorders>
              <w:top w:val="nil"/>
              <w:left w:val="nil"/>
              <w:bottom w:val="nil"/>
              <w:right w:val="nil"/>
            </w:tcBorders>
            <w:shd w:val="clear" w:color="FFFFFF" w:fill="FFFFFF"/>
            <w:noWrap/>
            <w:vAlign w:val="bottom"/>
            <w:hideMark/>
          </w:tcPr>
          <w:p w14:paraId="73F8F3A2" w14:textId="77777777" w:rsidR="00A43992" w:rsidRDefault="00A43992" w:rsidP="007211E3">
            <w:pPr>
              <w:rPr>
                <w:rFonts w:ascii="Arial" w:hAnsi="Arial" w:cs="Arial"/>
                <w:sz w:val="18"/>
                <w:szCs w:val="18"/>
              </w:rPr>
            </w:pPr>
            <w:r>
              <w:rPr>
                <w:rFonts w:ascii="Arial" w:hAnsi="Arial" w:cs="Arial"/>
                <w:sz w:val="18"/>
                <w:szCs w:val="18"/>
              </w:rPr>
              <w:t> </w:t>
            </w:r>
          </w:p>
        </w:tc>
        <w:tc>
          <w:tcPr>
            <w:tcW w:w="1249" w:type="dxa"/>
            <w:tcBorders>
              <w:top w:val="nil"/>
              <w:left w:val="nil"/>
              <w:bottom w:val="nil"/>
              <w:right w:val="nil"/>
            </w:tcBorders>
            <w:shd w:val="clear" w:color="FFFFFF" w:fill="FFFFFF"/>
            <w:noWrap/>
            <w:vAlign w:val="bottom"/>
            <w:hideMark/>
          </w:tcPr>
          <w:p w14:paraId="30A79326" w14:textId="77777777" w:rsidR="00A43992" w:rsidRDefault="00A43992" w:rsidP="007211E3">
            <w:pPr>
              <w:jc w:val="right"/>
              <w:rPr>
                <w:rFonts w:ascii="Arial" w:hAnsi="Arial" w:cs="Arial"/>
                <w:sz w:val="18"/>
                <w:szCs w:val="18"/>
              </w:rPr>
            </w:pPr>
            <w:r>
              <w:rPr>
                <w:rFonts w:ascii="Arial" w:hAnsi="Arial" w:cs="Arial"/>
                <w:sz w:val="18"/>
                <w:szCs w:val="18"/>
              </w:rPr>
              <w:t>3,904</w:t>
            </w:r>
          </w:p>
        </w:tc>
      </w:tr>
      <w:tr w:rsidR="00A43992" w14:paraId="7ECA9505" w14:textId="77777777" w:rsidTr="007211E3">
        <w:trPr>
          <w:trHeight w:val="255"/>
        </w:trPr>
        <w:tc>
          <w:tcPr>
            <w:tcW w:w="6353" w:type="dxa"/>
            <w:tcBorders>
              <w:top w:val="nil"/>
              <w:left w:val="nil"/>
              <w:bottom w:val="nil"/>
              <w:right w:val="nil"/>
            </w:tcBorders>
            <w:shd w:val="clear" w:color="FFFFFF" w:fill="FFFFFF"/>
            <w:noWrap/>
            <w:vAlign w:val="bottom"/>
            <w:hideMark/>
          </w:tcPr>
          <w:p w14:paraId="4A6C6C4D" w14:textId="77777777" w:rsidR="00A43992" w:rsidRDefault="00A43992" w:rsidP="007211E3">
            <w:pPr>
              <w:ind w:firstLineChars="100" w:firstLine="180"/>
              <w:rPr>
                <w:rFonts w:ascii="Arial" w:hAnsi="Arial" w:cs="Arial"/>
                <w:sz w:val="18"/>
                <w:szCs w:val="18"/>
              </w:rPr>
            </w:pPr>
            <w:r>
              <w:rPr>
                <w:rFonts w:ascii="Arial" w:hAnsi="Arial" w:cs="Arial"/>
                <w:sz w:val="18"/>
                <w:szCs w:val="18"/>
              </w:rPr>
              <w:t>Contractors and consultants</w:t>
            </w:r>
          </w:p>
        </w:tc>
        <w:tc>
          <w:tcPr>
            <w:tcW w:w="1249" w:type="dxa"/>
            <w:tcBorders>
              <w:top w:val="nil"/>
              <w:left w:val="nil"/>
              <w:bottom w:val="nil"/>
              <w:right w:val="nil"/>
            </w:tcBorders>
            <w:shd w:val="clear" w:color="FFFFFF" w:fill="FFFFFF"/>
            <w:noWrap/>
            <w:vAlign w:val="bottom"/>
            <w:hideMark/>
          </w:tcPr>
          <w:p w14:paraId="3C83A98E" w14:textId="77777777" w:rsidR="00A43992" w:rsidRDefault="00A43992" w:rsidP="007211E3">
            <w:pPr>
              <w:jc w:val="right"/>
              <w:rPr>
                <w:rFonts w:ascii="Arial" w:hAnsi="Arial" w:cs="Arial"/>
                <w:b/>
                <w:bCs/>
                <w:sz w:val="18"/>
                <w:szCs w:val="18"/>
              </w:rPr>
            </w:pPr>
            <w:r>
              <w:rPr>
                <w:rFonts w:ascii="Arial" w:hAnsi="Arial" w:cs="Arial"/>
                <w:b/>
                <w:bCs/>
                <w:sz w:val="18"/>
                <w:szCs w:val="18"/>
              </w:rPr>
              <w:t>61,972</w:t>
            </w:r>
          </w:p>
        </w:tc>
        <w:tc>
          <w:tcPr>
            <w:tcW w:w="236" w:type="dxa"/>
            <w:tcBorders>
              <w:top w:val="nil"/>
              <w:left w:val="nil"/>
              <w:bottom w:val="nil"/>
              <w:right w:val="nil"/>
            </w:tcBorders>
            <w:shd w:val="clear" w:color="FFFFFF" w:fill="FFFFFF"/>
            <w:noWrap/>
            <w:vAlign w:val="bottom"/>
            <w:hideMark/>
          </w:tcPr>
          <w:p w14:paraId="220C6F6D" w14:textId="77777777" w:rsidR="00A43992" w:rsidRDefault="00A43992" w:rsidP="007211E3">
            <w:pPr>
              <w:rPr>
                <w:rFonts w:ascii="Arial" w:hAnsi="Arial" w:cs="Arial"/>
                <w:sz w:val="18"/>
                <w:szCs w:val="18"/>
              </w:rPr>
            </w:pPr>
            <w:r>
              <w:rPr>
                <w:rFonts w:ascii="Arial" w:hAnsi="Arial" w:cs="Arial"/>
                <w:sz w:val="18"/>
                <w:szCs w:val="18"/>
              </w:rPr>
              <w:t> </w:t>
            </w:r>
          </w:p>
        </w:tc>
        <w:tc>
          <w:tcPr>
            <w:tcW w:w="1249" w:type="dxa"/>
            <w:tcBorders>
              <w:top w:val="nil"/>
              <w:left w:val="nil"/>
              <w:bottom w:val="nil"/>
              <w:right w:val="nil"/>
            </w:tcBorders>
            <w:shd w:val="clear" w:color="FFFFFF" w:fill="FFFFFF"/>
            <w:noWrap/>
            <w:vAlign w:val="bottom"/>
            <w:hideMark/>
          </w:tcPr>
          <w:p w14:paraId="521B5CF9" w14:textId="77777777" w:rsidR="00A43992" w:rsidRDefault="00A43992" w:rsidP="007211E3">
            <w:pPr>
              <w:jc w:val="right"/>
              <w:rPr>
                <w:rFonts w:ascii="Arial" w:hAnsi="Arial" w:cs="Arial"/>
                <w:sz w:val="18"/>
                <w:szCs w:val="18"/>
              </w:rPr>
            </w:pPr>
            <w:r>
              <w:rPr>
                <w:rFonts w:ascii="Arial" w:hAnsi="Arial" w:cs="Arial"/>
                <w:sz w:val="18"/>
                <w:szCs w:val="18"/>
              </w:rPr>
              <w:t>33,382</w:t>
            </w:r>
          </w:p>
        </w:tc>
      </w:tr>
      <w:tr w:rsidR="00A43992" w14:paraId="2D72C829" w14:textId="77777777" w:rsidTr="007211E3">
        <w:trPr>
          <w:trHeight w:val="270"/>
        </w:trPr>
        <w:tc>
          <w:tcPr>
            <w:tcW w:w="6353" w:type="dxa"/>
            <w:tcBorders>
              <w:top w:val="nil"/>
              <w:left w:val="nil"/>
              <w:bottom w:val="nil"/>
              <w:right w:val="nil"/>
            </w:tcBorders>
            <w:shd w:val="clear" w:color="FFFFFF" w:fill="FFFFFF"/>
            <w:noWrap/>
            <w:vAlign w:val="bottom"/>
            <w:hideMark/>
          </w:tcPr>
          <w:p w14:paraId="3CC3D57B" w14:textId="77777777" w:rsidR="00A43992" w:rsidRDefault="00A43992" w:rsidP="007211E3">
            <w:pPr>
              <w:ind w:firstLineChars="100" w:firstLine="180"/>
              <w:rPr>
                <w:rFonts w:ascii="Arial" w:hAnsi="Arial" w:cs="Arial"/>
                <w:sz w:val="18"/>
                <w:szCs w:val="18"/>
              </w:rPr>
            </w:pPr>
            <w:r>
              <w:rPr>
                <w:rFonts w:ascii="Arial" w:hAnsi="Arial" w:cs="Arial"/>
                <w:sz w:val="18"/>
                <w:szCs w:val="18"/>
              </w:rPr>
              <w:t>Memorandum of Understanding costs</w:t>
            </w:r>
            <w:r>
              <w:rPr>
                <w:rFonts w:ascii="Arial" w:hAnsi="Arial" w:cs="Arial"/>
                <w:sz w:val="18"/>
                <w:szCs w:val="18"/>
                <w:vertAlign w:val="superscript"/>
              </w:rPr>
              <w:t>1</w:t>
            </w:r>
          </w:p>
        </w:tc>
        <w:tc>
          <w:tcPr>
            <w:tcW w:w="1249" w:type="dxa"/>
            <w:tcBorders>
              <w:top w:val="nil"/>
              <w:left w:val="nil"/>
              <w:bottom w:val="nil"/>
              <w:right w:val="nil"/>
            </w:tcBorders>
            <w:shd w:val="clear" w:color="FFFFFF" w:fill="FFFFFF"/>
            <w:noWrap/>
            <w:vAlign w:val="bottom"/>
            <w:hideMark/>
          </w:tcPr>
          <w:p w14:paraId="3FE1A27B" w14:textId="77777777" w:rsidR="00A43992" w:rsidRDefault="00A43992" w:rsidP="007211E3">
            <w:pPr>
              <w:jc w:val="right"/>
              <w:rPr>
                <w:rFonts w:ascii="Arial" w:hAnsi="Arial" w:cs="Arial"/>
                <w:b/>
                <w:bCs/>
                <w:sz w:val="18"/>
                <w:szCs w:val="18"/>
              </w:rPr>
            </w:pPr>
            <w:r>
              <w:rPr>
                <w:rFonts w:ascii="Arial" w:hAnsi="Arial" w:cs="Arial"/>
                <w:b/>
                <w:bCs/>
                <w:sz w:val="18"/>
                <w:szCs w:val="18"/>
              </w:rPr>
              <w:t>12,771</w:t>
            </w:r>
          </w:p>
        </w:tc>
        <w:tc>
          <w:tcPr>
            <w:tcW w:w="236" w:type="dxa"/>
            <w:tcBorders>
              <w:top w:val="nil"/>
              <w:left w:val="nil"/>
              <w:bottom w:val="nil"/>
              <w:right w:val="nil"/>
            </w:tcBorders>
            <w:shd w:val="clear" w:color="FFFFFF" w:fill="FFFFFF"/>
            <w:noWrap/>
            <w:vAlign w:val="bottom"/>
            <w:hideMark/>
          </w:tcPr>
          <w:p w14:paraId="4E231782" w14:textId="77777777" w:rsidR="00A43992" w:rsidRDefault="00A43992" w:rsidP="007211E3">
            <w:pPr>
              <w:rPr>
                <w:rFonts w:ascii="Arial" w:hAnsi="Arial" w:cs="Arial"/>
                <w:sz w:val="18"/>
                <w:szCs w:val="18"/>
              </w:rPr>
            </w:pPr>
            <w:r>
              <w:rPr>
                <w:rFonts w:ascii="Arial" w:hAnsi="Arial" w:cs="Arial"/>
                <w:sz w:val="18"/>
                <w:szCs w:val="18"/>
              </w:rPr>
              <w:t> </w:t>
            </w:r>
          </w:p>
        </w:tc>
        <w:tc>
          <w:tcPr>
            <w:tcW w:w="1249" w:type="dxa"/>
            <w:tcBorders>
              <w:top w:val="nil"/>
              <w:left w:val="nil"/>
              <w:bottom w:val="nil"/>
              <w:right w:val="nil"/>
            </w:tcBorders>
            <w:shd w:val="clear" w:color="FFFFFF" w:fill="FFFFFF"/>
            <w:noWrap/>
            <w:vAlign w:val="bottom"/>
            <w:hideMark/>
          </w:tcPr>
          <w:p w14:paraId="3349B35D" w14:textId="77777777" w:rsidR="00A43992" w:rsidRDefault="00A43992" w:rsidP="007211E3">
            <w:pPr>
              <w:jc w:val="right"/>
              <w:rPr>
                <w:rFonts w:ascii="Arial" w:hAnsi="Arial" w:cs="Arial"/>
                <w:sz w:val="18"/>
                <w:szCs w:val="18"/>
              </w:rPr>
            </w:pPr>
            <w:r>
              <w:rPr>
                <w:rFonts w:ascii="Arial" w:hAnsi="Arial" w:cs="Arial"/>
                <w:sz w:val="18"/>
                <w:szCs w:val="18"/>
              </w:rPr>
              <w:t>25,602</w:t>
            </w:r>
          </w:p>
        </w:tc>
      </w:tr>
      <w:tr w:rsidR="00A43992" w14:paraId="397910DA" w14:textId="77777777" w:rsidTr="007211E3">
        <w:trPr>
          <w:trHeight w:val="255"/>
        </w:trPr>
        <w:tc>
          <w:tcPr>
            <w:tcW w:w="6353" w:type="dxa"/>
            <w:tcBorders>
              <w:top w:val="nil"/>
              <w:left w:val="nil"/>
              <w:bottom w:val="nil"/>
              <w:right w:val="nil"/>
            </w:tcBorders>
            <w:shd w:val="clear" w:color="FFFFFF" w:fill="FFFFFF"/>
            <w:noWrap/>
            <w:vAlign w:val="bottom"/>
            <w:hideMark/>
          </w:tcPr>
          <w:p w14:paraId="27758A6A" w14:textId="77777777" w:rsidR="00A43992" w:rsidRDefault="00A43992" w:rsidP="007211E3">
            <w:pPr>
              <w:ind w:firstLineChars="100" w:firstLine="180"/>
              <w:rPr>
                <w:rFonts w:ascii="Arial" w:hAnsi="Arial" w:cs="Arial"/>
                <w:sz w:val="18"/>
                <w:szCs w:val="18"/>
              </w:rPr>
            </w:pPr>
            <w:r>
              <w:rPr>
                <w:rFonts w:ascii="Arial" w:hAnsi="Arial" w:cs="Arial"/>
                <w:sz w:val="18"/>
                <w:szCs w:val="18"/>
              </w:rPr>
              <w:t>Information technology expenses</w:t>
            </w:r>
          </w:p>
        </w:tc>
        <w:tc>
          <w:tcPr>
            <w:tcW w:w="1249" w:type="dxa"/>
            <w:tcBorders>
              <w:top w:val="nil"/>
              <w:left w:val="nil"/>
              <w:bottom w:val="nil"/>
              <w:right w:val="nil"/>
            </w:tcBorders>
            <w:shd w:val="clear" w:color="FFFFFF" w:fill="FFFFFF"/>
            <w:noWrap/>
            <w:vAlign w:val="bottom"/>
            <w:hideMark/>
          </w:tcPr>
          <w:p w14:paraId="634BBCDA" w14:textId="77777777" w:rsidR="00A43992" w:rsidRDefault="00A43992" w:rsidP="007211E3">
            <w:pPr>
              <w:jc w:val="right"/>
              <w:rPr>
                <w:rFonts w:ascii="Arial" w:hAnsi="Arial" w:cs="Arial"/>
                <w:b/>
                <w:bCs/>
                <w:sz w:val="18"/>
                <w:szCs w:val="18"/>
              </w:rPr>
            </w:pPr>
            <w:r>
              <w:rPr>
                <w:rFonts w:ascii="Arial" w:hAnsi="Arial" w:cs="Arial"/>
                <w:b/>
                <w:bCs/>
                <w:sz w:val="18"/>
                <w:szCs w:val="18"/>
              </w:rPr>
              <w:t>5,402</w:t>
            </w:r>
          </w:p>
        </w:tc>
        <w:tc>
          <w:tcPr>
            <w:tcW w:w="236" w:type="dxa"/>
            <w:tcBorders>
              <w:top w:val="nil"/>
              <w:left w:val="nil"/>
              <w:bottom w:val="nil"/>
              <w:right w:val="nil"/>
            </w:tcBorders>
            <w:shd w:val="clear" w:color="FFFFFF" w:fill="FFFFFF"/>
            <w:noWrap/>
            <w:vAlign w:val="bottom"/>
            <w:hideMark/>
          </w:tcPr>
          <w:p w14:paraId="6B98E7CF" w14:textId="77777777" w:rsidR="00A43992" w:rsidRDefault="00A43992" w:rsidP="007211E3">
            <w:pPr>
              <w:rPr>
                <w:rFonts w:ascii="Arial" w:hAnsi="Arial" w:cs="Arial"/>
                <w:sz w:val="18"/>
                <w:szCs w:val="18"/>
              </w:rPr>
            </w:pPr>
            <w:r>
              <w:rPr>
                <w:rFonts w:ascii="Arial" w:hAnsi="Arial" w:cs="Arial"/>
                <w:sz w:val="18"/>
                <w:szCs w:val="18"/>
              </w:rPr>
              <w:t> </w:t>
            </w:r>
          </w:p>
        </w:tc>
        <w:tc>
          <w:tcPr>
            <w:tcW w:w="1249" w:type="dxa"/>
            <w:tcBorders>
              <w:top w:val="nil"/>
              <w:left w:val="nil"/>
              <w:bottom w:val="nil"/>
              <w:right w:val="nil"/>
            </w:tcBorders>
            <w:shd w:val="clear" w:color="FFFFFF" w:fill="FFFFFF"/>
            <w:noWrap/>
            <w:vAlign w:val="bottom"/>
            <w:hideMark/>
          </w:tcPr>
          <w:p w14:paraId="6401F0A0" w14:textId="77777777" w:rsidR="00A43992" w:rsidRDefault="00A43992" w:rsidP="007211E3">
            <w:pPr>
              <w:jc w:val="right"/>
              <w:rPr>
                <w:rFonts w:ascii="Arial" w:hAnsi="Arial" w:cs="Arial"/>
                <w:sz w:val="18"/>
                <w:szCs w:val="18"/>
              </w:rPr>
            </w:pPr>
            <w:r>
              <w:rPr>
                <w:rFonts w:ascii="Arial" w:hAnsi="Arial" w:cs="Arial"/>
                <w:sz w:val="18"/>
                <w:szCs w:val="18"/>
              </w:rPr>
              <w:t>1,523</w:t>
            </w:r>
          </w:p>
        </w:tc>
      </w:tr>
      <w:tr w:rsidR="00A43992" w14:paraId="6D2B6278" w14:textId="77777777" w:rsidTr="007211E3">
        <w:trPr>
          <w:trHeight w:val="255"/>
        </w:trPr>
        <w:tc>
          <w:tcPr>
            <w:tcW w:w="6353" w:type="dxa"/>
            <w:tcBorders>
              <w:top w:val="nil"/>
              <w:left w:val="nil"/>
              <w:bottom w:val="nil"/>
              <w:right w:val="nil"/>
            </w:tcBorders>
            <w:shd w:val="clear" w:color="FFFFFF" w:fill="FFFFFF"/>
            <w:noWrap/>
            <w:vAlign w:val="bottom"/>
            <w:hideMark/>
          </w:tcPr>
          <w:p w14:paraId="74885628" w14:textId="77777777" w:rsidR="00A43992" w:rsidRDefault="00A43992" w:rsidP="007211E3">
            <w:pPr>
              <w:ind w:firstLineChars="100" w:firstLine="180"/>
              <w:rPr>
                <w:rFonts w:ascii="Arial" w:hAnsi="Arial" w:cs="Arial"/>
                <w:sz w:val="18"/>
                <w:szCs w:val="18"/>
              </w:rPr>
            </w:pPr>
            <w:r>
              <w:rPr>
                <w:rFonts w:ascii="Arial" w:hAnsi="Arial" w:cs="Arial"/>
                <w:sz w:val="18"/>
                <w:szCs w:val="18"/>
              </w:rPr>
              <w:t>Property operating expenses</w:t>
            </w:r>
          </w:p>
        </w:tc>
        <w:tc>
          <w:tcPr>
            <w:tcW w:w="1249" w:type="dxa"/>
            <w:tcBorders>
              <w:top w:val="nil"/>
              <w:left w:val="nil"/>
              <w:bottom w:val="nil"/>
              <w:right w:val="nil"/>
            </w:tcBorders>
            <w:shd w:val="clear" w:color="FFFFFF" w:fill="FFFFFF"/>
            <w:noWrap/>
            <w:vAlign w:val="bottom"/>
            <w:hideMark/>
          </w:tcPr>
          <w:p w14:paraId="2D5E2A01" w14:textId="77777777" w:rsidR="00A43992" w:rsidRDefault="00A43992" w:rsidP="007211E3">
            <w:pPr>
              <w:jc w:val="right"/>
              <w:rPr>
                <w:rFonts w:ascii="Arial" w:hAnsi="Arial" w:cs="Arial"/>
                <w:b/>
                <w:bCs/>
                <w:sz w:val="18"/>
                <w:szCs w:val="18"/>
              </w:rPr>
            </w:pPr>
            <w:r>
              <w:rPr>
                <w:rFonts w:ascii="Arial" w:hAnsi="Arial" w:cs="Arial"/>
                <w:b/>
                <w:bCs/>
                <w:sz w:val="18"/>
                <w:szCs w:val="18"/>
              </w:rPr>
              <w:t>3,241</w:t>
            </w:r>
          </w:p>
        </w:tc>
        <w:tc>
          <w:tcPr>
            <w:tcW w:w="236" w:type="dxa"/>
            <w:tcBorders>
              <w:top w:val="nil"/>
              <w:left w:val="nil"/>
              <w:bottom w:val="nil"/>
              <w:right w:val="nil"/>
            </w:tcBorders>
            <w:shd w:val="clear" w:color="FFFFFF" w:fill="FFFFFF"/>
            <w:noWrap/>
            <w:vAlign w:val="bottom"/>
            <w:hideMark/>
          </w:tcPr>
          <w:p w14:paraId="107E2A61" w14:textId="77777777" w:rsidR="00A43992" w:rsidRDefault="00A43992" w:rsidP="007211E3">
            <w:pPr>
              <w:rPr>
                <w:rFonts w:ascii="Arial" w:hAnsi="Arial" w:cs="Arial"/>
                <w:sz w:val="18"/>
                <w:szCs w:val="18"/>
              </w:rPr>
            </w:pPr>
            <w:r>
              <w:rPr>
                <w:rFonts w:ascii="Arial" w:hAnsi="Arial" w:cs="Arial"/>
                <w:sz w:val="18"/>
                <w:szCs w:val="18"/>
              </w:rPr>
              <w:t> </w:t>
            </w:r>
          </w:p>
        </w:tc>
        <w:tc>
          <w:tcPr>
            <w:tcW w:w="1249" w:type="dxa"/>
            <w:tcBorders>
              <w:top w:val="nil"/>
              <w:left w:val="nil"/>
              <w:bottom w:val="nil"/>
              <w:right w:val="nil"/>
            </w:tcBorders>
            <w:shd w:val="clear" w:color="FFFFFF" w:fill="FFFFFF"/>
            <w:noWrap/>
            <w:vAlign w:val="bottom"/>
            <w:hideMark/>
          </w:tcPr>
          <w:p w14:paraId="532C7FB0" w14:textId="77777777" w:rsidR="00A43992" w:rsidRDefault="00A43992" w:rsidP="007211E3">
            <w:pPr>
              <w:jc w:val="right"/>
              <w:rPr>
                <w:rFonts w:ascii="Arial" w:hAnsi="Arial" w:cs="Arial"/>
                <w:sz w:val="18"/>
                <w:szCs w:val="18"/>
              </w:rPr>
            </w:pPr>
            <w:r>
              <w:rPr>
                <w:rFonts w:ascii="Arial" w:hAnsi="Arial" w:cs="Arial"/>
                <w:sz w:val="18"/>
                <w:szCs w:val="18"/>
              </w:rPr>
              <w:t>2,202</w:t>
            </w:r>
          </w:p>
        </w:tc>
      </w:tr>
      <w:tr w:rsidR="00A43992" w14:paraId="61D97A87" w14:textId="77777777" w:rsidTr="007211E3">
        <w:trPr>
          <w:trHeight w:val="255"/>
        </w:trPr>
        <w:tc>
          <w:tcPr>
            <w:tcW w:w="6353" w:type="dxa"/>
            <w:tcBorders>
              <w:top w:val="nil"/>
              <w:left w:val="nil"/>
              <w:bottom w:val="nil"/>
              <w:right w:val="nil"/>
            </w:tcBorders>
            <w:shd w:val="clear" w:color="FFFFFF" w:fill="FFFFFF"/>
            <w:noWrap/>
            <w:vAlign w:val="bottom"/>
            <w:hideMark/>
          </w:tcPr>
          <w:p w14:paraId="346D8623" w14:textId="77777777" w:rsidR="00A43992" w:rsidRDefault="00A43992" w:rsidP="007211E3">
            <w:pPr>
              <w:ind w:firstLineChars="100" w:firstLine="180"/>
              <w:rPr>
                <w:rFonts w:ascii="Arial" w:hAnsi="Arial" w:cs="Arial"/>
                <w:sz w:val="18"/>
                <w:szCs w:val="18"/>
              </w:rPr>
            </w:pPr>
            <w:r>
              <w:rPr>
                <w:rFonts w:ascii="Arial" w:hAnsi="Arial" w:cs="Arial"/>
                <w:sz w:val="18"/>
                <w:szCs w:val="18"/>
              </w:rPr>
              <w:t>Staff recruitment and relocation</w:t>
            </w:r>
          </w:p>
        </w:tc>
        <w:tc>
          <w:tcPr>
            <w:tcW w:w="1249" w:type="dxa"/>
            <w:tcBorders>
              <w:top w:val="nil"/>
              <w:left w:val="nil"/>
              <w:bottom w:val="nil"/>
              <w:right w:val="nil"/>
            </w:tcBorders>
            <w:shd w:val="clear" w:color="FFFFFF" w:fill="FFFFFF"/>
            <w:noWrap/>
            <w:vAlign w:val="bottom"/>
            <w:hideMark/>
          </w:tcPr>
          <w:p w14:paraId="68BFBFF5" w14:textId="77777777" w:rsidR="00A43992" w:rsidRDefault="00A43992" w:rsidP="007211E3">
            <w:pPr>
              <w:jc w:val="right"/>
              <w:rPr>
                <w:rFonts w:ascii="Arial" w:hAnsi="Arial" w:cs="Arial"/>
                <w:b/>
                <w:bCs/>
                <w:sz w:val="18"/>
                <w:szCs w:val="18"/>
              </w:rPr>
            </w:pPr>
            <w:r>
              <w:rPr>
                <w:rFonts w:ascii="Arial" w:hAnsi="Arial" w:cs="Arial"/>
                <w:b/>
                <w:bCs/>
                <w:sz w:val="18"/>
                <w:szCs w:val="18"/>
              </w:rPr>
              <w:t>2,892</w:t>
            </w:r>
          </w:p>
        </w:tc>
        <w:tc>
          <w:tcPr>
            <w:tcW w:w="236" w:type="dxa"/>
            <w:tcBorders>
              <w:top w:val="nil"/>
              <w:left w:val="nil"/>
              <w:bottom w:val="nil"/>
              <w:right w:val="nil"/>
            </w:tcBorders>
            <w:shd w:val="clear" w:color="FFFFFF" w:fill="FFFFFF"/>
            <w:noWrap/>
            <w:vAlign w:val="bottom"/>
            <w:hideMark/>
          </w:tcPr>
          <w:p w14:paraId="1F3412A4" w14:textId="77777777" w:rsidR="00A43992" w:rsidRDefault="00A43992" w:rsidP="007211E3">
            <w:pPr>
              <w:rPr>
                <w:rFonts w:ascii="Arial" w:hAnsi="Arial" w:cs="Arial"/>
                <w:sz w:val="18"/>
                <w:szCs w:val="18"/>
              </w:rPr>
            </w:pPr>
            <w:r>
              <w:rPr>
                <w:rFonts w:ascii="Arial" w:hAnsi="Arial" w:cs="Arial"/>
                <w:sz w:val="18"/>
                <w:szCs w:val="18"/>
              </w:rPr>
              <w:t> </w:t>
            </w:r>
          </w:p>
        </w:tc>
        <w:tc>
          <w:tcPr>
            <w:tcW w:w="1249" w:type="dxa"/>
            <w:tcBorders>
              <w:top w:val="nil"/>
              <w:left w:val="nil"/>
              <w:bottom w:val="nil"/>
              <w:right w:val="nil"/>
            </w:tcBorders>
            <w:shd w:val="clear" w:color="FFFFFF" w:fill="FFFFFF"/>
            <w:noWrap/>
            <w:vAlign w:val="bottom"/>
            <w:hideMark/>
          </w:tcPr>
          <w:p w14:paraId="2BBBE1FD" w14:textId="77777777" w:rsidR="00A43992" w:rsidRDefault="00A43992" w:rsidP="007211E3">
            <w:pPr>
              <w:jc w:val="right"/>
              <w:rPr>
                <w:rFonts w:ascii="Arial" w:hAnsi="Arial" w:cs="Arial"/>
                <w:sz w:val="18"/>
                <w:szCs w:val="18"/>
              </w:rPr>
            </w:pPr>
            <w:r>
              <w:rPr>
                <w:rFonts w:ascii="Arial" w:hAnsi="Arial" w:cs="Arial"/>
                <w:sz w:val="18"/>
                <w:szCs w:val="18"/>
              </w:rPr>
              <w:t>1,440</w:t>
            </w:r>
          </w:p>
        </w:tc>
      </w:tr>
      <w:tr w:rsidR="00A43992" w14:paraId="542A494D" w14:textId="77777777" w:rsidTr="007211E3">
        <w:trPr>
          <w:trHeight w:val="255"/>
        </w:trPr>
        <w:tc>
          <w:tcPr>
            <w:tcW w:w="6353" w:type="dxa"/>
            <w:tcBorders>
              <w:top w:val="nil"/>
              <w:left w:val="nil"/>
              <w:bottom w:val="nil"/>
              <w:right w:val="nil"/>
            </w:tcBorders>
            <w:shd w:val="clear" w:color="FFFFFF" w:fill="FFFFFF"/>
            <w:noWrap/>
            <w:vAlign w:val="bottom"/>
            <w:hideMark/>
          </w:tcPr>
          <w:p w14:paraId="6F3E8227" w14:textId="77777777" w:rsidR="00A43992" w:rsidRDefault="00A43992" w:rsidP="007211E3">
            <w:pPr>
              <w:ind w:firstLineChars="100" w:firstLine="180"/>
              <w:rPr>
                <w:rFonts w:ascii="Arial" w:hAnsi="Arial" w:cs="Arial"/>
                <w:sz w:val="18"/>
                <w:szCs w:val="18"/>
              </w:rPr>
            </w:pPr>
            <w:r>
              <w:rPr>
                <w:rFonts w:ascii="Arial" w:hAnsi="Arial" w:cs="Arial"/>
                <w:sz w:val="18"/>
                <w:szCs w:val="18"/>
              </w:rPr>
              <w:t xml:space="preserve">Other </w:t>
            </w:r>
          </w:p>
        </w:tc>
        <w:tc>
          <w:tcPr>
            <w:tcW w:w="1249" w:type="dxa"/>
            <w:tcBorders>
              <w:top w:val="nil"/>
              <w:left w:val="nil"/>
              <w:bottom w:val="nil"/>
              <w:right w:val="nil"/>
            </w:tcBorders>
            <w:shd w:val="clear" w:color="FFFFFF" w:fill="FFFFFF"/>
            <w:noWrap/>
            <w:vAlign w:val="bottom"/>
            <w:hideMark/>
          </w:tcPr>
          <w:p w14:paraId="4C140EB3" w14:textId="77777777" w:rsidR="00A43992" w:rsidRDefault="00A43992" w:rsidP="007211E3">
            <w:pPr>
              <w:jc w:val="right"/>
              <w:rPr>
                <w:rFonts w:ascii="Arial" w:hAnsi="Arial" w:cs="Arial"/>
                <w:b/>
                <w:bCs/>
                <w:sz w:val="18"/>
                <w:szCs w:val="18"/>
              </w:rPr>
            </w:pPr>
            <w:r>
              <w:rPr>
                <w:rFonts w:ascii="Arial" w:hAnsi="Arial" w:cs="Arial"/>
                <w:b/>
                <w:bCs/>
                <w:sz w:val="18"/>
                <w:szCs w:val="18"/>
              </w:rPr>
              <w:t>10,656</w:t>
            </w:r>
          </w:p>
        </w:tc>
        <w:tc>
          <w:tcPr>
            <w:tcW w:w="236" w:type="dxa"/>
            <w:tcBorders>
              <w:top w:val="nil"/>
              <w:left w:val="nil"/>
              <w:bottom w:val="nil"/>
              <w:right w:val="nil"/>
            </w:tcBorders>
            <w:shd w:val="clear" w:color="FFFFFF" w:fill="FFFFFF"/>
            <w:noWrap/>
            <w:vAlign w:val="bottom"/>
            <w:hideMark/>
          </w:tcPr>
          <w:p w14:paraId="3884BEAC" w14:textId="77777777" w:rsidR="00A43992" w:rsidRDefault="00A43992" w:rsidP="007211E3">
            <w:pPr>
              <w:rPr>
                <w:rFonts w:ascii="Arial" w:hAnsi="Arial" w:cs="Arial"/>
                <w:sz w:val="18"/>
                <w:szCs w:val="18"/>
              </w:rPr>
            </w:pPr>
            <w:r>
              <w:rPr>
                <w:rFonts w:ascii="Arial" w:hAnsi="Arial" w:cs="Arial"/>
                <w:sz w:val="18"/>
                <w:szCs w:val="18"/>
              </w:rPr>
              <w:t> </w:t>
            </w:r>
          </w:p>
        </w:tc>
        <w:tc>
          <w:tcPr>
            <w:tcW w:w="1249" w:type="dxa"/>
            <w:tcBorders>
              <w:top w:val="nil"/>
              <w:left w:val="nil"/>
              <w:bottom w:val="nil"/>
              <w:right w:val="nil"/>
            </w:tcBorders>
            <w:shd w:val="clear" w:color="FFFFFF" w:fill="FFFFFF"/>
            <w:noWrap/>
            <w:vAlign w:val="bottom"/>
            <w:hideMark/>
          </w:tcPr>
          <w:p w14:paraId="57939790" w14:textId="77777777" w:rsidR="00A43992" w:rsidRDefault="00A43992" w:rsidP="007211E3">
            <w:pPr>
              <w:jc w:val="right"/>
              <w:rPr>
                <w:rFonts w:ascii="Arial" w:hAnsi="Arial" w:cs="Arial"/>
                <w:sz w:val="18"/>
                <w:szCs w:val="18"/>
              </w:rPr>
            </w:pPr>
            <w:r>
              <w:rPr>
                <w:rFonts w:ascii="Arial" w:hAnsi="Arial" w:cs="Arial"/>
                <w:sz w:val="18"/>
                <w:szCs w:val="18"/>
              </w:rPr>
              <w:t>7,252</w:t>
            </w:r>
          </w:p>
        </w:tc>
      </w:tr>
      <w:tr w:rsidR="00A43992" w14:paraId="74CF41D0" w14:textId="77777777" w:rsidTr="007211E3">
        <w:trPr>
          <w:trHeight w:val="255"/>
        </w:trPr>
        <w:tc>
          <w:tcPr>
            <w:tcW w:w="6353" w:type="dxa"/>
            <w:tcBorders>
              <w:top w:val="nil"/>
              <w:left w:val="nil"/>
              <w:bottom w:val="nil"/>
              <w:right w:val="nil"/>
            </w:tcBorders>
            <w:shd w:val="clear" w:color="FFFFFF" w:fill="FFFFFF"/>
            <w:vAlign w:val="bottom"/>
            <w:hideMark/>
          </w:tcPr>
          <w:p w14:paraId="754AEE94" w14:textId="77777777" w:rsidR="00A43992" w:rsidRDefault="00A43992" w:rsidP="007211E3">
            <w:pPr>
              <w:rPr>
                <w:rFonts w:ascii="Arial" w:hAnsi="Arial" w:cs="Arial"/>
                <w:b/>
                <w:bCs/>
                <w:sz w:val="18"/>
                <w:szCs w:val="18"/>
              </w:rPr>
            </w:pPr>
            <w:r>
              <w:rPr>
                <w:rFonts w:ascii="Arial" w:hAnsi="Arial" w:cs="Arial"/>
                <w:b/>
                <w:bCs/>
                <w:sz w:val="18"/>
                <w:szCs w:val="18"/>
              </w:rPr>
              <w:t>Total services rendered</w:t>
            </w:r>
          </w:p>
        </w:tc>
        <w:tc>
          <w:tcPr>
            <w:tcW w:w="1249" w:type="dxa"/>
            <w:tcBorders>
              <w:top w:val="single" w:sz="4" w:space="0" w:color="auto"/>
              <w:left w:val="nil"/>
              <w:bottom w:val="single" w:sz="4" w:space="0" w:color="auto"/>
              <w:right w:val="nil"/>
            </w:tcBorders>
            <w:shd w:val="clear" w:color="FFFFFF" w:fill="FFFFFF"/>
            <w:noWrap/>
            <w:vAlign w:val="bottom"/>
            <w:hideMark/>
          </w:tcPr>
          <w:p w14:paraId="56AF9B46" w14:textId="77777777" w:rsidR="00A43992" w:rsidRDefault="00A43992" w:rsidP="007211E3">
            <w:pPr>
              <w:jc w:val="right"/>
              <w:rPr>
                <w:rFonts w:ascii="Arial" w:hAnsi="Arial" w:cs="Arial"/>
                <w:b/>
                <w:bCs/>
                <w:sz w:val="18"/>
                <w:szCs w:val="18"/>
              </w:rPr>
            </w:pPr>
            <w:r>
              <w:rPr>
                <w:rFonts w:ascii="Arial" w:hAnsi="Arial" w:cs="Arial"/>
                <w:b/>
                <w:bCs/>
                <w:sz w:val="18"/>
                <w:szCs w:val="18"/>
              </w:rPr>
              <w:t>102,316</w:t>
            </w:r>
          </w:p>
        </w:tc>
        <w:tc>
          <w:tcPr>
            <w:tcW w:w="236" w:type="dxa"/>
            <w:tcBorders>
              <w:top w:val="nil"/>
              <w:left w:val="nil"/>
              <w:bottom w:val="nil"/>
              <w:right w:val="nil"/>
            </w:tcBorders>
            <w:shd w:val="clear" w:color="FFFFFF" w:fill="FFFFFF"/>
            <w:noWrap/>
            <w:vAlign w:val="bottom"/>
            <w:hideMark/>
          </w:tcPr>
          <w:p w14:paraId="29E4C1D8" w14:textId="77777777" w:rsidR="00A43992" w:rsidRDefault="00A43992" w:rsidP="007211E3">
            <w:pPr>
              <w:rPr>
                <w:rFonts w:ascii="Arial" w:hAnsi="Arial" w:cs="Arial"/>
                <w:sz w:val="18"/>
                <w:szCs w:val="18"/>
              </w:rPr>
            </w:pPr>
            <w:r>
              <w:rPr>
                <w:rFonts w:ascii="Arial" w:hAnsi="Arial" w:cs="Arial"/>
                <w:sz w:val="18"/>
                <w:szCs w:val="18"/>
              </w:rPr>
              <w:t> </w:t>
            </w:r>
          </w:p>
        </w:tc>
        <w:tc>
          <w:tcPr>
            <w:tcW w:w="1249" w:type="dxa"/>
            <w:tcBorders>
              <w:top w:val="single" w:sz="4" w:space="0" w:color="auto"/>
              <w:left w:val="nil"/>
              <w:bottom w:val="single" w:sz="4" w:space="0" w:color="auto"/>
              <w:right w:val="nil"/>
            </w:tcBorders>
            <w:shd w:val="clear" w:color="FFFFFF" w:fill="FFFFFF"/>
            <w:noWrap/>
            <w:vAlign w:val="bottom"/>
            <w:hideMark/>
          </w:tcPr>
          <w:p w14:paraId="47ED4725" w14:textId="77777777" w:rsidR="00A43992" w:rsidRDefault="00A43992" w:rsidP="007211E3">
            <w:pPr>
              <w:jc w:val="right"/>
              <w:rPr>
                <w:rFonts w:ascii="Arial" w:hAnsi="Arial" w:cs="Arial"/>
                <w:sz w:val="18"/>
                <w:szCs w:val="18"/>
              </w:rPr>
            </w:pPr>
            <w:r>
              <w:rPr>
                <w:rFonts w:ascii="Arial" w:hAnsi="Arial" w:cs="Arial"/>
                <w:sz w:val="18"/>
                <w:szCs w:val="18"/>
              </w:rPr>
              <w:t>75,305</w:t>
            </w:r>
          </w:p>
        </w:tc>
      </w:tr>
      <w:tr w:rsidR="00A43992" w14:paraId="6F09AFC4" w14:textId="77777777" w:rsidTr="007211E3">
        <w:trPr>
          <w:trHeight w:val="210"/>
        </w:trPr>
        <w:tc>
          <w:tcPr>
            <w:tcW w:w="6353" w:type="dxa"/>
            <w:tcBorders>
              <w:top w:val="nil"/>
              <w:left w:val="nil"/>
              <w:bottom w:val="nil"/>
              <w:right w:val="nil"/>
            </w:tcBorders>
            <w:shd w:val="clear" w:color="FFFFFF" w:fill="FFFFFF"/>
            <w:vAlign w:val="bottom"/>
            <w:hideMark/>
          </w:tcPr>
          <w:p w14:paraId="4E1CAD91" w14:textId="77777777" w:rsidR="00A43992" w:rsidRDefault="00A43992" w:rsidP="007211E3">
            <w:pPr>
              <w:rPr>
                <w:rFonts w:ascii="Arial" w:hAnsi="Arial" w:cs="Arial"/>
                <w:b/>
                <w:bCs/>
                <w:sz w:val="18"/>
                <w:szCs w:val="18"/>
              </w:rPr>
            </w:pPr>
            <w:r>
              <w:rPr>
                <w:rFonts w:ascii="Arial" w:hAnsi="Arial" w:cs="Arial"/>
                <w:b/>
                <w:bCs/>
                <w:sz w:val="18"/>
                <w:szCs w:val="18"/>
              </w:rPr>
              <w:t> </w:t>
            </w:r>
          </w:p>
        </w:tc>
        <w:tc>
          <w:tcPr>
            <w:tcW w:w="1249" w:type="dxa"/>
            <w:tcBorders>
              <w:top w:val="nil"/>
              <w:left w:val="nil"/>
              <w:bottom w:val="nil"/>
              <w:right w:val="nil"/>
            </w:tcBorders>
            <w:shd w:val="clear" w:color="FFFFFF" w:fill="FFFFFF"/>
            <w:noWrap/>
            <w:vAlign w:val="bottom"/>
            <w:hideMark/>
          </w:tcPr>
          <w:p w14:paraId="3D3B67D2" w14:textId="77777777" w:rsidR="00A43992" w:rsidRDefault="00A43992" w:rsidP="007211E3">
            <w:pPr>
              <w:jc w:val="right"/>
              <w:rPr>
                <w:rFonts w:ascii="Arial" w:hAnsi="Arial" w:cs="Arial"/>
                <w:b/>
                <w:bCs/>
                <w:sz w:val="18"/>
                <w:szCs w:val="18"/>
              </w:rPr>
            </w:pPr>
            <w:r>
              <w:rPr>
                <w:rFonts w:ascii="Arial" w:hAnsi="Arial" w:cs="Arial"/>
                <w:b/>
                <w:bCs/>
                <w:sz w:val="18"/>
                <w:szCs w:val="18"/>
              </w:rPr>
              <w:t> </w:t>
            </w:r>
          </w:p>
        </w:tc>
        <w:tc>
          <w:tcPr>
            <w:tcW w:w="236" w:type="dxa"/>
            <w:tcBorders>
              <w:top w:val="nil"/>
              <w:left w:val="nil"/>
              <w:bottom w:val="nil"/>
              <w:right w:val="nil"/>
            </w:tcBorders>
            <w:shd w:val="clear" w:color="FFFFFF" w:fill="FFFFFF"/>
            <w:noWrap/>
            <w:vAlign w:val="bottom"/>
            <w:hideMark/>
          </w:tcPr>
          <w:p w14:paraId="2B0ABC75" w14:textId="77777777" w:rsidR="00A43992" w:rsidRDefault="00A43992" w:rsidP="007211E3">
            <w:pPr>
              <w:rPr>
                <w:rFonts w:ascii="Arial" w:hAnsi="Arial" w:cs="Arial"/>
                <w:sz w:val="18"/>
                <w:szCs w:val="18"/>
              </w:rPr>
            </w:pPr>
            <w:r>
              <w:rPr>
                <w:rFonts w:ascii="Arial" w:hAnsi="Arial" w:cs="Arial"/>
                <w:sz w:val="18"/>
                <w:szCs w:val="18"/>
              </w:rPr>
              <w:t> </w:t>
            </w:r>
          </w:p>
        </w:tc>
        <w:tc>
          <w:tcPr>
            <w:tcW w:w="1249" w:type="dxa"/>
            <w:tcBorders>
              <w:top w:val="nil"/>
              <w:left w:val="nil"/>
              <w:bottom w:val="nil"/>
              <w:right w:val="nil"/>
            </w:tcBorders>
            <w:shd w:val="clear" w:color="FFFFFF" w:fill="FFFFFF"/>
            <w:noWrap/>
            <w:vAlign w:val="bottom"/>
            <w:hideMark/>
          </w:tcPr>
          <w:p w14:paraId="55EC8DD3" w14:textId="77777777" w:rsidR="00A43992" w:rsidRDefault="00A43992" w:rsidP="007211E3">
            <w:pPr>
              <w:jc w:val="right"/>
              <w:rPr>
                <w:rFonts w:ascii="Arial" w:hAnsi="Arial" w:cs="Arial"/>
                <w:sz w:val="18"/>
                <w:szCs w:val="18"/>
              </w:rPr>
            </w:pPr>
            <w:r>
              <w:rPr>
                <w:rFonts w:ascii="Arial" w:hAnsi="Arial" w:cs="Arial"/>
                <w:sz w:val="18"/>
                <w:szCs w:val="18"/>
              </w:rPr>
              <w:t> </w:t>
            </w:r>
          </w:p>
        </w:tc>
      </w:tr>
      <w:tr w:rsidR="00A43992" w14:paraId="6B6E1C15" w14:textId="77777777" w:rsidTr="007211E3">
        <w:trPr>
          <w:trHeight w:val="255"/>
        </w:trPr>
        <w:tc>
          <w:tcPr>
            <w:tcW w:w="6353" w:type="dxa"/>
            <w:tcBorders>
              <w:top w:val="nil"/>
              <w:left w:val="nil"/>
              <w:bottom w:val="nil"/>
              <w:right w:val="nil"/>
            </w:tcBorders>
            <w:shd w:val="clear" w:color="FFFFFF" w:fill="FFFFFF"/>
            <w:vAlign w:val="bottom"/>
            <w:hideMark/>
          </w:tcPr>
          <w:p w14:paraId="61A8E36B" w14:textId="77777777" w:rsidR="00A43992" w:rsidRDefault="00A43992" w:rsidP="007211E3">
            <w:pPr>
              <w:rPr>
                <w:rFonts w:ascii="Arial" w:hAnsi="Arial" w:cs="Arial"/>
                <w:b/>
                <w:bCs/>
                <w:sz w:val="18"/>
                <w:szCs w:val="18"/>
              </w:rPr>
            </w:pPr>
            <w:r>
              <w:rPr>
                <w:rFonts w:ascii="Arial" w:hAnsi="Arial" w:cs="Arial"/>
                <w:b/>
                <w:bCs/>
                <w:sz w:val="18"/>
                <w:szCs w:val="18"/>
              </w:rPr>
              <w:t>Other suppliers</w:t>
            </w:r>
          </w:p>
        </w:tc>
        <w:tc>
          <w:tcPr>
            <w:tcW w:w="1249" w:type="dxa"/>
            <w:tcBorders>
              <w:top w:val="nil"/>
              <w:left w:val="nil"/>
              <w:bottom w:val="nil"/>
              <w:right w:val="nil"/>
            </w:tcBorders>
            <w:shd w:val="clear" w:color="FFFFFF" w:fill="FFFFFF"/>
            <w:noWrap/>
            <w:vAlign w:val="bottom"/>
            <w:hideMark/>
          </w:tcPr>
          <w:p w14:paraId="27296B65" w14:textId="77777777" w:rsidR="00A43992" w:rsidRDefault="00A43992" w:rsidP="007211E3">
            <w:pPr>
              <w:rPr>
                <w:rFonts w:ascii="Arial" w:hAnsi="Arial" w:cs="Arial"/>
                <w:sz w:val="18"/>
                <w:szCs w:val="18"/>
              </w:rPr>
            </w:pPr>
            <w:r>
              <w:rPr>
                <w:rFonts w:ascii="Arial" w:hAnsi="Arial" w:cs="Arial"/>
                <w:sz w:val="18"/>
                <w:szCs w:val="18"/>
              </w:rPr>
              <w:t> </w:t>
            </w:r>
          </w:p>
        </w:tc>
        <w:tc>
          <w:tcPr>
            <w:tcW w:w="236" w:type="dxa"/>
            <w:tcBorders>
              <w:top w:val="nil"/>
              <w:left w:val="nil"/>
              <w:bottom w:val="nil"/>
              <w:right w:val="nil"/>
            </w:tcBorders>
            <w:shd w:val="clear" w:color="FFFFFF" w:fill="FFFFFF"/>
            <w:noWrap/>
            <w:vAlign w:val="bottom"/>
            <w:hideMark/>
          </w:tcPr>
          <w:p w14:paraId="7B09CE44" w14:textId="77777777" w:rsidR="00A43992" w:rsidRDefault="00A43992" w:rsidP="007211E3">
            <w:pPr>
              <w:rPr>
                <w:rFonts w:ascii="Arial" w:hAnsi="Arial" w:cs="Arial"/>
                <w:sz w:val="18"/>
                <w:szCs w:val="18"/>
              </w:rPr>
            </w:pPr>
            <w:r>
              <w:rPr>
                <w:rFonts w:ascii="Arial" w:hAnsi="Arial" w:cs="Arial"/>
                <w:sz w:val="18"/>
                <w:szCs w:val="18"/>
              </w:rPr>
              <w:t> </w:t>
            </w:r>
          </w:p>
        </w:tc>
        <w:tc>
          <w:tcPr>
            <w:tcW w:w="1249" w:type="dxa"/>
            <w:tcBorders>
              <w:top w:val="nil"/>
              <w:left w:val="nil"/>
              <w:bottom w:val="nil"/>
              <w:right w:val="nil"/>
            </w:tcBorders>
            <w:shd w:val="clear" w:color="FFFFFF" w:fill="FFFFFF"/>
            <w:noWrap/>
            <w:vAlign w:val="bottom"/>
            <w:hideMark/>
          </w:tcPr>
          <w:p w14:paraId="423AF8F8" w14:textId="77777777" w:rsidR="00A43992" w:rsidRDefault="00A43992" w:rsidP="007211E3">
            <w:pPr>
              <w:rPr>
                <w:rFonts w:ascii="Arial" w:hAnsi="Arial" w:cs="Arial"/>
                <w:sz w:val="18"/>
                <w:szCs w:val="18"/>
              </w:rPr>
            </w:pPr>
            <w:r>
              <w:rPr>
                <w:rFonts w:ascii="Arial" w:hAnsi="Arial" w:cs="Arial"/>
                <w:sz w:val="18"/>
                <w:szCs w:val="18"/>
              </w:rPr>
              <w:t> </w:t>
            </w:r>
          </w:p>
        </w:tc>
      </w:tr>
      <w:tr w:rsidR="00A43992" w14:paraId="595444F8" w14:textId="77777777" w:rsidTr="007211E3">
        <w:trPr>
          <w:trHeight w:val="255"/>
        </w:trPr>
        <w:tc>
          <w:tcPr>
            <w:tcW w:w="6353" w:type="dxa"/>
            <w:tcBorders>
              <w:top w:val="nil"/>
              <w:left w:val="nil"/>
              <w:bottom w:val="nil"/>
              <w:right w:val="nil"/>
            </w:tcBorders>
            <w:shd w:val="clear" w:color="FFFFFF" w:fill="FFFFFF"/>
            <w:noWrap/>
            <w:vAlign w:val="bottom"/>
            <w:hideMark/>
          </w:tcPr>
          <w:p w14:paraId="7A38313C" w14:textId="77777777" w:rsidR="00A43992" w:rsidRDefault="00A43992" w:rsidP="007211E3">
            <w:pPr>
              <w:ind w:firstLineChars="100" w:firstLine="180"/>
              <w:rPr>
                <w:rFonts w:ascii="Arial" w:hAnsi="Arial" w:cs="Arial"/>
                <w:sz w:val="18"/>
                <w:szCs w:val="18"/>
              </w:rPr>
            </w:pPr>
            <w:r>
              <w:rPr>
                <w:rFonts w:ascii="Arial" w:hAnsi="Arial" w:cs="Arial"/>
                <w:sz w:val="18"/>
                <w:szCs w:val="18"/>
              </w:rPr>
              <w:t>Operating lease rentals in connection with</w:t>
            </w:r>
          </w:p>
        </w:tc>
        <w:tc>
          <w:tcPr>
            <w:tcW w:w="1249" w:type="dxa"/>
            <w:tcBorders>
              <w:top w:val="nil"/>
              <w:left w:val="nil"/>
              <w:bottom w:val="nil"/>
              <w:right w:val="nil"/>
            </w:tcBorders>
            <w:shd w:val="clear" w:color="FFFFFF" w:fill="FFFFFF"/>
            <w:noWrap/>
            <w:vAlign w:val="bottom"/>
            <w:hideMark/>
          </w:tcPr>
          <w:p w14:paraId="58C5C24E" w14:textId="77777777" w:rsidR="00A43992" w:rsidRDefault="00A43992" w:rsidP="007211E3">
            <w:pPr>
              <w:rPr>
                <w:rFonts w:ascii="Arial" w:hAnsi="Arial" w:cs="Arial"/>
                <w:sz w:val="18"/>
                <w:szCs w:val="18"/>
              </w:rPr>
            </w:pPr>
            <w:r>
              <w:rPr>
                <w:rFonts w:ascii="Arial" w:hAnsi="Arial" w:cs="Arial"/>
                <w:sz w:val="18"/>
                <w:szCs w:val="18"/>
              </w:rPr>
              <w:t> </w:t>
            </w:r>
          </w:p>
        </w:tc>
        <w:tc>
          <w:tcPr>
            <w:tcW w:w="236" w:type="dxa"/>
            <w:tcBorders>
              <w:top w:val="nil"/>
              <w:left w:val="nil"/>
              <w:bottom w:val="nil"/>
              <w:right w:val="nil"/>
            </w:tcBorders>
            <w:shd w:val="clear" w:color="FFFFFF" w:fill="FFFFFF"/>
            <w:noWrap/>
            <w:vAlign w:val="bottom"/>
            <w:hideMark/>
          </w:tcPr>
          <w:p w14:paraId="35BC1FC0" w14:textId="77777777" w:rsidR="00A43992" w:rsidRDefault="00A43992" w:rsidP="007211E3">
            <w:pPr>
              <w:rPr>
                <w:rFonts w:ascii="Arial" w:hAnsi="Arial" w:cs="Arial"/>
                <w:sz w:val="18"/>
                <w:szCs w:val="18"/>
              </w:rPr>
            </w:pPr>
            <w:r>
              <w:rPr>
                <w:rFonts w:ascii="Arial" w:hAnsi="Arial" w:cs="Arial"/>
                <w:sz w:val="18"/>
                <w:szCs w:val="18"/>
              </w:rPr>
              <w:t> </w:t>
            </w:r>
          </w:p>
        </w:tc>
        <w:tc>
          <w:tcPr>
            <w:tcW w:w="1249" w:type="dxa"/>
            <w:tcBorders>
              <w:top w:val="nil"/>
              <w:left w:val="nil"/>
              <w:bottom w:val="nil"/>
              <w:right w:val="nil"/>
            </w:tcBorders>
            <w:shd w:val="clear" w:color="FFFFFF" w:fill="FFFFFF"/>
            <w:noWrap/>
            <w:vAlign w:val="bottom"/>
            <w:hideMark/>
          </w:tcPr>
          <w:p w14:paraId="0D1AD46E" w14:textId="77777777" w:rsidR="00A43992" w:rsidRDefault="00A43992" w:rsidP="007211E3">
            <w:pPr>
              <w:rPr>
                <w:rFonts w:ascii="Arial" w:hAnsi="Arial" w:cs="Arial"/>
                <w:sz w:val="18"/>
                <w:szCs w:val="18"/>
              </w:rPr>
            </w:pPr>
            <w:r>
              <w:rPr>
                <w:rFonts w:ascii="Arial" w:hAnsi="Arial" w:cs="Arial"/>
                <w:sz w:val="18"/>
                <w:szCs w:val="18"/>
              </w:rPr>
              <w:t> </w:t>
            </w:r>
          </w:p>
        </w:tc>
      </w:tr>
      <w:tr w:rsidR="00A43992" w14:paraId="79B4BB8A" w14:textId="77777777" w:rsidTr="007211E3">
        <w:trPr>
          <w:trHeight w:val="255"/>
        </w:trPr>
        <w:tc>
          <w:tcPr>
            <w:tcW w:w="6353" w:type="dxa"/>
            <w:tcBorders>
              <w:top w:val="nil"/>
              <w:left w:val="nil"/>
              <w:bottom w:val="nil"/>
              <w:right w:val="nil"/>
            </w:tcBorders>
            <w:shd w:val="clear" w:color="FFFFFF" w:fill="FFFFFF"/>
            <w:noWrap/>
            <w:vAlign w:val="bottom"/>
            <w:hideMark/>
          </w:tcPr>
          <w:p w14:paraId="10E6C31A" w14:textId="77777777" w:rsidR="00A43992" w:rsidRDefault="00A43992" w:rsidP="007211E3">
            <w:pPr>
              <w:ind w:firstLineChars="200" w:firstLine="360"/>
              <w:rPr>
                <w:rFonts w:ascii="Arial" w:hAnsi="Arial" w:cs="Arial"/>
                <w:sz w:val="18"/>
                <w:szCs w:val="18"/>
              </w:rPr>
            </w:pPr>
            <w:r>
              <w:rPr>
                <w:rFonts w:ascii="Arial" w:hAnsi="Arial" w:cs="Arial"/>
                <w:sz w:val="18"/>
                <w:szCs w:val="18"/>
              </w:rPr>
              <w:lastRenderedPageBreak/>
              <w:t>Minimum lease payments</w:t>
            </w:r>
          </w:p>
        </w:tc>
        <w:tc>
          <w:tcPr>
            <w:tcW w:w="1249" w:type="dxa"/>
            <w:tcBorders>
              <w:top w:val="nil"/>
              <w:left w:val="nil"/>
              <w:bottom w:val="nil"/>
              <w:right w:val="nil"/>
            </w:tcBorders>
            <w:shd w:val="clear" w:color="FFFFFF" w:fill="FFFFFF"/>
            <w:noWrap/>
            <w:vAlign w:val="bottom"/>
            <w:hideMark/>
          </w:tcPr>
          <w:p w14:paraId="7FD76A39" w14:textId="77777777" w:rsidR="00A43992" w:rsidRDefault="00A43992" w:rsidP="007211E3">
            <w:pPr>
              <w:jc w:val="right"/>
              <w:rPr>
                <w:rFonts w:ascii="Arial" w:hAnsi="Arial" w:cs="Arial"/>
                <w:b/>
                <w:bCs/>
                <w:sz w:val="18"/>
                <w:szCs w:val="18"/>
              </w:rPr>
            </w:pPr>
            <w:r>
              <w:rPr>
                <w:rFonts w:ascii="Arial" w:hAnsi="Arial" w:cs="Arial"/>
                <w:b/>
                <w:bCs/>
                <w:sz w:val="18"/>
                <w:szCs w:val="18"/>
              </w:rPr>
              <w:t>10,793</w:t>
            </w:r>
          </w:p>
        </w:tc>
        <w:tc>
          <w:tcPr>
            <w:tcW w:w="236" w:type="dxa"/>
            <w:tcBorders>
              <w:top w:val="nil"/>
              <w:left w:val="nil"/>
              <w:bottom w:val="nil"/>
              <w:right w:val="nil"/>
            </w:tcBorders>
            <w:shd w:val="clear" w:color="FFFFFF" w:fill="FFFFFF"/>
            <w:noWrap/>
            <w:vAlign w:val="bottom"/>
            <w:hideMark/>
          </w:tcPr>
          <w:p w14:paraId="06130C3D" w14:textId="77777777" w:rsidR="00A43992" w:rsidRDefault="00A43992" w:rsidP="007211E3">
            <w:pPr>
              <w:rPr>
                <w:rFonts w:ascii="Arial" w:hAnsi="Arial" w:cs="Arial"/>
                <w:sz w:val="18"/>
                <w:szCs w:val="18"/>
              </w:rPr>
            </w:pPr>
            <w:r>
              <w:rPr>
                <w:rFonts w:ascii="Arial" w:hAnsi="Arial" w:cs="Arial"/>
                <w:sz w:val="18"/>
                <w:szCs w:val="18"/>
              </w:rPr>
              <w:t> </w:t>
            </w:r>
          </w:p>
        </w:tc>
        <w:tc>
          <w:tcPr>
            <w:tcW w:w="1249" w:type="dxa"/>
            <w:tcBorders>
              <w:top w:val="nil"/>
              <w:left w:val="nil"/>
              <w:bottom w:val="nil"/>
              <w:right w:val="nil"/>
            </w:tcBorders>
            <w:shd w:val="clear" w:color="FFFFFF" w:fill="FFFFFF"/>
            <w:noWrap/>
            <w:vAlign w:val="bottom"/>
            <w:hideMark/>
          </w:tcPr>
          <w:p w14:paraId="23C939A2" w14:textId="77777777" w:rsidR="00A43992" w:rsidRDefault="00A43992" w:rsidP="007211E3">
            <w:pPr>
              <w:jc w:val="right"/>
              <w:rPr>
                <w:rFonts w:ascii="Arial" w:hAnsi="Arial" w:cs="Arial"/>
                <w:sz w:val="18"/>
                <w:szCs w:val="18"/>
              </w:rPr>
            </w:pPr>
            <w:r>
              <w:rPr>
                <w:rFonts w:ascii="Arial" w:hAnsi="Arial" w:cs="Arial"/>
                <w:sz w:val="18"/>
                <w:szCs w:val="18"/>
              </w:rPr>
              <w:t>6,157</w:t>
            </w:r>
          </w:p>
        </w:tc>
      </w:tr>
      <w:tr w:rsidR="00A43992" w14:paraId="55E4DFCC" w14:textId="77777777" w:rsidTr="007211E3">
        <w:trPr>
          <w:trHeight w:val="255"/>
        </w:trPr>
        <w:tc>
          <w:tcPr>
            <w:tcW w:w="6353" w:type="dxa"/>
            <w:tcBorders>
              <w:top w:val="nil"/>
              <w:left w:val="nil"/>
              <w:bottom w:val="nil"/>
              <w:right w:val="nil"/>
            </w:tcBorders>
            <w:shd w:val="clear" w:color="FFFFFF" w:fill="FFFFFF"/>
            <w:vAlign w:val="bottom"/>
            <w:hideMark/>
          </w:tcPr>
          <w:p w14:paraId="258B861C" w14:textId="77777777" w:rsidR="00A43992" w:rsidRDefault="00A43992" w:rsidP="007211E3">
            <w:pPr>
              <w:ind w:firstLineChars="100" w:firstLine="180"/>
              <w:rPr>
                <w:rFonts w:ascii="Arial" w:hAnsi="Arial" w:cs="Arial"/>
                <w:sz w:val="18"/>
                <w:szCs w:val="18"/>
              </w:rPr>
            </w:pPr>
            <w:r>
              <w:rPr>
                <w:rFonts w:ascii="Arial" w:hAnsi="Arial" w:cs="Arial"/>
                <w:sz w:val="18"/>
                <w:szCs w:val="18"/>
              </w:rPr>
              <w:t>Workers compensation expenses</w:t>
            </w:r>
          </w:p>
        </w:tc>
        <w:tc>
          <w:tcPr>
            <w:tcW w:w="1249" w:type="dxa"/>
            <w:tcBorders>
              <w:top w:val="nil"/>
              <w:left w:val="nil"/>
              <w:bottom w:val="nil"/>
              <w:right w:val="nil"/>
            </w:tcBorders>
            <w:shd w:val="clear" w:color="FFFFFF" w:fill="FFFFFF"/>
            <w:noWrap/>
            <w:vAlign w:val="bottom"/>
            <w:hideMark/>
          </w:tcPr>
          <w:p w14:paraId="74A4A614" w14:textId="77777777" w:rsidR="00A43992" w:rsidRDefault="00A43992" w:rsidP="007211E3">
            <w:pPr>
              <w:jc w:val="right"/>
              <w:rPr>
                <w:rFonts w:ascii="Arial" w:hAnsi="Arial" w:cs="Arial"/>
                <w:b/>
                <w:bCs/>
                <w:sz w:val="18"/>
                <w:szCs w:val="18"/>
              </w:rPr>
            </w:pPr>
            <w:r>
              <w:rPr>
                <w:rFonts w:ascii="Arial" w:hAnsi="Arial" w:cs="Arial"/>
                <w:b/>
                <w:bCs/>
                <w:sz w:val="18"/>
                <w:szCs w:val="18"/>
              </w:rPr>
              <w:t>1,381</w:t>
            </w:r>
          </w:p>
        </w:tc>
        <w:tc>
          <w:tcPr>
            <w:tcW w:w="236" w:type="dxa"/>
            <w:tcBorders>
              <w:top w:val="nil"/>
              <w:left w:val="nil"/>
              <w:bottom w:val="nil"/>
              <w:right w:val="nil"/>
            </w:tcBorders>
            <w:shd w:val="clear" w:color="FFFFFF" w:fill="FFFFFF"/>
            <w:noWrap/>
            <w:vAlign w:val="bottom"/>
            <w:hideMark/>
          </w:tcPr>
          <w:p w14:paraId="6B843929" w14:textId="77777777" w:rsidR="00A43992" w:rsidRDefault="00A43992" w:rsidP="007211E3">
            <w:pPr>
              <w:rPr>
                <w:rFonts w:ascii="Arial" w:hAnsi="Arial" w:cs="Arial"/>
                <w:sz w:val="18"/>
                <w:szCs w:val="18"/>
              </w:rPr>
            </w:pPr>
            <w:r>
              <w:rPr>
                <w:rFonts w:ascii="Arial" w:hAnsi="Arial" w:cs="Arial"/>
                <w:sz w:val="18"/>
                <w:szCs w:val="18"/>
              </w:rPr>
              <w:t> </w:t>
            </w:r>
          </w:p>
        </w:tc>
        <w:tc>
          <w:tcPr>
            <w:tcW w:w="1249" w:type="dxa"/>
            <w:tcBorders>
              <w:top w:val="nil"/>
              <w:left w:val="nil"/>
              <w:bottom w:val="nil"/>
              <w:right w:val="nil"/>
            </w:tcBorders>
            <w:shd w:val="clear" w:color="FFFFFF" w:fill="FFFFFF"/>
            <w:noWrap/>
            <w:vAlign w:val="bottom"/>
            <w:hideMark/>
          </w:tcPr>
          <w:p w14:paraId="4A91C950" w14:textId="77777777" w:rsidR="00A43992" w:rsidRDefault="00A43992" w:rsidP="007211E3">
            <w:pPr>
              <w:jc w:val="right"/>
              <w:rPr>
                <w:rFonts w:ascii="Arial" w:hAnsi="Arial" w:cs="Arial"/>
                <w:sz w:val="18"/>
                <w:szCs w:val="18"/>
              </w:rPr>
            </w:pPr>
            <w:r>
              <w:rPr>
                <w:rFonts w:ascii="Arial" w:hAnsi="Arial" w:cs="Arial"/>
                <w:sz w:val="18"/>
                <w:szCs w:val="18"/>
              </w:rPr>
              <w:t>1,461</w:t>
            </w:r>
          </w:p>
        </w:tc>
      </w:tr>
      <w:tr w:rsidR="00A43992" w14:paraId="4680C4FF" w14:textId="77777777" w:rsidTr="007211E3">
        <w:trPr>
          <w:trHeight w:val="255"/>
        </w:trPr>
        <w:tc>
          <w:tcPr>
            <w:tcW w:w="6353" w:type="dxa"/>
            <w:tcBorders>
              <w:top w:val="nil"/>
              <w:left w:val="nil"/>
              <w:bottom w:val="nil"/>
              <w:right w:val="nil"/>
            </w:tcBorders>
            <w:shd w:val="clear" w:color="FFFFFF" w:fill="FFFFFF"/>
            <w:vAlign w:val="bottom"/>
            <w:hideMark/>
          </w:tcPr>
          <w:p w14:paraId="486A77DD" w14:textId="77777777" w:rsidR="00A43992" w:rsidRDefault="00A43992" w:rsidP="007211E3">
            <w:pPr>
              <w:rPr>
                <w:rFonts w:ascii="Arial" w:hAnsi="Arial" w:cs="Arial"/>
                <w:b/>
                <w:bCs/>
                <w:sz w:val="18"/>
                <w:szCs w:val="18"/>
              </w:rPr>
            </w:pPr>
            <w:r>
              <w:rPr>
                <w:rFonts w:ascii="Arial" w:hAnsi="Arial" w:cs="Arial"/>
                <w:b/>
                <w:bCs/>
                <w:sz w:val="18"/>
                <w:szCs w:val="18"/>
              </w:rPr>
              <w:t>Total other suppliers</w:t>
            </w:r>
          </w:p>
        </w:tc>
        <w:tc>
          <w:tcPr>
            <w:tcW w:w="1249" w:type="dxa"/>
            <w:tcBorders>
              <w:top w:val="single" w:sz="4" w:space="0" w:color="auto"/>
              <w:left w:val="nil"/>
              <w:bottom w:val="single" w:sz="4" w:space="0" w:color="auto"/>
              <w:right w:val="nil"/>
            </w:tcBorders>
            <w:shd w:val="clear" w:color="FFFFFF" w:fill="FFFFFF"/>
            <w:noWrap/>
            <w:vAlign w:val="bottom"/>
            <w:hideMark/>
          </w:tcPr>
          <w:p w14:paraId="3785428F" w14:textId="77777777" w:rsidR="00A43992" w:rsidRDefault="00A43992" w:rsidP="007211E3">
            <w:pPr>
              <w:jc w:val="right"/>
              <w:rPr>
                <w:rFonts w:ascii="Arial" w:hAnsi="Arial" w:cs="Arial"/>
                <w:b/>
                <w:bCs/>
                <w:sz w:val="18"/>
                <w:szCs w:val="18"/>
              </w:rPr>
            </w:pPr>
            <w:r>
              <w:rPr>
                <w:rFonts w:ascii="Arial" w:hAnsi="Arial" w:cs="Arial"/>
                <w:b/>
                <w:bCs/>
                <w:sz w:val="18"/>
                <w:szCs w:val="18"/>
              </w:rPr>
              <w:t>12,174</w:t>
            </w:r>
          </w:p>
        </w:tc>
        <w:tc>
          <w:tcPr>
            <w:tcW w:w="236" w:type="dxa"/>
            <w:tcBorders>
              <w:top w:val="nil"/>
              <w:left w:val="nil"/>
              <w:bottom w:val="nil"/>
              <w:right w:val="nil"/>
            </w:tcBorders>
            <w:shd w:val="clear" w:color="FFFFFF" w:fill="FFFFFF"/>
            <w:noWrap/>
            <w:vAlign w:val="bottom"/>
            <w:hideMark/>
          </w:tcPr>
          <w:p w14:paraId="0E5749A9" w14:textId="77777777" w:rsidR="00A43992" w:rsidRDefault="00A43992" w:rsidP="007211E3">
            <w:pPr>
              <w:rPr>
                <w:rFonts w:ascii="Arial" w:hAnsi="Arial" w:cs="Arial"/>
                <w:sz w:val="18"/>
                <w:szCs w:val="18"/>
              </w:rPr>
            </w:pPr>
            <w:r>
              <w:rPr>
                <w:rFonts w:ascii="Arial" w:hAnsi="Arial" w:cs="Arial"/>
                <w:sz w:val="18"/>
                <w:szCs w:val="18"/>
              </w:rPr>
              <w:t> </w:t>
            </w:r>
          </w:p>
        </w:tc>
        <w:tc>
          <w:tcPr>
            <w:tcW w:w="1249" w:type="dxa"/>
            <w:tcBorders>
              <w:top w:val="single" w:sz="4" w:space="0" w:color="auto"/>
              <w:left w:val="nil"/>
              <w:bottom w:val="single" w:sz="4" w:space="0" w:color="auto"/>
              <w:right w:val="nil"/>
            </w:tcBorders>
            <w:shd w:val="clear" w:color="FFFFFF" w:fill="FFFFFF"/>
            <w:noWrap/>
            <w:vAlign w:val="bottom"/>
            <w:hideMark/>
          </w:tcPr>
          <w:p w14:paraId="45B1867A" w14:textId="77777777" w:rsidR="00A43992" w:rsidRDefault="00A43992" w:rsidP="007211E3">
            <w:pPr>
              <w:jc w:val="right"/>
              <w:rPr>
                <w:rFonts w:ascii="Arial" w:hAnsi="Arial" w:cs="Arial"/>
                <w:sz w:val="18"/>
                <w:szCs w:val="18"/>
              </w:rPr>
            </w:pPr>
            <w:r>
              <w:rPr>
                <w:rFonts w:ascii="Arial" w:hAnsi="Arial" w:cs="Arial"/>
                <w:sz w:val="18"/>
                <w:szCs w:val="18"/>
              </w:rPr>
              <w:t>7,618</w:t>
            </w:r>
          </w:p>
        </w:tc>
      </w:tr>
      <w:tr w:rsidR="00A43992" w14:paraId="7CD3D60C" w14:textId="77777777" w:rsidTr="007211E3">
        <w:trPr>
          <w:trHeight w:val="255"/>
        </w:trPr>
        <w:tc>
          <w:tcPr>
            <w:tcW w:w="6353" w:type="dxa"/>
            <w:tcBorders>
              <w:top w:val="nil"/>
              <w:left w:val="nil"/>
              <w:bottom w:val="nil"/>
              <w:right w:val="nil"/>
            </w:tcBorders>
            <w:shd w:val="clear" w:color="FFFFFF" w:fill="FFFFFF"/>
            <w:vAlign w:val="bottom"/>
            <w:hideMark/>
          </w:tcPr>
          <w:p w14:paraId="551239D6" w14:textId="77777777" w:rsidR="00A43992" w:rsidRDefault="00A43992" w:rsidP="007211E3">
            <w:pPr>
              <w:rPr>
                <w:rFonts w:ascii="Arial" w:hAnsi="Arial" w:cs="Arial"/>
                <w:b/>
                <w:bCs/>
                <w:sz w:val="18"/>
                <w:szCs w:val="18"/>
              </w:rPr>
            </w:pPr>
            <w:r>
              <w:rPr>
                <w:rFonts w:ascii="Arial" w:hAnsi="Arial" w:cs="Arial"/>
                <w:b/>
                <w:bCs/>
                <w:sz w:val="18"/>
                <w:szCs w:val="18"/>
              </w:rPr>
              <w:t>Total suppliers</w:t>
            </w:r>
          </w:p>
        </w:tc>
        <w:tc>
          <w:tcPr>
            <w:tcW w:w="1249" w:type="dxa"/>
            <w:tcBorders>
              <w:top w:val="nil"/>
              <w:left w:val="nil"/>
              <w:bottom w:val="single" w:sz="4" w:space="0" w:color="auto"/>
              <w:right w:val="nil"/>
            </w:tcBorders>
            <w:shd w:val="clear" w:color="FFFFFF" w:fill="FFFFFF"/>
            <w:noWrap/>
            <w:vAlign w:val="bottom"/>
            <w:hideMark/>
          </w:tcPr>
          <w:p w14:paraId="3741A05B" w14:textId="77777777" w:rsidR="00A43992" w:rsidRDefault="00A43992" w:rsidP="007211E3">
            <w:pPr>
              <w:jc w:val="right"/>
              <w:rPr>
                <w:rFonts w:ascii="Arial" w:hAnsi="Arial" w:cs="Arial"/>
                <w:b/>
                <w:bCs/>
                <w:sz w:val="18"/>
                <w:szCs w:val="18"/>
              </w:rPr>
            </w:pPr>
            <w:r>
              <w:rPr>
                <w:rFonts w:ascii="Arial" w:hAnsi="Arial" w:cs="Arial"/>
                <w:b/>
                <w:bCs/>
                <w:sz w:val="18"/>
                <w:szCs w:val="18"/>
              </w:rPr>
              <w:t>114,490</w:t>
            </w:r>
          </w:p>
        </w:tc>
        <w:tc>
          <w:tcPr>
            <w:tcW w:w="236" w:type="dxa"/>
            <w:tcBorders>
              <w:top w:val="nil"/>
              <w:left w:val="nil"/>
              <w:bottom w:val="nil"/>
              <w:right w:val="nil"/>
            </w:tcBorders>
            <w:shd w:val="clear" w:color="FFFFFF" w:fill="FFFFFF"/>
            <w:noWrap/>
            <w:vAlign w:val="bottom"/>
            <w:hideMark/>
          </w:tcPr>
          <w:p w14:paraId="6BB1A630" w14:textId="77777777" w:rsidR="00A43992" w:rsidRDefault="00A43992" w:rsidP="007211E3">
            <w:pPr>
              <w:rPr>
                <w:rFonts w:ascii="Arial" w:hAnsi="Arial" w:cs="Arial"/>
                <w:sz w:val="18"/>
                <w:szCs w:val="18"/>
              </w:rPr>
            </w:pPr>
            <w:r>
              <w:rPr>
                <w:rFonts w:ascii="Arial" w:hAnsi="Arial" w:cs="Arial"/>
                <w:sz w:val="18"/>
                <w:szCs w:val="18"/>
              </w:rPr>
              <w:t> </w:t>
            </w:r>
          </w:p>
        </w:tc>
        <w:tc>
          <w:tcPr>
            <w:tcW w:w="1249" w:type="dxa"/>
            <w:tcBorders>
              <w:top w:val="nil"/>
              <w:left w:val="nil"/>
              <w:bottom w:val="single" w:sz="4" w:space="0" w:color="auto"/>
              <w:right w:val="nil"/>
            </w:tcBorders>
            <w:shd w:val="clear" w:color="FFFFFF" w:fill="FFFFFF"/>
            <w:noWrap/>
            <w:vAlign w:val="bottom"/>
            <w:hideMark/>
          </w:tcPr>
          <w:p w14:paraId="19416531" w14:textId="77777777" w:rsidR="00A43992" w:rsidRDefault="00A43992" w:rsidP="007211E3">
            <w:pPr>
              <w:jc w:val="right"/>
              <w:rPr>
                <w:rFonts w:ascii="Arial" w:hAnsi="Arial" w:cs="Arial"/>
                <w:sz w:val="18"/>
                <w:szCs w:val="18"/>
              </w:rPr>
            </w:pPr>
            <w:r>
              <w:rPr>
                <w:rFonts w:ascii="Arial" w:hAnsi="Arial" w:cs="Arial"/>
                <w:sz w:val="18"/>
                <w:szCs w:val="18"/>
              </w:rPr>
              <w:t>82,923</w:t>
            </w:r>
          </w:p>
        </w:tc>
      </w:tr>
      <w:tr w:rsidR="00A43992" w14:paraId="3AE9EEF5" w14:textId="77777777" w:rsidTr="007211E3">
        <w:trPr>
          <w:trHeight w:val="255"/>
        </w:trPr>
        <w:tc>
          <w:tcPr>
            <w:tcW w:w="6353" w:type="dxa"/>
            <w:tcBorders>
              <w:top w:val="nil"/>
              <w:left w:val="nil"/>
              <w:bottom w:val="nil"/>
              <w:right w:val="nil"/>
            </w:tcBorders>
            <w:shd w:val="clear" w:color="FFFFFF" w:fill="FFFFFF"/>
            <w:vAlign w:val="bottom"/>
            <w:hideMark/>
          </w:tcPr>
          <w:p w14:paraId="65C794FA" w14:textId="77777777" w:rsidR="00A43992" w:rsidRDefault="00A43992" w:rsidP="007211E3">
            <w:pPr>
              <w:rPr>
                <w:rFonts w:ascii="Arial" w:hAnsi="Arial" w:cs="Arial"/>
                <w:b/>
                <w:bCs/>
                <w:sz w:val="18"/>
                <w:szCs w:val="18"/>
              </w:rPr>
            </w:pPr>
            <w:r>
              <w:rPr>
                <w:rFonts w:ascii="Arial" w:hAnsi="Arial" w:cs="Arial"/>
                <w:b/>
                <w:bCs/>
                <w:sz w:val="18"/>
                <w:szCs w:val="18"/>
              </w:rPr>
              <w:t> </w:t>
            </w:r>
          </w:p>
        </w:tc>
        <w:tc>
          <w:tcPr>
            <w:tcW w:w="1249" w:type="dxa"/>
            <w:tcBorders>
              <w:top w:val="nil"/>
              <w:left w:val="nil"/>
              <w:bottom w:val="nil"/>
              <w:right w:val="nil"/>
            </w:tcBorders>
            <w:shd w:val="clear" w:color="FFFFFF" w:fill="FFFFFF"/>
            <w:noWrap/>
            <w:vAlign w:val="bottom"/>
            <w:hideMark/>
          </w:tcPr>
          <w:p w14:paraId="34AB1629" w14:textId="77777777" w:rsidR="00A43992" w:rsidRDefault="00A43992" w:rsidP="007211E3">
            <w:pPr>
              <w:jc w:val="right"/>
              <w:rPr>
                <w:rFonts w:ascii="Arial" w:hAnsi="Arial" w:cs="Arial"/>
                <w:b/>
                <w:bCs/>
                <w:sz w:val="18"/>
                <w:szCs w:val="18"/>
              </w:rPr>
            </w:pPr>
            <w:r>
              <w:rPr>
                <w:rFonts w:ascii="Arial" w:hAnsi="Arial" w:cs="Arial"/>
                <w:b/>
                <w:bCs/>
                <w:sz w:val="18"/>
                <w:szCs w:val="18"/>
              </w:rPr>
              <w:t> </w:t>
            </w:r>
          </w:p>
        </w:tc>
        <w:tc>
          <w:tcPr>
            <w:tcW w:w="236" w:type="dxa"/>
            <w:tcBorders>
              <w:top w:val="nil"/>
              <w:left w:val="nil"/>
              <w:bottom w:val="nil"/>
              <w:right w:val="nil"/>
            </w:tcBorders>
            <w:shd w:val="clear" w:color="FFFFFF" w:fill="FFFFFF"/>
            <w:noWrap/>
            <w:vAlign w:val="bottom"/>
            <w:hideMark/>
          </w:tcPr>
          <w:p w14:paraId="227DE67B" w14:textId="77777777" w:rsidR="00A43992" w:rsidRDefault="00A43992" w:rsidP="007211E3">
            <w:pPr>
              <w:rPr>
                <w:rFonts w:ascii="Arial" w:hAnsi="Arial" w:cs="Arial"/>
                <w:sz w:val="18"/>
                <w:szCs w:val="18"/>
              </w:rPr>
            </w:pPr>
            <w:r>
              <w:rPr>
                <w:rFonts w:ascii="Arial" w:hAnsi="Arial" w:cs="Arial"/>
                <w:sz w:val="18"/>
                <w:szCs w:val="18"/>
              </w:rPr>
              <w:t> </w:t>
            </w:r>
          </w:p>
        </w:tc>
        <w:tc>
          <w:tcPr>
            <w:tcW w:w="1249" w:type="dxa"/>
            <w:tcBorders>
              <w:top w:val="nil"/>
              <w:left w:val="nil"/>
              <w:bottom w:val="nil"/>
              <w:right w:val="nil"/>
            </w:tcBorders>
            <w:shd w:val="clear" w:color="FFFFFF" w:fill="FFFFFF"/>
            <w:noWrap/>
            <w:vAlign w:val="bottom"/>
            <w:hideMark/>
          </w:tcPr>
          <w:p w14:paraId="52FFD061" w14:textId="77777777" w:rsidR="00A43992" w:rsidRDefault="00A43992" w:rsidP="007211E3">
            <w:pPr>
              <w:jc w:val="right"/>
              <w:rPr>
                <w:rFonts w:ascii="Arial" w:hAnsi="Arial" w:cs="Arial"/>
                <w:b/>
                <w:bCs/>
                <w:sz w:val="18"/>
                <w:szCs w:val="18"/>
              </w:rPr>
            </w:pPr>
            <w:r>
              <w:rPr>
                <w:rFonts w:ascii="Arial" w:hAnsi="Arial" w:cs="Arial"/>
                <w:b/>
                <w:bCs/>
                <w:sz w:val="18"/>
                <w:szCs w:val="18"/>
              </w:rPr>
              <w:t> </w:t>
            </w:r>
          </w:p>
        </w:tc>
      </w:tr>
      <w:tr w:rsidR="00A43992" w14:paraId="74144EAA" w14:textId="77777777" w:rsidTr="007211E3">
        <w:trPr>
          <w:trHeight w:val="255"/>
        </w:trPr>
        <w:tc>
          <w:tcPr>
            <w:tcW w:w="6353" w:type="dxa"/>
            <w:tcBorders>
              <w:top w:val="nil"/>
              <w:left w:val="nil"/>
              <w:bottom w:val="nil"/>
              <w:right w:val="nil"/>
            </w:tcBorders>
            <w:shd w:val="clear" w:color="FFFFFF" w:fill="FFFFFF"/>
            <w:vAlign w:val="bottom"/>
            <w:hideMark/>
          </w:tcPr>
          <w:p w14:paraId="3B80FF0D" w14:textId="77777777" w:rsidR="00A43992" w:rsidRDefault="00A43992" w:rsidP="007211E3">
            <w:pPr>
              <w:rPr>
                <w:rFonts w:ascii="Arial" w:hAnsi="Arial" w:cs="Arial"/>
                <w:b/>
                <w:bCs/>
                <w:sz w:val="18"/>
                <w:szCs w:val="18"/>
              </w:rPr>
            </w:pPr>
            <w:r>
              <w:rPr>
                <w:rFonts w:ascii="Arial" w:hAnsi="Arial" w:cs="Arial"/>
                <w:b/>
                <w:bCs/>
                <w:sz w:val="18"/>
                <w:szCs w:val="18"/>
              </w:rPr>
              <w:t> </w:t>
            </w:r>
          </w:p>
        </w:tc>
        <w:tc>
          <w:tcPr>
            <w:tcW w:w="1249" w:type="dxa"/>
            <w:tcBorders>
              <w:top w:val="nil"/>
              <w:left w:val="nil"/>
              <w:bottom w:val="nil"/>
              <w:right w:val="nil"/>
            </w:tcBorders>
            <w:shd w:val="clear" w:color="FFFFFF" w:fill="FFFFFF"/>
            <w:vAlign w:val="bottom"/>
            <w:hideMark/>
          </w:tcPr>
          <w:p w14:paraId="5EC56B97" w14:textId="77777777" w:rsidR="00A43992" w:rsidRDefault="00A43992" w:rsidP="007211E3">
            <w:pPr>
              <w:rPr>
                <w:rFonts w:ascii="Arial" w:hAnsi="Arial" w:cs="Arial"/>
                <w:b/>
                <w:bCs/>
                <w:sz w:val="18"/>
                <w:szCs w:val="18"/>
              </w:rPr>
            </w:pPr>
            <w:r>
              <w:rPr>
                <w:rFonts w:ascii="Arial" w:hAnsi="Arial" w:cs="Arial"/>
                <w:b/>
                <w:bCs/>
                <w:sz w:val="18"/>
                <w:szCs w:val="18"/>
              </w:rPr>
              <w:t> </w:t>
            </w:r>
          </w:p>
        </w:tc>
        <w:tc>
          <w:tcPr>
            <w:tcW w:w="236" w:type="dxa"/>
            <w:tcBorders>
              <w:top w:val="nil"/>
              <w:left w:val="nil"/>
              <w:bottom w:val="nil"/>
              <w:right w:val="nil"/>
            </w:tcBorders>
            <w:shd w:val="clear" w:color="FFFFFF" w:fill="FFFFFF"/>
            <w:vAlign w:val="bottom"/>
            <w:hideMark/>
          </w:tcPr>
          <w:p w14:paraId="56BD5FD6" w14:textId="77777777" w:rsidR="00A43992" w:rsidRDefault="00A43992" w:rsidP="007211E3">
            <w:pPr>
              <w:rPr>
                <w:rFonts w:ascii="Arial" w:hAnsi="Arial" w:cs="Arial"/>
                <w:b/>
                <w:bCs/>
                <w:sz w:val="18"/>
                <w:szCs w:val="18"/>
              </w:rPr>
            </w:pPr>
            <w:r>
              <w:rPr>
                <w:rFonts w:ascii="Arial" w:hAnsi="Arial" w:cs="Arial"/>
                <w:b/>
                <w:bCs/>
                <w:sz w:val="18"/>
                <w:szCs w:val="18"/>
              </w:rPr>
              <w:t> </w:t>
            </w:r>
          </w:p>
        </w:tc>
        <w:tc>
          <w:tcPr>
            <w:tcW w:w="1249" w:type="dxa"/>
            <w:tcBorders>
              <w:top w:val="nil"/>
              <w:left w:val="nil"/>
              <w:bottom w:val="nil"/>
              <w:right w:val="nil"/>
            </w:tcBorders>
            <w:shd w:val="clear" w:color="FFFFFF" w:fill="FFFFFF"/>
            <w:vAlign w:val="bottom"/>
            <w:hideMark/>
          </w:tcPr>
          <w:p w14:paraId="3A1288BB" w14:textId="77777777" w:rsidR="00A43992" w:rsidRDefault="00A43992" w:rsidP="007211E3">
            <w:pPr>
              <w:rPr>
                <w:rFonts w:ascii="Arial" w:hAnsi="Arial" w:cs="Arial"/>
                <w:b/>
                <w:bCs/>
                <w:sz w:val="18"/>
                <w:szCs w:val="18"/>
              </w:rPr>
            </w:pPr>
            <w:r>
              <w:rPr>
                <w:rFonts w:ascii="Arial" w:hAnsi="Arial" w:cs="Arial"/>
                <w:b/>
                <w:bCs/>
                <w:sz w:val="18"/>
                <w:szCs w:val="18"/>
              </w:rPr>
              <w:t> </w:t>
            </w:r>
          </w:p>
        </w:tc>
      </w:tr>
      <w:tr w:rsidR="00A43992" w14:paraId="37DDCB3A" w14:textId="77777777" w:rsidTr="007211E3">
        <w:trPr>
          <w:trHeight w:val="495"/>
        </w:trPr>
        <w:tc>
          <w:tcPr>
            <w:tcW w:w="7602" w:type="dxa"/>
            <w:gridSpan w:val="2"/>
            <w:tcBorders>
              <w:top w:val="nil"/>
              <w:left w:val="nil"/>
              <w:bottom w:val="nil"/>
              <w:right w:val="nil"/>
            </w:tcBorders>
            <w:shd w:val="clear" w:color="FFFFFF" w:fill="FFFFFF"/>
            <w:hideMark/>
          </w:tcPr>
          <w:p w14:paraId="4A1ABCB4" w14:textId="77777777" w:rsidR="00A43992" w:rsidRDefault="00A43992" w:rsidP="007211E3">
            <w:pPr>
              <w:rPr>
                <w:rFonts w:ascii="Arial" w:hAnsi="Arial" w:cs="Arial"/>
                <w:b/>
                <w:bCs/>
                <w:sz w:val="18"/>
                <w:szCs w:val="18"/>
              </w:rPr>
            </w:pPr>
            <w:r>
              <w:rPr>
                <w:rFonts w:ascii="Arial" w:hAnsi="Arial" w:cs="Arial"/>
                <w:b/>
                <w:bCs/>
                <w:sz w:val="18"/>
                <w:szCs w:val="18"/>
              </w:rPr>
              <w:t>Commitments for minimum lease payments in relation to non-cancellable</w:t>
            </w:r>
            <w:r>
              <w:rPr>
                <w:rFonts w:ascii="Arial" w:hAnsi="Arial" w:cs="Arial"/>
                <w:b/>
                <w:bCs/>
                <w:sz w:val="18"/>
                <w:szCs w:val="18"/>
              </w:rPr>
              <w:br/>
              <w:t>operating leases are payable as follows:</w:t>
            </w:r>
          </w:p>
        </w:tc>
        <w:tc>
          <w:tcPr>
            <w:tcW w:w="236" w:type="dxa"/>
            <w:tcBorders>
              <w:top w:val="nil"/>
              <w:left w:val="nil"/>
              <w:bottom w:val="nil"/>
              <w:right w:val="nil"/>
            </w:tcBorders>
            <w:shd w:val="clear" w:color="FFFFFF" w:fill="FFFFFF"/>
            <w:vAlign w:val="bottom"/>
            <w:hideMark/>
          </w:tcPr>
          <w:p w14:paraId="7EC6236C" w14:textId="77777777" w:rsidR="00A43992" w:rsidRDefault="00A43992" w:rsidP="007211E3">
            <w:pPr>
              <w:rPr>
                <w:rFonts w:ascii="Arial" w:hAnsi="Arial" w:cs="Arial"/>
                <w:b/>
                <w:bCs/>
                <w:sz w:val="18"/>
                <w:szCs w:val="18"/>
              </w:rPr>
            </w:pPr>
            <w:r>
              <w:rPr>
                <w:rFonts w:ascii="Arial" w:hAnsi="Arial" w:cs="Arial"/>
                <w:b/>
                <w:bCs/>
                <w:sz w:val="18"/>
                <w:szCs w:val="18"/>
              </w:rPr>
              <w:t> </w:t>
            </w:r>
          </w:p>
        </w:tc>
        <w:tc>
          <w:tcPr>
            <w:tcW w:w="1249" w:type="dxa"/>
            <w:tcBorders>
              <w:top w:val="nil"/>
              <w:left w:val="nil"/>
              <w:bottom w:val="nil"/>
              <w:right w:val="nil"/>
            </w:tcBorders>
            <w:shd w:val="clear" w:color="FFFFFF" w:fill="FFFFFF"/>
            <w:vAlign w:val="bottom"/>
            <w:hideMark/>
          </w:tcPr>
          <w:p w14:paraId="1249E4DE" w14:textId="77777777" w:rsidR="00A43992" w:rsidRDefault="00A43992" w:rsidP="007211E3">
            <w:pPr>
              <w:rPr>
                <w:rFonts w:ascii="Arial" w:hAnsi="Arial" w:cs="Arial"/>
                <w:b/>
                <w:bCs/>
                <w:sz w:val="18"/>
                <w:szCs w:val="18"/>
              </w:rPr>
            </w:pPr>
            <w:r>
              <w:rPr>
                <w:rFonts w:ascii="Arial" w:hAnsi="Arial" w:cs="Arial"/>
                <w:b/>
                <w:bCs/>
                <w:sz w:val="18"/>
                <w:szCs w:val="18"/>
              </w:rPr>
              <w:t> </w:t>
            </w:r>
          </w:p>
        </w:tc>
      </w:tr>
      <w:tr w:rsidR="00A43992" w14:paraId="708E4BC0" w14:textId="77777777" w:rsidTr="007211E3">
        <w:trPr>
          <w:trHeight w:val="255"/>
        </w:trPr>
        <w:tc>
          <w:tcPr>
            <w:tcW w:w="6353" w:type="dxa"/>
            <w:tcBorders>
              <w:top w:val="nil"/>
              <w:left w:val="nil"/>
              <w:bottom w:val="nil"/>
              <w:right w:val="nil"/>
            </w:tcBorders>
            <w:shd w:val="clear" w:color="FFFFFF" w:fill="FFFFFF"/>
            <w:noWrap/>
            <w:vAlign w:val="bottom"/>
            <w:hideMark/>
          </w:tcPr>
          <w:p w14:paraId="52CA3AD9" w14:textId="77777777" w:rsidR="00A43992" w:rsidRDefault="00A43992" w:rsidP="007211E3">
            <w:pPr>
              <w:ind w:firstLineChars="100" w:firstLine="180"/>
              <w:rPr>
                <w:rFonts w:ascii="Arial" w:hAnsi="Arial" w:cs="Arial"/>
                <w:sz w:val="18"/>
                <w:szCs w:val="18"/>
              </w:rPr>
            </w:pPr>
            <w:r>
              <w:rPr>
                <w:rFonts w:ascii="Arial" w:hAnsi="Arial" w:cs="Arial"/>
                <w:sz w:val="18"/>
                <w:szCs w:val="18"/>
              </w:rPr>
              <w:t>Within 1 year</w:t>
            </w:r>
          </w:p>
        </w:tc>
        <w:tc>
          <w:tcPr>
            <w:tcW w:w="1249" w:type="dxa"/>
            <w:tcBorders>
              <w:top w:val="nil"/>
              <w:left w:val="nil"/>
              <w:bottom w:val="nil"/>
              <w:right w:val="nil"/>
            </w:tcBorders>
            <w:shd w:val="clear" w:color="FFFFFF" w:fill="FFFFFF"/>
            <w:noWrap/>
            <w:vAlign w:val="bottom"/>
            <w:hideMark/>
          </w:tcPr>
          <w:p w14:paraId="33407B50" w14:textId="77777777" w:rsidR="00A43992" w:rsidRDefault="00A43992" w:rsidP="007211E3">
            <w:pPr>
              <w:jc w:val="right"/>
              <w:rPr>
                <w:rFonts w:ascii="Arial" w:hAnsi="Arial" w:cs="Arial"/>
                <w:b/>
                <w:bCs/>
                <w:sz w:val="18"/>
                <w:szCs w:val="18"/>
              </w:rPr>
            </w:pPr>
            <w:r>
              <w:rPr>
                <w:rFonts w:ascii="Arial" w:hAnsi="Arial" w:cs="Arial"/>
                <w:b/>
                <w:bCs/>
                <w:sz w:val="18"/>
                <w:szCs w:val="18"/>
              </w:rPr>
              <w:t>6,776</w:t>
            </w:r>
          </w:p>
        </w:tc>
        <w:tc>
          <w:tcPr>
            <w:tcW w:w="236" w:type="dxa"/>
            <w:tcBorders>
              <w:top w:val="nil"/>
              <w:left w:val="nil"/>
              <w:bottom w:val="nil"/>
              <w:right w:val="nil"/>
            </w:tcBorders>
            <w:shd w:val="clear" w:color="FFFFFF" w:fill="FFFFFF"/>
            <w:vAlign w:val="bottom"/>
            <w:hideMark/>
          </w:tcPr>
          <w:p w14:paraId="4BC775CB" w14:textId="77777777" w:rsidR="00A43992" w:rsidRDefault="00A43992" w:rsidP="007211E3">
            <w:pPr>
              <w:rPr>
                <w:rFonts w:ascii="Arial" w:hAnsi="Arial" w:cs="Arial"/>
                <w:b/>
                <w:bCs/>
                <w:sz w:val="18"/>
                <w:szCs w:val="18"/>
              </w:rPr>
            </w:pPr>
            <w:r>
              <w:rPr>
                <w:rFonts w:ascii="Arial" w:hAnsi="Arial" w:cs="Arial"/>
                <w:b/>
                <w:bCs/>
                <w:sz w:val="18"/>
                <w:szCs w:val="18"/>
              </w:rPr>
              <w:t> </w:t>
            </w:r>
          </w:p>
        </w:tc>
        <w:tc>
          <w:tcPr>
            <w:tcW w:w="1249" w:type="dxa"/>
            <w:tcBorders>
              <w:top w:val="nil"/>
              <w:left w:val="nil"/>
              <w:bottom w:val="nil"/>
              <w:right w:val="nil"/>
            </w:tcBorders>
            <w:shd w:val="clear" w:color="FFFFFF" w:fill="FFFFFF"/>
            <w:noWrap/>
            <w:vAlign w:val="bottom"/>
            <w:hideMark/>
          </w:tcPr>
          <w:p w14:paraId="3DFEBC65" w14:textId="77777777" w:rsidR="00A43992" w:rsidRDefault="00A43992" w:rsidP="007211E3">
            <w:pPr>
              <w:jc w:val="right"/>
              <w:rPr>
                <w:rFonts w:ascii="Arial" w:hAnsi="Arial" w:cs="Arial"/>
                <w:sz w:val="18"/>
                <w:szCs w:val="18"/>
              </w:rPr>
            </w:pPr>
            <w:r>
              <w:rPr>
                <w:rFonts w:ascii="Arial" w:hAnsi="Arial" w:cs="Arial"/>
                <w:sz w:val="18"/>
                <w:szCs w:val="18"/>
              </w:rPr>
              <w:t>6,534</w:t>
            </w:r>
          </w:p>
        </w:tc>
      </w:tr>
      <w:tr w:rsidR="00A43992" w14:paraId="0F428818" w14:textId="77777777" w:rsidTr="007211E3">
        <w:trPr>
          <w:trHeight w:val="255"/>
        </w:trPr>
        <w:tc>
          <w:tcPr>
            <w:tcW w:w="6353" w:type="dxa"/>
            <w:tcBorders>
              <w:top w:val="nil"/>
              <w:left w:val="nil"/>
              <w:bottom w:val="nil"/>
              <w:right w:val="nil"/>
            </w:tcBorders>
            <w:shd w:val="clear" w:color="FFFFFF" w:fill="FFFFFF"/>
            <w:noWrap/>
            <w:vAlign w:val="bottom"/>
            <w:hideMark/>
          </w:tcPr>
          <w:p w14:paraId="1DFCF585" w14:textId="77777777" w:rsidR="00A43992" w:rsidRDefault="00A43992" w:rsidP="007211E3">
            <w:pPr>
              <w:ind w:firstLineChars="100" w:firstLine="180"/>
              <w:rPr>
                <w:rFonts w:ascii="Arial" w:hAnsi="Arial" w:cs="Arial"/>
                <w:sz w:val="18"/>
                <w:szCs w:val="18"/>
              </w:rPr>
            </w:pPr>
            <w:r>
              <w:rPr>
                <w:rFonts w:ascii="Arial" w:hAnsi="Arial" w:cs="Arial"/>
                <w:sz w:val="18"/>
                <w:szCs w:val="18"/>
              </w:rPr>
              <w:t>Between 1 to 5 years</w:t>
            </w:r>
          </w:p>
        </w:tc>
        <w:tc>
          <w:tcPr>
            <w:tcW w:w="1249" w:type="dxa"/>
            <w:tcBorders>
              <w:top w:val="nil"/>
              <w:left w:val="nil"/>
              <w:bottom w:val="nil"/>
              <w:right w:val="nil"/>
            </w:tcBorders>
            <w:shd w:val="clear" w:color="FFFFFF" w:fill="FFFFFF"/>
            <w:noWrap/>
            <w:vAlign w:val="bottom"/>
            <w:hideMark/>
          </w:tcPr>
          <w:p w14:paraId="0C63B108" w14:textId="77777777" w:rsidR="00A43992" w:rsidRDefault="00A43992" w:rsidP="007211E3">
            <w:pPr>
              <w:jc w:val="right"/>
              <w:rPr>
                <w:rFonts w:ascii="Arial" w:hAnsi="Arial" w:cs="Arial"/>
                <w:b/>
                <w:bCs/>
                <w:sz w:val="18"/>
                <w:szCs w:val="18"/>
              </w:rPr>
            </w:pPr>
            <w:r>
              <w:rPr>
                <w:rFonts w:ascii="Arial" w:hAnsi="Arial" w:cs="Arial"/>
                <w:b/>
                <w:bCs/>
                <w:sz w:val="18"/>
                <w:szCs w:val="18"/>
              </w:rPr>
              <w:t>14,289</w:t>
            </w:r>
          </w:p>
        </w:tc>
        <w:tc>
          <w:tcPr>
            <w:tcW w:w="236" w:type="dxa"/>
            <w:tcBorders>
              <w:top w:val="nil"/>
              <w:left w:val="nil"/>
              <w:bottom w:val="nil"/>
              <w:right w:val="nil"/>
            </w:tcBorders>
            <w:shd w:val="clear" w:color="FFFFFF" w:fill="FFFFFF"/>
            <w:vAlign w:val="bottom"/>
            <w:hideMark/>
          </w:tcPr>
          <w:p w14:paraId="678B3ED8" w14:textId="77777777" w:rsidR="00A43992" w:rsidRDefault="00A43992" w:rsidP="007211E3">
            <w:pPr>
              <w:rPr>
                <w:rFonts w:ascii="Arial" w:hAnsi="Arial" w:cs="Arial"/>
                <w:b/>
                <w:bCs/>
                <w:sz w:val="18"/>
                <w:szCs w:val="18"/>
              </w:rPr>
            </w:pPr>
            <w:r>
              <w:rPr>
                <w:rFonts w:ascii="Arial" w:hAnsi="Arial" w:cs="Arial"/>
                <w:b/>
                <w:bCs/>
                <w:sz w:val="18"/>
                <w:szCs w:val="18"/>
              </w:rPr>
              <w:t> </w:t>
            </w:r>
          </w:p>
        </w:tc>
        <w:tc>
          <w:tcPr>
            <w:tcW w:w="1249" w:type="dxa"/>
            <w:tcBorders>
              <w:top w:val="nil"/>
              <w:left w:val="nil"/>
              <w:bottom w:val="nil"/>
              <w:right w:val="nil"/>
            </w:tcBorders>
            <w:shd w:val="clear" w:color="FFFFFF" w:fill="FFFFFF"/>
            <w:noWrap/>
            <w:vAlign w:val="bottom"/>
            <w:hideMark/>
          </w:tcPr>
          <w:p w14:paraId="63F6D47C" w14:textId="77777777" w:rsidR="00A43992" w:rsidRDefault="00A43992" w:rsidP="007211E3">
            <w:pPr>
              <w:jc w:val="right"/>
              <w:rPr>
                <w:rFonts w:ascii="Arial" w:hAnsi="Arial" w:cs="Arial"/>
                <w:sz w:val="18"/>
                <w:szCs w:val="18"/>
              </w:rPr>
            </w:pPr>
            <w:r>
              <w:rPr>
                <w:rFonts w:ascii="Arial" w:hAnsi="Arial" w:cs="Arial"/>
                <w:sz w:val="18"/>
                <w:szCs w:val="18"/>
              </w:rPr>
              <w:t>13,028</w:t>
            </w:r>
          </w:p>
        </w:tc>
      </w:tr>
      <w:tr w:rsidR="00A43992" w14:paraId="0C97DB8E" w14:textId="77777777" w:rsidTr="007211E3">
        <w:trPr>
          <w:trHeight w:val="255"/>
        </w:trPr>
        <w:tc>
          <w:tcPr>
            <w:tcW w:w="6353" w:type="dxa"/>
            <w:tcBorders>
              <w:top w:val="nil"/>
              <w:left w:val="nil"/>
              <w:bottom w:val="nil"/>
              <w:right w:val="nil"/>
            </w:tcBorders>
            <w:shd w:val="clear" w:color="FFFFFF" w:fill="FFFFFF"/>
            <w:noWrap/>
            <w:vAlign w:val="bottom"/>
            <w:hideMark/>
          </w:tcPr>
          <w:p w14:paraId="066BBB8B" w14:textId="77777777" w:rsidR="00A43992" w:rsidRDefault="00A43992" w:rsidP="007211E3">
            <w:pPr>
              <w:ind w:firstLineChars="100" w:firstLine="180"/>
              <w:rPr>
                <w:rFonts w:ascii="Arial" w:hAnsi="Arial" w:cs="Arial"/>
                <w:sz w:val="18"/>
                <w:szCs w:val="18"/>
              </w:rPr>
            </w:pPr>
            <w:r>
              <w:rPr>
                <w:rFonts w:ascii="Arial" w:hAnsi="Arial" w:cs="Arial"/>
                <w:sz w:val="18"/>
                <w:szCs w:val="18"/>
              </w:rPr>
              <w:t>More than 5 years</w:t>
            </w:r>
          </w:p>
        </w:tc>
        <w:tc>
          <w:tcPr>
            <w:tcW w:w="1249" w:type="dxa"/>
            <w:tcBorders>
              <w:top w:val="nil"/>
              <w:left w:val="nil"/>
              <w:bottom w:val="nil"/>
              <w:right w:val="nil"/>
            </w:tcBorders>
            <w:shd w:val="clear" w:color="FFFFFF" w:fill="FFFFFF"/>
            <w:noWrap/>
            <w:vAlign w:val="bottom"/>
            <w:hideMark/>
          </w:tcPr>
          <w:p w14:paraId="6E066729" w14:textId="77777777" w:rsidR="00A43992" w:rsidRDefault="00A43992" w:rsidP="007211E3">
            <w:pPr>
              <w:jc w:val="right"/>
              <w:rPr>
                <w:rFonts w:ascii="Arial" w:hAnsi="Arial" w:cs="Arial"/>
                <w:b/>
                <w:bCs/>
                <w:sz w:val="18"/>
                <w:szCs w:val="18"/>
              </w:rPr>
            </w:pPr>
            <w:r>
              <w:rPr>
                <w:rFonts w:ascii="Arial" w:hAnsi="Arial" w:cs="Arial"/>
                <w:b/>
                <w:bCs/>
                <w:sz w:val="18"/>
                <w:szCs w:val="18"/>
              </w:rPr>
              <w:t>7,267</w:t>
            </w:r>
          </w:p>
        </w:tc>
        <w:tc>
          <w:tcPr>
            <w:tcW w:w="236" w:type="dxa"/>
            <w:tcBorders>
              <w:top w:val="nil"/>
              <w:left w:val="nil"/>
              <w:bottom w:val="nil"/>
              <w:right w:val="nil"/>
            </w:tcBorders>
            <w:shd w:val="clear" w:color="FFFFFF" w:fill="FFFFFF"/>
            <w:vAlign w:val="bottom"/>
            <w:hideMark/>
          </w:tcPr>
          <w:p w14:paraId="06B07B6C" w14:textId="77777777" w:rsidR="00A43992" w:rsidRDefault="00A43992" w:rsidP="007211E3">
            <w:pPr>
              <w:rPr>
                <w:rFonts w:ascii="Arial" w:hAnsi="Arial" w:cs="Arial"/>
                <w:b/>
                <w:bCs/>
                <w:sz w:val="18"/>
                <w:szCs w:val="18"/>
              </w:rPr>
            </w:pPr>
            <w:r>
              <w:rPr>
                <w:rFonts w:ascii="Arial" w:hAnsi="Arial" w:cs="Arial"/>
                <w:b/>
                <w:bCs/>
                <w:sz w:val="18"/>
                <w:szCs w:val="18"/>
              </w:rPr>
              <w:t> </w:t>
            </w:r>
          </w:p>
        </w:tc>
        <w:tc>
          <w:tcPr>
            <w:tcW w:w="1249" w:type="dxa"/>
            <w:tcBorders>
              <w:top w:val="nil"/>
              <w:left w:val="nil"/>
              <w:bottom w:val="nil"/>
              <w:right w:val="nil"/>
            </w:tcBorders>
            <w:shd w:val="clear" w:color="FFFFFF" w:fill="FFFFFF"/>
            <w:noWrap/>
            <w:vAlign w:val="bottom"/>
            <w:hideMark/>
          </w:tcPr>
          <w:p w14:paraId="3B7B8486" w14:textId="77777777" w:rsidR="00A43992" w:rsidRDefault="00A43992" w:rsidP="007211E3">
            <w:pPr>
              <w:jc w:val="right"/>
              <w:rPr>
                <w:rFonts w:ascii="Arial" w:hAnsi="Arial" w:cs="Arial"/>
                <w:sz w:val="18"/>
                <w:szCs w:val="18"/>
              </w:rPr>
            </w:pPr>
            <w:r>
              <w:rPr>
                <w:rFonts w:ascii="Arial" w:hAnsi="Arial" w:cs="Arial"/>
                <w:sz w:val="18"/>
                <w:szCs w:val="18"/>
              </w:rPr>
              <w:t>10,008</w:t>
            </w:r>
          </w:p>
        </w:tc>
      </w:tr>
      <w:tr w:rsidR="00A43992" w14:paraId="7E9207FB" w14:textId="77777777" w:rsidTr="007211E3">
        <w:trPr>
          <w:trHeight w:val="255"/>
        </w:trPr>
        <w:tc>
          <w:tcPr>
            <w:tcW w:w="6353" w:type="dxa"/>
            <w:tcBorders>
              <w:top w:val="nil"/>
              <w:left w:val="nil"/>
              <w:bottom w:val="nil"/>
              <w:right w:val="nil"/>
            </w:tcBorders>
            <w:shd w:val="clear" w:color="FFFFFF" w:fill="FFFFFF"/>
            <w:vAlign w:val="bottom"/>
            <w:hideMark/>
          </w:tcPr>
          <w:p w14:paraId="38CE8604" w14:textId="77777777" w:rsidR="00A43992" w:rsidRDefault="00A43992" w:rsidP="007211E3">
            <w:pPr>
              <w:rPr>
                <w:rFonts w:ascii="Arial" w:hAnsi="Arial" w:cs="Arial"/>
                <w:b/>
                <w:bCs/>
                <w:sz w:val="18"/>
                <w:szCs w:val="18"/>
              </w:rPr>
            </w:pPr>
            <w:r>
              <w:rPr>
                <w:rFonts w:ascii="Arial" w:hAnsi="Arial" w:cs="Arial"/>
                <w:b/>
                <w:bCs/>
                <w:sz w:val="18"/>
                <w:szCs w:val="18"/>
              </w:rPr>
              <w:t>Total operating lease commitments (</w:t>
            </w:r>
            <w:proofErr w:type="spellStart"/>
            <w:r>
              <w:rPr>
                <w:rFonts w:ascii="Arial" w:hAnsi="Arial" w:cs="Arial"/>
                <w:b/>
                <w:bCs/>
                <w:sz w:val="18"/>
                <w:szCs w:val="18"/>
              </w:rPr>
              <w:t>inc.</w:t>
            </w:r>
            <w:proofErr w:type="spellEnd"/>
            <w:r>
              <w:rPr>
                <w:rFonts w:ascii="Arial" w:hAnsi="Arial" w:cs="Arial"/>
                <w:b/>
                <w:bCs/>
                <w:sz w:val="18"/>
                <w:szCs w:val="18"/>
              </w:rPr>
              <w:t xml:space="preserve"> GST)</w:t>
            </w:r>
          </w:p>
        </w:tc>
        <w:tc>
          <w:tcPr>
            <w:tcW w:w="1249" w:type="dxa"/>
            <w:tcBorders>
              <w:top w:val="single" w:sz="4" w:space="0" w:color="auto"/>
              <w:left w:val="nil"/>
              <w:bottom w:val="single" w:sz="4" w:space="0" w:color="auto"/>
              <w:right w:val="nil"/>
            </w:tcBorders>
            <w:shd w:val="clear" w:color="FFFFFF" w:fill="FFFFFF"/>
            <w:noWrap/>
            <w:vAlign w:val="bottom"/>
            <w:hideMark/>
          </w:tcPr>
          <w:p w14:paraId="65F82077" w14:textId="77777777" w:rsidR="00A43992" w:rsidRDefault="00A43992" w:rsidP="007211E3">
            <w:pPr>
              <w:jc w:val="right"/>
              <w:rPr>
                <w:rFonts w:ascii="Arial" w:hAnsi="Arial" w:cs="Arial"/>
                <w:b/>
                <w:bCs/>
                <w:sz w:val="18"/>
                <w:szCs w:val="18"/>
              </w:rPr>
            </w:pPr>
            <w:r>
              <w:rPr>
                <w:rFonts w:ascii="Arial" w:hAnsi="Arial" w:cs="Arial"/>
                <w:b/>
                <w:bCs/>
                <w:sz w:val="18"/>
                <w:szCs w:val="18"/>
              </w:rPr>
              <w:t>28,332</w:t>
            </w:r>
          </w:p>
        </w:tc>
        <w:tc>
          <w:tcPr>
            <w:tcW w:w="236" w:type="dxa"/>
            <w:tcBorders>
              <w:top w:val="single" w:sz="4" w:space="0" w:color="auto"/>
              <w:left w:val="nil"/>
              <w:bottom w:val="nil"/>
              <w:right w:val="nil"/>
            </w:tcBorders>
            <w:shd w:val="clear" w:color="FFFFFF" w:fill="FFFFFF"/>
            <w:vAlign w:val="bottom"/>
            <w:hideMark/>
          </w:tcPr>
          <w:p w14:paraId="7B026D56" w14:textId="77777777" w:rsidR="00A43992" w:rsidRDefault="00A43992" w:rsidP="007211E3">
            <w:pPr>
              <w:rPr>
                <w:rFonts w:ascii="Arial" w:hAnsi="Arial" w:cs="Arial"/>
                <w:b/>
                <w:bCs/>
                <w:sz w:val="18"/>
                <w:szCs w:val="18"/>
              </w:rPr>
            </w:pPr>
            <w:r>
              <w:rPr>
                <w:rFonts w:ascii="Arial" w:hAnsi="Arial" w:cs="Arial"/>
                <w:b/>
                <w:bCs/>
                <w:sz w:val="18"/>
                <w:szCs w:val="18"/>
              </w:rPr>
              <w:t> </w:t>
            </w:r>
          </w:p>
        </w:tc>
        <w:tc>
          <w:tcPr>
            <w:tcW w:w="1249" w:type="dxa"/>
            <w:tcBorders>
              <w:top w:val="single" w:sz="4" w:space="0" w:color="auto"/>
              <w:left w:val="nil"/>
              <w:bottom w:val="single" w:sz="4" w:space="0" w:color="auto"/>
              <w:right w:val="nil"/>
            </w:tcBorders>
            <w:shd w:val="clear" w:color="FFFFFF" w:fill="FFFFFF"/>
            <w:noWrap/>
            <w:vAlign w:val="bottom"/>
            <w:hideMark/>
          </w:tcPr>
          <w:p w14:paraId="272982F7" w14:textId="77777777" w:rsidR="00A43992" w:rsidRDefault="00A43992" w:rsidP="007211E3">
            <w:pPr>
              <w:jc w:val="right"/>
              <w:rPr>
                <w:rFonts w:ascii="Arial" w:hAnsi="Arial" w:cs="Arial"/>
                <w:sz w:val="18"/>
                <w:szCs w:val="18"/>
              </w:rPr>
            </w:pPr>
            <w:r>
              <w:rPr>
                <w:rFonts w:ascii="Arial" w:hAnsi="Arial" w:cs="Arial"/>
                <w:sz w:val="18"/>
                <w:szCs w:val="18"/>
              </w:rPr>
              <w:t>29,570</w:t>
            </w:r>
          </w:p>
        </w:tc>
      </w:tr>
      <w:tr w:rsidR="00A43992" w14:paraId="1EA94309" w14:textId="77777777" w:rsidTr="007211E3">
        <w:trPr>
          <w:trHeight w:val="77"/>
        </w:trPr>
        <w:tc>
          <w:tcPr>
            <w:tcW w:w="6353" w:type="dxa"/>
            <w:tcBorders>
              <w:top w:val="nil"/>
              <w:left w:val="nil"/>
              <w:bottom w:val="nil"/>
              <w:right w:val="nil"/>
            </w:tcBorders>
            <w:shd w:val="clear" w:color="FFFFFF" w:fill="FFFFFF"/>
            <w:vAlign w:val="bottom"/>
            <w:hideMark/>
          </w:tcPr>
          <w:p w14:paraId="4349289C" w14:textId="77777777" w:rsidR="00A43992" w:rsidRDefault="00A43992" w:rsidP="007211E3">
            <w:pPr>
              <w:ind w:firstLineChars="100" w:firstLine="180"/>
              <w:rPr>
                <w:rFonts w:ascii="Arial" w:hAnsi="Arial" w:cs="Arial"/>
                <w:sz w:val="18"/>
                <w:szCs w:val="18"/>
              </w:rPr>
            </w:pPr>
            <w:r>
              <w:rPr>
                <w:rFonts w:ascii="Arial" w:hAnsi="Arial" w:cs="Arial"/>
                <w:sz w:val="18"/>
                <w:szCs w:val="18"/>
              </w:rPr>
              <w:t>Less GST recoverable on operating lease commitments</w:t>
            </w:r>
          </w:p>
        </w:tc>
        <w:tc>
          <w:tcPr>
            <w:tcW w:w="1249" w:type="dxa"/>
            <w:tcBorders>
              <w:top w:val="nil"/>
              <w:left w:val="nil"/>
              <w:bottom w:val="nil"/>
              <w:right w:val="nil"/>
            </w:tcBorders>
            <w:shd w:val="clear" w:color="auto" w:fill="auto"/>
            <w:vAlign w:val="bottom"/>
            <w:hideMark/>
          </w:tcPr>
          <w:p w14:paraId="68A7CF65" w14:textId="77777777" w:rsidR="00A43992" w:rsidRDefault="00A43992" w:rsidP="007211E3">
            <w:pPr>
              <w:jc w:val="center"/>
              <w:rPr>
                <w:rFonts w:ascii="Arial" w:hAnsi="Arial" w:cs="Arial"/>
                <w:b/>
                <w:bCs/>
                <w:sz w:val="18"/>
                <w:szCs w:val="18"/>
              </w:rPr>
            </w:pPr>
            <w:r>
              <w:rPr>
                <w:rFonts w:ascii="Arial" w:hAnsi="Arial" w:cs="Arial"/>
                <w:b/>
                <w:bCs/>
                <w:sz w:val="18"/>
                <w:szCs w:val="18"/>
              </w:rPr>
              <w:t xml:space="preserve">         (2,576)</w:t>
            </w:r>
          </w:p>
        </w:tc>
        <w:tc>
          <w:tcPr>
            <w:tcW w:w="236" w:type="dxa"/>
            <w:tcBorders>
              <w:top w:val="nil"/>
              <w:left w:val="nil"/>
              <w:bottom w:val="nil"/>
              <w:right w:val="nil"/>
            </w:tcBorders>
            <w:shd w:val="clear" w:color="FFFFFF" w:fill="FFFFFF"/>
            <w:noWrap/>
            <w:vAlign w:val="bottom"/>
            <w:hideMark/>
          </w:tcPr>
          <w:p w14:paraId="08CC5705" w14:textId="77777777" w:rsidR="00A43992" w:rsidRDefault="00A43992" w:rsidP="007211E3">
            <w:pPr>
              <w:rPr>
                <w:rFonts w:ascii="Arial" w:hAnsi="Arial" w:cs="Arial"/>
                <w:sz w:val="18"/>
                <w:szCs w:val="18"/>
              </w:rPr>
            </w:pPr>
            <w:r>
              <w:rPr>
                <w:rFonts w:ascii="Arial" w:hAnsi="Arial" w:cs="Arial"/>
                <w:sz w:val="18"/>
                <w:szCs w:val="18"/>
              </w:rPr>
              <w:t> </w:t>
            </w:r>
          </w:p>
        </w:tc>
        <w:tc>
          <w:tcPr>
            <w:tcW w:w="1249" w:type="dxa"/>
            <w:tcBorders>
              <w:top w:val="nil"/>
              <w:left w:val="nil"/>
              <w:bottom w:val="nil"/>
              <w:right w:val="nil"/>
            </w:tcBorders>
            <w:shd w:val="clear" w:color="FFFFFF" w:fill="FFFFFF"/>
            <w:noWrap/>
            <w:vAlign w:val="bottom"/>
            <w:hideMark/>
          </w:tcPr>
          <w:p w14:paraId="223321ED" w14:textId="77777777" w:rsidR="00A43992" w:rsidRDefault="00A43992" w:rsidP="007211E3">
            <w:pPr>
              <w:jc w:val="right"/>
              <w:rPr>
                <w:rFonts w:ascii="Arial" w:hAnsi="Arial" w:cs="Arial"/>
                <w:sz w:val="18"/>
                <w:szCs w:val="18"/>
              </w:rPr>
            </w:pPr>
            <w:r>
              <w:rPr>
                <w:rFonts w:ascii="Arial" w:hAnsi="Arial" w:cs="Arial"/>
                <w:sz w:val="18"/>
                <w:szCs w:val="18"/>
              </w:rPr>
              <w:t>(2,688)</w:t>
            </w:r>
          </w:p>
        </w:tc>
      </w:tr>
      <w:tr w:rsidR="00A43992" w14:paraId="26A0060A" w14:textId="77777777" w:rsidTr="007211E3">
        <w:trPr>
          <w:trHeight w:val="255"/>
        </w:trPr>
        <w:tc>
          <w:tcPr>
            <w:tcW w:w="6353" w:type="dxa"/>
            <w:tcBorders>
              <w:top w:val="nil"/>
              <w:left w:val="nil"/>
              <w:bottom w:val="nil"/>
              <w:right w:val="nil"/>
            </w:tcBorders>
            <w:shd w:val="clear" w:color="FFFFFF" w:fill="FFFFFF"/>
            <w:vAlign w:val="bottom"/>
            <w:hideMark/>
          </w:tcPr>
          <w:p w14:paraId="5E7D841D" w14:textId="77777777" w:rsidR="00A43992" w:rsidRDefault="00A43992" w:rsidP="007211E3">
            <w:pPr>
              <w:rPr>
                <w:rFonts w:ascii="Arial" w:hAnsi="Arial" w:cs="Arial"/>
                <w:b/>
                <w:bCs/>
                <w:sz w:val="18"/>
                <w:szCs w:val="18"/>
              </w:rPr>
            </w:pPr>
            <w:r>
              <w:rPr>
                <w:rFonts w:ascii="Arial" w:hAnsi="Arial" w:cs="Arial"/>
                <w:b/>
                <w:bCs/>
                <w:sz w:val="18"/>
                <w:szCs w:val="18"/>
              </w:rPr>
              <w:t>Net operating lease commitments</w:t>
            </w:r>
          </w:p>
        </w:tc>
        <w:tc>
          <w:tcPr>
            <w:tcW w:w="1249" w:type="dxa"/>
            <w:tcBorders>
              <w:top w:val="single" w:sz="4" w:space="0" w:color="auto"/>
              <w:left w:val="nil"/>
              <w:bottom w:val="single" w:sz="4" w:space="0" w:color="auto"/>
              <w:right w:val="nil"/>
            </w:tcBorders>
            <w:shd w:val="clear" w:color="FFFFFF" w:fill="FFFFFF"/>
            <w:noWrap/>
            <w:vAlign w:val="bottom"/>
            <w:hideMark/>
          </w:tcPr>
          <w:p w14:paraId="10423031" w14:textId="77777777" w:rsidR="00A43992" w:rsidRDefault="00A43992" w:rsidP="007211E3">
            <w:pPr>
              <w:jc w:val="right"/>
              <w:rPr>
                <w:rFonts w:ascii="Arial" w:hAnsi="Arial" w:cs="Arial"/>
                <w:b/>
                <w:bCs/>
                <w:sz w:val="18"/>
                <w:szCs w:val="18"/>
              </w:rPr>
            </w:pPr>
            <w:r>
              <w:rPr>
                <w:rFonts w:ascii="Arial" w:hAnsi="Arial" w:cs="Arial"/>
                <w:b/>
                <w:bCs/>
                <w:sz w:val="18"/>
                <w:szCs w:val="18"/>
              </w:rPr>
              <w:t>25,756</w:t>
            </w:r>
          </w:p>
        </w:tc>
        <w:tc>
          <w:tcPr>
            <w:tcW w:w="236" w:type="dxa"/>
            <w:tcBorders>
              <w:top w:val="nil"/>
              <w:left w:val="nil"/>
              <w:bottom w:val="nil"/>
              <w:right w:val="nil"/>
            </w:tcBorders>
            <w:shd w:val="clear" w:color="FFFFFF" w:fill="FFFFFF"/>
            <w:noWrap/>
            <w:vAlign w:val="bottom"/>
            <w:hideMark/>
          </w:tcPr>
          <w:p w14:paraId="563F919B" w14:textId="77777777" w:rsidR="00A43992" w:rsidRDefault="00A43992" w:rsidP="007211E3">
            <w:pPr>
              <w:rPr>
                <w:rFonts w:ascii="Arial" w:hAnsi="Arial" w:cs="Arial"/>
                <w:sz w:val="18"/>
                <w:szCs w:val="18"/>
              </w:rPr>
            </w:pPr>
            <w:r>
              <w:rPr>
                <w:rFonts w:ascii="Arial" w:hAnsi="Arial" w:cs="Arial"/>
                <w:sz w:val="18"/>
                <w:szCs w:val="18"/>
              </w:rPr>
              <w:t> </w:t>
            </w:r>
          </w:p>
        </w:tc>
        <w:tc>
          <w:tcPr>
            <w:tcW w:w="1249" w:type="dxa"/>
            <w:tcBorders>
              <w:top w:val="single" w:sz="4" w:space="0" w:color="auto"/>
              <w:left w:val="nil"/>
              <w:bottom w:val="single" w:sz="4" w:space="0" w:color="auto"/>
              <w:right w:val="nil"/>
            </w:tcBorders>
            <w:shd w:val="clear" w:color="FFFFFF" w:fill="FFFFFF"/>
            <w:noWrap/>
            <w:vAlign w:val="bottom"/>
            <w:hideMark/>
          </w:tcPr>
          <w:p w14:paraId="5FC1BDED" w14:textId="77777777" w:rsidR="00A43992" w:rsidRDefault="00A43992" w:rsidP="007211E3">
            <w:pPr>
              <w:jc w:val="right"/>
              <w:rPr>
                <w:rFonts w:ascii="Arial" w:hAnsi="Arial" w:cs="Arial"/>
                <w:sz w:val="18"/>
                <w:szCs w:val="18"/>
              </w:rPr>
            </w:pPr>
            <w:r>
              <w:rPr>
                <w:rFonts w:ascii="Arial" w:hAnsi="Arial" w:cs="Arial"/>
                <w:sz w:val="18"/>
                <w:szCs w:val="18"/>
              </w:rPr>
              <w:t>26,882</w:t>
            </w:r>
          </w:p>
        </w:tc>
      </w:tr>
    </w:tbl>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5"/>
        <w:gridCol w:w="8887"/>
      </w:tblGrid>
      <w:tr w:rsidR="00A43992" w:rsidRPr="005E5430" w14:paraId="0EF87ADF" w14:textId="77777777" w:rsidTr="007211E3">
        <w:trPr>
          <w:trHeight w:val="825"/>
        </w:trPr>
        <w:tc>
          <w:tcPr>
            <w:tcW w:w="102" w:type="pct"/>
            <w:tcMar>
              <w:left w:w="0" w:type="dxa"/>
              <w:right w:w="0" w:type="dxa"/>
            </w:tcMar>
          </w:tcPr>
          <w:p w14:paraId="64147869" w14:textId="77777777" w:rsidR="00A43992" w:rsidRDefault="00A43992" w:rsidP="007211E3">
            <w:pPr>
              <w:jc w:val="center"/>
              <w:rPr>
                <w:rFonts w:ascii="Arial" w:eastAsia="Calibri" w:hAnsi="Arial" w:cs="Arial"/>
                <w:sz w:val="18"/>
                <w:szCs w:val="18"/>
                <w:vertAlign w:val="superscript"/>
              </w:rPr>
            </w:pPr>
          </w:p>
          <w:p w14:paraId="005C38A1" w14:textId="77777777" w:rsidR="00A43992" w:rsidRPr="005E5430" w:rsidRDefault="00A43992" w:rsidP="007211E3">
            <w:pPr>
              <w:jc w:val="center"/>
            </w:pPr>
            <w:r w:rsidRPr="005E5430">
              <w:rPr>
                <w:rFonts w:ascii="Arial" w:eastAsia="Calibri" w:hAnsi="Arial" w:cs="Arial"/>
                <w:sz w:val="18"/>
                <w:szCs w:val="18"/>
                <w:vertAlign w:val="superscript"/>
              </w:rPr>
              <w:t>1</w:t>
            </w:r>
          </w:p>
        </w:tc>
        <w:tc>
          <w:tcPr>
            <w:tcW w:w="4898" w:type="pct"/>
            <w:tcMar>
              <w:left w:w="0" w:type="dxa"/>
              <w:right w:w="0" w:type="dxa"/>
            </w:tcMar>
          </w:tcPr>
          <w:p w14:paraId="6CF51BDA" w14:textId="77777777" w:rsidR="00A43992" w:rsidRDefault="00A43992" w:rsidP="007211E3">
            <w:pPr>
              <w:rPr>
                <w:rFonts w:ascii="Arial" w:hAnsi="Arial" w:cs="Arial"/>
                <w:sz w:val="18"/>
                <w:szCs w:val="18"/>
              </w:rPr>
            </w:pPr>
          </w:p>
          <w:p w14:paraId="123A7036" w14:textId="77777777" w:rsidR="00A43992" w:rsidRDefault="00A43992" w:rsidP="007211E3">
            <w:pPr>
              <w:rPr>
                <w:rFonts w:ascii="Arial" w:hAnsi="Arial" w:cs="Arial"/>
                <w:sz w:val="18"/>
                <w:szCs w:val="18"/>
              </w:rPr>
            </w:pPr>
            <w:r w:rsidRPr="005E5430">
              <w:rPr>
                <w:rFonts w:ascii="Arial" w:hAnsi="Arial" w:cs="Arial"/>
                <w:sz w:val="18"/>
                <w:szCs w:val="18"/>
              </w:rPr>
              <w:t>The Agency has in place a Memorandum of Understanding that covers the provision of various administrative and operational support services by the Department of Social Services</w:t>
            </w:r>
            <w:r>
              <w:rPr>
                <w:rFonts w:ascii="Arial" w:hAnsi="Arial" w:cs="Arial"/>
                <w:sz w:val="18"/>
                <w:szCs w:val="18"/>
              </w:rPr>
              <w:t xml:space="preserve"> and the Department of Human Services</w:t>
            </w:r>
            <w:r w:rsidRPr="005E5430">
              <w:rPr>
                <w:rFonts w:ascii="Arial" w:hAnsi="Arial" w:cs="Arial"/>
                <w:sz w:val="18"/>
                <w:szCs w:val="18"/>
              </w:rPr>
              <w:t>.</w:t>
            </w:r>
          </w:p>
          <w:p w14:paraId="66EF8CC6" w14:textId="77777777" w:rsidR="00A43992" w:rsidRPr="00FF3E9C" w:rsidRDefault="00A43992" w:rsidP="007211E3">
            <w:pPr>
              <w:rPr>
                <w:rFonts w:ascii="Arial" w:eastAsia="Calibri" w:hAnsi="Arial" w:cs="Arial"/>
                <w:sz w:val="18"/>
                <w:szCs w:val="18"/>
              </w:rPr>
            </w:pPr>
          </w:p>
        </w:tc>
      </w:tr>
    </w:tbl>
    <w:p w14:paraId="6D8E88E9" w14:textId="77777777" w:rsidR="00A43992" w:rsidRDefault="00A43992" w:rsidP="00A43992">
      <w:pPr>
        <w:spacing w:line="240" w:lineRule="auto"/>
      </w:pPr>
      <w:r>
        <w:br w:type="page"/>
      </w:r>
    </w:p>
    <w:p w14:paraId="102752ED" w14:textId="46FB54D1" w:rsidR="00A43992" w:rsidRPr="009044C9" w:rsidRDefault="00A43992" w:rsidP="00A43992">
      <w:pPr>
        <w:pStyle w:val="PolicyheadingDept"/>
        <w:pBdr>
          <w:top w:val="none" w:sz="0" w:space="0" w:color="auto"/>
          <w:left w:val="none" w:sz="0" w:space="0" w:color="auto"/>
          <w:bottom w:val="none" w:sz="0" w:space="0" w:color="auto"/>
          <w:right w:val="none" w:sz="0" w:space="0" w:color="auto"/>
        </w:pBdr>
        <w:outlineLvl w:val="0"/>
      </w:pPr>
      <w:r>
        <w:lastRenderedPageBreak/>
        <w:t>Leasing Commitments</w:t>
      </w:r>
    </w:p>
    <w:p w14:paraId="4FA50060" w14:textId="77777777" w:rsidR="00A43992" w:rsidRDefault="00A43992" w:rsidP="00A43992">
      <w:pPr>
        <w:pStyle w:val="PolicytextDept"/>
        <w:pBdr>
          <w:top w:val="none" w:sz="0" w:space="0" w:color="auto"/>
          <w:left w:val="none" w:sz="0" w:space="0" w:color="auto"/>
          <w:bottom w:val="none" w:sz="0" w:space="0" w:color="auto"/>
          <w:right w:val="none" w:sz="0" w:space="0" w:color="auto"/>
        </w:pBdr>
      </w:pPr>
      <w:r>
        <w:t>The Agency has operating leases over the following assets:</w:t>
      </w:r>
    </w:p>
    <w:p w14:paraId="080C3826" w14:textId="77777777" w:rsidR="00A43992" w:rsidRDefault="00A43992" w:rsidP="00A43992">
      <w:pPr>
        <w:pStyle w:val="PolicytextDept"/>
        <w:numPr>
          <w:ilvl w:val="0"/>
          <w:numId w:val="17"/>
        </w:numPr>
        <w:pBdr>
          <w:top w:val="none" w:sz="0" w:space="0" w:color="auto"/>
          <w:left w:val="none" w:sz="0" w:space="0" w:color="auto"/>
          <w:bottom w:val="none" w:sz="0" w:space="0" w:color="auto"/>
          <w:right w:val="none" w:sz="0" w:space="0" w:color="auto"/>
        </w:pBdr>
      </w:pPr>
      <w:r w:rsidRPr="00662BBD">
        <w:t xml:space="preserve">Property leases – lease payments subject to increases in accordance with CPI or other agreed increment with initial periods of between 1 and 10 years. Some leases have options to extend. </w:t>
      </w:r>
    </w:p>
    <w:p w14:paraId="57D2B20A" w14:textId="77777777" w:rsidR="00A43992" w:rsidRDefault="00A43992" w:rsidP="00A43992">
      <w:pPr>
        <w:pStyle w:val="PolicytextDept"/>
        <w:numPr>
          <w:ilvl w:val="0"/>
          <w:numId w:val="17"/>
        </w:numPr>
        <w:pBdr>
          <w:top w:val="none" w:sz="0" w:space="0" w:color="auto"/>
          <w:left w:val="none" w:sz="0" w:space="0" w:color="auto"/>
          <w:bottom w:val="none" w:sz="0" w:space="0" w:color="auto"/>
          <w:right w:val="none" w:sz="0" w:space="0" w:color="auto"/>
        </w:pBdr>
      </w:pPr>
      <w:r w:rsidRPr="00662BBD">
        <w:t xml:space="preserve">Motor Vehicles – operating leases over periods up to 36 months that do not have contingent rentals and do not have purchase options available at the end of the lease. </w:t>
      </w:r>
    </w:p>
    <w:p w14:paraId="4905183A" w14:textId="77777777" w:rsidR="00A43992" w:rsidRPr="00662BBD" w:rsidRDefault="00A43992" w:rsidP="00A43992">
      <w:pPr>
        <w:pStyle w:val="PolicytextDept"/>
        <w:pBdr>
          <w:top w:val="none" w:sz="0" w:space="0" w:color="auto"/>
          <w:left w:val="none" w:sz="0" w:space="0" w:color="auto"/>
          <w:bottom w:val="none" w:sz="0" w:space="0" w:color="auto"/>
          <w:right w:val="none" w:sz="0" w:space="0" w:color="auto"/>
        </w:pBdr>
      </w:pPr>
      <w:r>
        <w:t>The Agency does not have any significant leasing arrangements in its capacity as a lessor.</w:t>
      </w:r>
    </w:p>
    <w:p w14:paraId="637F46CE" w14:textId="77777777" w:rsidR="00A43992" w:rsidRDefault="00A43992" w:rsidP="00A43992">
      <w:pPr>
        <w:spacing w:line="240" w:lineRule="auto"/>
        <w:rPr>
          <w:rFonts w:ascii="Arial" w:hAnsi="Arial" w:cs="Arial"/>
          <w:b/>
          <w:bCs/>
          <w:sz w:val="18"/>
          <w:szCs w:val="18"/>
        </w:rPr>
      </w:pPr>
    </w:p>
    <w:p w14:paraId="24CC2F98" w14:textId="567FC0A6" w:rsidR="00A43992" w:rsidRPr="0034370E" w:rsidRDefault="00A43992" w:rsidP="00A43992">
      <w:pPr>
        <w:pStyle w:val="PolicyheadingDept"/>
        <w:outlineLvl w:val="0"/>
      </w:pPr>
      <w:r w:rsidRPr="0034370E">
        <w:t>Accounting Policy</w:t>
      </w:r>
    </w:p>
    <w:p w14:paraId="484A9D21" w14:textId="6DD21CF5" w:rsidR="00A43992" w:rsidRPr="0034370E" w:rsidRDefault="00A43992" w:rsidP="00A43992">
      <w:pPr>
        <w:pStyle w:val="PolicytextDept"/>
        <w:outlineLvl w:val="0"/>
        <w:rPr>
          <w:u w:val="single"/>
        </w:rPr>
      </w:pPr>
      <w:r w:rsidRPr="0034370E">
        <w:rPr>
          <w:u w:val="single"/>
        </w:rPr>
        <w:t>Leases</w:t>
      </w:r>
    </w:p>
    <w:p w14:paraId="717ADCB1" w14:textId="77777777" w:rsidR="00A43992" w:rsidRPr="0034370E" w:rsidRDefault="00A43992" w:rsidP="00A43992">
      <w:pPr>
        <w:pStyle w:val="PolicytextDept"/>
      </w:pPr>
      <w:r w:rsidRPr="0034370E">
        <w:t>A distinction is made between finance leases and operating leases.  Finance leases effectively transfer from the lessor to the lessee substantially all the risks and rewards incidental to ownership of leased assets.  An operating lease is a lease that is not a finance lease and where the lessor effectively retains substantial</w:t>
      </w:r>
      <w:r>
        <w:t>ly all such risks and rewards.</w:t>
      </w:r>
      <w:r w:rsidRPr="00DB4310">
        <w:t xml:space="preserve"> </w:t>
      </w:r>
      <w:r>
        <w:t>The Agency has not entered into any leasing arrangements that are required to be classified as finance leases.</w:t>
      </w:r>
      <w:r w:rsidRPr="0034370E">
        <w:tab/>
      </w:r>
    </w:p>
    <w:p w14:paraId="11716D1D" w14:textId="77777777" w:rsidR="00A43992" w:rsidRDefault="00A43992" w:rsidP="00A43992">
      <w:pPr>
        <w:pStyle w:val="PolicytextDept"/>
      </w:pPr>
      <w:r w:rsidRPr="0034370E">
        <w:t xml:space="preserve">Operating lease payments are expensed on a straight-line basis over the life of the lease, which is representative of the pattern of benefits derived from the leased assets. </w:t>
      </w:r>
    </w:p>
    <w:p w14:paraId="477399EC" w14:textId="77777777" w:rsidR="00A43992" w:rsidRDefault="00A43992" w:rsidP="00A43992"/>
    <w:tbl>
      <w:tblPr>
        <w:tblW w:w="9087" w:type="dxa"/>
        <w:tblInd w:w="80" w:type="dxa"/>
        <w:tblLayout w:type="fixed"/>
        <w:tblLook w:val="04A0" w:firstRow="1" w:lastRow="0" w:firstColumn="1" w:lastColumn="0" w:noHBand="0" w:noVBand="1"/>
      </w:tblPr>
      <w:tblGrid>
        <w:gridCol w:w="6353"/>
        <w:gridCol w:w="1249"/>
        <w:gridCol w:w="236"/>
        <w:gridCol w:w="1249"/>
      </w:tblGrid>
      <w:tr w:rsidR="00A43992" w14:paraId="00853EA2" w14:textId="77777777" w:rsidTr="007211E3">
        <w:trPr>
          <w:trHeight w:val="240"/>
        </w:trPr>
        <w:tc>
          <w:tcPr>
            <w:tcW w:w="6353" w:type="dxa"/>
            <w:tcBorders>
              <w:top w:val="nil"/>
              <w:left w:val="nil"/>
              <w:bottom w:val="nil"/>
              <w:right w:val="nil"/>
            </w:tcBorders>
            <w:shd w:val="clear" w:color="FFFFFF" w:fill="FFFFFF"/>
            <w:noWrap/>
            <w:vAlign w:val="bottom"/>
            <w:hideMark/>
          </w:tcPr>
          <w:p w14:paraId="38E4C8E7" w14:textId="77777777" w:rsidR="00A43992" w:rsidRDefault="00A43992" w:rsidP="007211E3">
            <w:pPr>
              <w:rPr>
                <w:rFonts w:ascii="Arial" w:hAnsi="Arial" w:cs="Arial"/>
                <w:sz w:val="18"/>
                <w:szCs w:val="18"/>
              </w:rPr>
            </w:pPr>
            <w:bookmarkStart w:id="176" w:name="Note_GRXTABLE1" w:colFirst="0" w:colLast="0"/>
            <w:r>
              <w:rPr>
                <w:rFonts w:ascii="Arial" w:hAnsi="Arial" w:cs="Arial"/>
                <w:sz w:val="18"/>
                <w:szCs w:val="18"/>
              </w:rPr>
              <w:t> </w:t>
            </w:r>
          </w:p>
        </w:tc>
        <w:tc>
          <w:tcPr>
            <w:tcW w:w="1249" w:type="dxa"/>
            <w:tcBorders>
              <w:top w:val="nil"/>
              <w:left w:val="nil"/>
              <w:bottom w:val="nil"/>
              <w:right w:val="nil"/>
            </w:tcBorders>
            <w:shd w:val="clear" w:color="FFFFFF" w:fill="FFFFFF"/>
            <w:noWrap/>
            <w:vAlign w:val="bottom"/>
            <w:hideMark/>
          </w:tcPr>
          <w:p w14:paraId="3BFC1B69" w14:textId="77777777" w:rsidR="00A43992" w:rsidRDefault="00A43992" w:rsidP="007211E3">
            <w:pPr>
              <w:jc w:val="right"/>
              <w:rPr>
                <w:rFonts w:ascii="Arial" w:hAnsi="Arial" w:cs="Arial"/>
                <w:b/>
                <w:bCs/>
                <w:sz w:val="18"/>
                <w:szCs w:val="18"/>
              </w:rPr>
            </w:pPr>
            <w:r>
              <w:rPr>
                <w:rFonts w:ascii="Arial" w:hAnsi="Arial" w:cs="Arial"/>
                <w:b/>
                <w:bCs/>
                <w:sz w:val="18"/>
                <w:szCs w:val="18"/>
              </w:rPr>
              <w:t>2016</w:t>
            </w:r>
          </w:p>
        </w:tc>
        <w:tc>
          <w:tcPr>
            <w:tcW w:w="236" w:type="dxa"/>
            <w:tcBorders>
              <w:top w:val="nil"/>
              <w:left w:val="nil"/>
              <w:bottom w:val="nil"/>
              <w:right w:val="nil"/>
            </w:tcBorders>
            <w:shd w:val="clear" w:color="FFFFFF" w:fill="FFFFFF"/>
            <w:noWrap/>
            <w:vAlign w:val="bottom"/>
            <w:hideMark/>
          </w:tcPr>
          <w:p w14:paraId="51B46EA6" w14:textId="77777777" w:rsidR="00A43992" w:rsidRDefault="00A43992" w:rsidP="007211E3">
            <w:pPr>
              <w:rPr>
                <w:rFonts w:ascii="Arial" w:hAnsi="Arial" w:cs="Arial"/>
                <w:sz w:val="18"/>
                <w:szCs w:val="18"/>
              </w:rPr>
            </w:pPr>
            <w:r>
              <w:rPr>
                <w:rFonts w:ascii="Arial" w:hAnsi="Arial" w:cs="Arial"/>
                <w:sz w:val="18"/>
                <w:szCs w:val="18"/>
              </w:rPr>
              <w:t> </w:t>
            </w:r>
          </w:p>
        </w:tc>
        <w:tc>
          <w:tcPr>
            <w:tcW w:w="1249" w:type="dxa"/>
            <w:tcBorders>
              <w:top w:val="nil"/>
              <w:left w:val="nil"/>
              <w:bottom w:val="nil"/>
              <w:right w:val="nil"/>
            </w:tcBorders>
            <w:shd w:val="clear" w:color="FFFFFF" w:fill="FFFFFF"/>
            <w:noWrap/>
            <w:vAlign w:val="bottom"/>
            <w:hideMark/>
          </w:tcPr>
          <w:p w14:paraId="1205B88A" w14:textId="77777777" w:rsidR="00A43992" w:rsidRDefault="00A43992" w:rsidP="007211E3">
            <w:pPr>
              <w:jc w:val="right"/>
              <w:rPr>
                <w:rFonts w:ascii="Arial" w:hAnsi="Arial" w:cs="Arial"/>
                <w:sz w:val="18"/>
                <w:szCs w:val="18"/>
              </w:rPr>
            </w:pPr>
            <w:r>
              <w:rPr>
                <w:rFonts w:ascii="Arial" w:hAnsi="Arial" w:cs="Arial"/>
                <w:sz w:val="18"/>
                <w:szCs w:val="18"/>
              </w:rPr>
              <w:t>2015</w:t>
            </w:r>
          </w:p>
        </w:tc>
      </w:tr>
      <w:bookmarkEnd w:id="176"/>
      <w:tr w:rsidR="00A43992" w14:paraId="05092B2F" w14:textId="77777777" w:rsidTr="007211E3">
        <w:trPr>
          <w:trHeight w:val="255"/>
        </w:trPr>
        <w:tc>
          <w:tcPr>
            <w:tcW w:w="6353" w:type="dxa"/>
            <w:tcBorders>
              <w:top w:val="nil"/>
              <w:left w:val="nil"/>
              <w:bottom w:val="nil"/>
              <w:right w:val="nil"/>
            </w:tcBorders>
            <w:shd w:val="clear" w:color="FFFFFF" w:fill="FFFFFF"/>
            <w:noWrap/>
            <w:vAlign w:val="bottom"/>
            <w:hideMark/>
          </w:tcPr>
          <w:p w14:paraId="12C07EAF" w14:textId="77777777" w:rsidR="00A43992" w:rsidRDefault="00A43992" w:rsidP="007211E3">
            <w:pPr>
              <w:rPr>
                <w:rFonts w:ascii="Arial" w:hAnsi="Arial" w:cs="Arial"/>
                <w:b/>
                <w:bCs/>
                <w:sz w:val="18"/>
                <w:szCs w:val="18"/>
                <w:u w:val="single"/>
              </w:rPr>
            </w:pPr>
            <w:r>
              <w:rPr>
                <w:rFonts w:ascii="Arial" w:hAnsi="Arial" w:cs="Arial"/>
                <w:b/>
                <w:bCs/>
                <w:sz w:val="18"/>
                <w:szCs w:val="18"/>
                <w:u w:val="single"/>
              </w:rPr>
              <w:t>Note 1.1C: Grants</w:t>
            </w:r>
          </w:p>
        </w:tc>
        <w:tc>
          <w:tcPr>
            <w:tcW w:w="1249" w:type="dxa"/>
            <w:tcBorders>
              <w:top w:val="nil"/>
              <w:left w:val="nil"/>
              <w:bottom w:val="nil"/>
              <w:right w:val="nil"/>
            </w:tcBorders>
            <w:shd w:val="clear" w:color="FFFFFF" w:fill="FFFFFF"/>
            <w:noWrap/>
            <w:vAlign w:val="bottom"/>
            <w:hideMark/>
          </w:tcPr>
          <w:p w14:paraId="7DC8AB08" w14:textId="77777777" w:rsidR="00A43992" w:rsidRDefault="00A43992" w:rsidP="007211E3">
            <w:pPr>
              <w:jc w:val="right"/>
              <w:rPr>
                <w:rFonts w:ascii="Arial" w:hAnsi="Arial" w:cs="Arial"/>
                <w:b/>
                <w:bCs/>
                <w:sz w:val="18"/>
                <w:szCs w:val="18"/>
              </w:rPr>
            </w:pPr>
            <w:r>
              <w:rPr>
                <w:rFonts w:ascii="Arial" w:hAnsi="Arial" w:cs="Arial"/>
                <w:b/>
                <w:bCs/>
                <w:sz w:val="18"/>
                <w:szCs w:val="18"/>
              </w:rPr>
              <w:t>$'000</w:t>
            </w:r>
          </w:p>
        </w:tc>
        <w:tc>
          <w:tcPr>
            <w:tcW w:w="236" w:type="dxa"/>
            <w:tcBorders>
              <w:top w:val="nil"/>
              <w:left w:val="nil"/>
              <w:bottom w:val="nil"/>
              <w:right w:val="nil"/>
            </w:tcBorders>
            <w:shd w:val="clear" w:color="FFFFFF" w:fill="FFFFFF"/>
            <w:noWrap/>
            <w:vAlign w:val="bottom"/>
            <w:hideMark/>
          </w:tcPr>
          <w:p w14:paraId="165644BD" w14:textId="77777777" w:rsidR="00A43992" w:rsidRDefault="00A43992" w:rsidP="007211E3">
            <w:pPr>
              <w:rPr>
                <w:rFonts w:ascii="Arial" w:hAnsi="Arial" w:cs="Arial"/>
                <w:sz w:val="18"/>
                <w:szCs w:val="18"/>
              </w:rPr>
            </w:pPr>
            <w:r>
              <w:rPr>
                <w:rFonts w:ascii="Arial" w:hAnsi="Arial" w:cs="Arial"/>
                <w:sz w:val="18"/>
                <w:szCs w:val="18"/>
              </w:rPr>
              <w:t> </w:t>
            </w:r>
          </w:p>
        </w:tc>
        <w:tc>
          <w:tcPr>
            <w:tcW w:w="1249" w:type="dxa"/>
            <w:tcBorders>
              <w:top w:val="nil"/>
              <w:left w:val="nil"/>
              <w:bottom w:val="nil"/>
              <w:right w:val="nil"/>
            </w:tcBorders>
            <w:shd w:val="clear" w:color="FFFFFF" w:fill="FFFFFF"/>
            <w:noWrap/>
            <w:vAlign w:val="bottom"/>
            <w:hideMark/>
          </w:tcPr>
          <w:p w14:paraId="0697B50B" w14:textId="77777777" w:rsidR="00A43992" w:rsidRDefault="00A43992" w:rsidP="007211E3">
            <w:pPr>
              <w:jc w:val="right"/>
              <w:rPr>
                <w:rFonts w:ascii="Arial" w:hAnsi="Arial" w:cs="Arial"/>
                <w:sz w:val="18"/>
                <w:szCs w:val="18"/>
              </w:rPr>
            </w:pPr>
            <w:r>
              <w:rPr>
                <w:rFonts w:ascii="Arial" w:hAnsi="Arial" w:cs="Arial"/>
                <w:sz w:val="18"/>
                <w:szCs w:val="18"/>
              </w:rPr>
              <w:t>$'000</w:t>
            </w:r>
          </w:p>
        </w:tc>
      </w:tr>
      <w:tr w:rsidR="00A43992" w14:paraId="7E8C9B28" w14:textId="77777777" w:rsidTr="007211E3">
        <w:trPr>
          <w:trHeight w:val="255"/>
        </w:trPr>
        <w:tc>
          <w:tcPr>
            <w:tcW w:w="6353" w:type="dxa"/>
            <w:tcBorders>
              <w:top w:val="nil"/>
              <w:left w:val="nil"/>
              <w:bottom w:val="nil"/>
              <w:right w:val="nil"/>
            </w:tcBorders>
            <w:shd w:val="clear" w:color="FFFFFF" w:fill="FFFFFF"/>
            <w:noWrap/>
            <w:vAlign w:val="bottom"/>
            <w:hideMark/>
          </w:tcPr>
          <w:p w14:paraId="4BCA68CA" w14:textId="77777777" w:rsidR="00A43992" w:rsidRDefault="00A43992" w:rsidP="007211E3">
            <w:pPr>
              <w:ind w:firstLineChars="100" w:firstLine="180"/>
              <w:rPr>
                <w:rFonts w:ascii="Arial" w:hAnsi="Arial" w:cs="Arial"/>
                <w:sz w:val="18"/>
                <w:szCs w:val="18"/>
              </w:rPr>
            </w:pPr>
            <w:r>
              <w:rPr>
                <w:rFonts w:ascii="Arial" w:hAnsi="Arial" w:cs="Arial"/>
                <w:sz w:val="18"/>
                <w:szCs w:val="18"/>
              </w:rPr>
              <w:t>Public sector</w:t>
            </w:r>
          </w:p>
        </w:tc>
        <w:tc>
          <w:tcPr>
            <w:tcW w:w="1249" w:type="dxa"/>
            <w:tcBorders>
              <w:top w:val="nil"/>
              <w:left w:val="nil"/>
              <w:bottom w:val="nil"/>
              <w:right w:val="nil"/>
            </w:tcBorders>
            <w:shd w:val="clear" w:color="FFFFFF" w:fill="FFFFFF"/>
            <w:noWrap/>
            <w:vAlign w:val="bottom"/>
            <w:hideMark/>
          </w:tcPr>
          <w:p w14:paraId="2F22E87F" w14:textId="77777777" w:rsidR="00A43992" w:rsidRDefault="00A43992" w:rsidP="007211E3">
            <w:pPr>
              <w:jc w:val="right"/>
              <w:rPr>
                <w:rFonts w:ascii="Arial" w:hAnsi="Arial" w:cs="Arial"/>
                <w:b/>
                <w:bCs/>
                <w:color w:val="F7FBFF"/>
                <w:sz w:val="18"/>
                <w:szCs w:val="18"/>
              </w:rPr>
            </w:pPr>
            <w:r>
              <w:rPr>
                <w:rFonts w:ascii="Arial" w:hAnsi="Arial" w:cs="Arial"/>
                <w:b/>
                <w:bCs/>
                <w:color w:val="F7FBFF"/>
                <w:sz w:val="18"/>
                <w:szCs w:val="18"/>
              </w:rPr>
              <w:t>(10,897)</w:t>
            </w:r>
          </w:p>
        </w:tc>
        <w:tc>
          <w:tcPr>
            <w:tcW w:w="236" w:type="dxa"/>
            <w:tcBorders>
              <w:top w:val="nil"/>
              <w:left w:val="nil"/>
              <w:bottom w:val="nil"/>
              <w:right w:val="nil"/>
            </w:tcBorders>
            <w:shd w:val="clear" w:color="FFFFFF" w:fill="FFFFFF"/>
            <w:noWrap/>
            <w:vAlign w:val="bottom"/>
            <w:hideMark/>
          </w:tcPr>
          <w:p w14:paraId="693E252E" w14:textId="77777777" w:rsidR="00A43992" w:rsidRDefault="00A43992" w:rsidP="007211E3">
            <w:pPr>
              <w:rPr>
                <w:rFonts w:ascii="Arial" w:hAnsi="Arial" w:cs="Arial"/>
                <w:color w:val="F7FBFF"/>
                <w:sz w:val="18"/>
                <w:szCs w:val="18"/>
              </w:rPr>
            </w:pPr>
            <w:r>
              <w:rPr>
                <w:rFonts w:ascii="Arial" w:hAnsi="Arial" w:cs="Arial"/>
                <w:color w:val="F7FBFF"/>
                <w:sz w:val="18"/>
                <w:szCs w:val="18"/>
              </w:rPr>
              <w:t> </w:t>
            </w:r>
          </w:p>
        </w:tc>
        <w:tc>
          <w:tcPr>
            <w:tcW w:w="1249" w:type="dxa"/>
            <w:tcBorders>
              <w:top w:val="nil"/>
              <w:left w:val="nil"/>
              <w:bottom w:val="nil"/>
              <w:right w:val="nil"/>
            </w:tcBorders>
            <w:shd w:val="clear" w:color="FFFFFF" w:fill="FFFFFF"/>
            <w:noWrap/>
            <w:vAlign w:val="bottom"/>
            <w:hideMark/>
          </w:tcPr>
          <w:p w14:paraId="102535C6" w14:textId="77777777" w:rsidR="00A43992" w:rsidRDefault="00A43992" w:rsidP="007211E3">
            <w:pPr>
              <w:jc w:val="right"/>
              <w:rPr>
                <w:rFonts w:ascii="Arial" w:hAnsi="Arial" w:cs="Arial"/>
                <w:color w:val="F7FBFF"/>
                <w:sz w:val="18"/>
                <w:szCs w:val="18"/>
              </w:rPr>
            </w:pPr>
            <w:r>
              <w:rPr>
                <w:rFonts w:ascii="Arial" w:hAnsi="Arial" w:cs="Arial"/>
                <w:color w:val="F7FBFF"/>
                <w:sz w:val="18"/>
                <w:szCs w:val="18"/>
              </w:rPr>
              <w:t>(14,928)</w:t>
            </w:r>
          </w:p>
        </w:tc>
      </w:tr>
      <w:tr w:rsidR="00A43992" w14:paraId="5C58F3B9" w14:textId="77777777" w:rsidTr="007211E3">
        <w:trPr>
          <w:trHeight w:val="255"/>
        </w:trPr>
        <w:tc>
          <w:tcPr>
            <w:tcW w:w="6353" w:type="dxa"/>
            <w:tcBorders>
              <w:top w:val="nil"/>
              <w:left w:val="nil"/>
              <w:bottom w:val="nil"/>
              <w:right w:val="nil"/>
            </w:tcBorders>
            <w:shd w:val="clear" w:color="FFFFFF" w:fill="FFFFFF"/>
            <w:noWrap/>
            <w:vAlign w:val="bottom"/>
            <w:hideMark/>
          </w:tcPr>
          <w:p w14:paraId="73295081" w14:textId="77777777" w:rsidR="00A43992" w:rsidRDefault="00A43992" w:rsidP="007211E3">
            <w:pPr>
              <w:ind w:firstLineChars="200" w:firstLine="360"/>
              <w:rPr>
                <w:rFonts w:ascii="Arial" w:hAnsi="Arial" w:cs="Arial"/>
                <w:sz w:val="18"/>
                <w:szCs w:val="18"/>
              </w:rPr>
            </w:pPr>
            <w:r>
              <w:rPr>
                <w:rFonts w:ascii="Arial" w:hAnsi="Arial" w:cs="Arial"/>
                <w:sz w:val="18"/>
                <w:szCs w:val="18"/>
              </w:rPr>
              <w:t>State and territory governments</w:t>
            </w:r>
          </w:p>
        </w:tc>
        <w:tc>
          <w:tcPr>
            <w:tcW w:w="1249" w:type="dxa"/>
            <w:tcBorders>
              <w:top w:val="nil"/>
              <w:left w:val="nil"/>
              <w:bottom w:val="nil"/>
              <w:right w:val="nil"/>
            </w:tcBorders>
            <w:shd w:val="clear" w:color="FFFFFF" w:fill="FFFFFF"/>
            <w:noWrap/>
            <w:vAlign w:val="bottom"/>
            <w:hideMark/>
          </w:tcPr>
          <w:p w14:paraId="13025230" w14:textId="77777777" w:rsidR="00A43992" w:rsidRDefault="00A43992" w:rsidP="007211E3">
            <w:pPr>
              <w:jc w:val="right"/>
              <w:rPr>
                <w:rFonts w:ascii="Arial" w:hAnsi="Arial" w:cs="Arial"/>
                <w:b/>
                <w:bCs/>
                <w:sz w:val="18"/>
                <w:szCs w:val="18"/>
              </w:rPr>
            </w:pPr>
            <w:r>
              <w:rPr>
                <w:rFonts w:ascii="Arial" w:hAnsi="Arial" w:cs="Arial"/>
                <w:b/>
                <w:bCs/>
                <w:sz w:val="18"/>
                <w:szCs w:val="18"/>
              </w:rPr>
              <w:t>1,939</w:t>
            </w:r>
          </w:p>
        </w:tc>
        <w:tc>
          <w:tcPr>
            <w:tcW w:w="236" w:type="dxa"/>
            <w:tcBorders>
              <w:top w:val="nil"/>
              <w:left w:val="nil"/>
              <w:bottom w:val="nil"/>
              <w:right w:val="nil"/>
            </w:tcBorders>
            <w:shd w:val="clear" w:color="FFFFFF" w:fill="FFFFFF"/>
            <w:noWrap/>
            <w:vAlign w:val="bottom"/>
            <w:hideMark/>
          </w:tcPr>
          <w:p w14:paraId="5B17AF83" w14:textId="77777777" w:rsidR="00A43992" w:rsidRDefault="00A43992" w:rsidP="007211E3">
            <w:pPr>
              <w:rPr>
                <w:rFonts w:ascii="Arial" w:hAnsi="Arial" w:cs="Arial"/>
                <w:sz w:val="18"/>
                <w:szCs w:val="18"/>
              </w:rPr>
            </w:pPr>
            <w:r>
              <w:rPr>
                <w:rFonts w:ascii="Arial" w:hAnsi="Arial" w:cs="Arial"/>
                <w:sz w:val="18"/>
                <w:szCs w:val="18"/>
              </w:rPr>
              <w:t> </w:t>
            </w:r>
          </w:p>
        </w:tc>
        <w:tc>
          <w:tcPr>
            <w:tcW w:w="1249" w:type="dxa"/>
            <w:tcBorders>
              <w:top w:val="nil"/>
              <w:left w:val="nil"/>
              <w:bottom w:val="nil"/>
              <w:right w:val="nil"/>
            </w:tcBorders>
            <w:shd w:val="clear" w:color="FFFFFF" w:fill="FFFFFF"/>
            <w:noWrap/>
            <w:vAlign w:val="bottom"/>
            <w:hideMark/>
          </w:tcPr>
          <w:p w14:paraId="36B517A5" w14:textId="77777777" w:rsidR="00A43992" w:rsidRDefault="00A43992" w:rsidP="007211E3">
            <w:pPr>
              <w:jc w:val="right"/>
              <w:rPr>
                <w:rFonts w:ascii="Arial" w:hAnsi="Arial" w:cs="Arial"/>
                <w:sz w:val="18"/>
                <w:szCs w:val="18"/>
              </w:rPr>
            </w:pPr>
            <w:r>
              <w:rPr>
                <w:rFonts w:ascii="Arial" w:hAnsi="Arial" w:cs="Arial"/>
                <w:sz w:val="18"/>
                <w:szCs w:val="18"/>
              </w:rPr>
              <w:t>5,272</w:t>
            </w:r>
          </w:p>
        </w:tc>
      </w:tr>
      <w:tr w:rsidR="00A43992" w14:paraId="695EE3BA" w14:textId="77777777" w:rsidTr="007211E3">
        <w:trPr>
          <w:trHeight w:val="255"/>
        </w:trPr>
        <w:tc>
          <w:tcPr>
            <w:tcW w:w="6353" w:type="dxa"/>
            <w:tcBorders>
              <w:top w:val="nil"/>
              <w:left w:val="nil"/>
              <w:bottom w:val="nil"/>
              <w:right w:val="nil"/>
            </w:tcBorders>
            <w:shd w:val="clear" w:color="FFFFFF" w:fill="FFFFFF"/>
            <w:noWrap/>
            <w:vAlign w:val="bottom"/>
            <w:hideMark/>
          </w:tcPr>
          <w:p w14:paraId="5B8AF7CB" w14:textId="77777777" w:rsidR="00A43992" w:rsidRDefault="00A43992" w:rsidP="007211E3">
            <w:pPr>
              <w:ind w:firstLineChars="100" w:firstLine="180"/>
              <w:rPr>
                <w:rFonts w:ascii="Arial" w:hAnsi="Arial" w:cs="Arial"/>
                <w:sz w:val="18"/>
                <w:szCs w:val="18"/>
              </w:rPr>
            </w:pPr>
            <w:r>
              <w:rPr>
                <w:rFonts w:ascii="Arial" w:hAnsi="Arial" w:cs="Arial"/>
                <w:sz w:val="18"/>
                <w:szCs w:val="18"/>
              </w:rPr>
              <w:t>Private sector</w:t>
            </w:r>
          </w:p>
        </w:tc>
        <w:tc>
          <w:tcPr>
            <w:tcW w:w="1249" w:type="dxa"/>
            <w:tcBorders>
              <w:top w:val="nil"/>
              <w:left w:val="nil"/>
              <w:bottom w:val="nil"/>
              <w:right w:val="nil"/>
            </w:tcBorders>
            <w:shd w:val="clear" w:color="FFFFFF" w:fill="FFFFFF"/>
            <w:noWrap/>
            <w:vAlign w:val="bottom"/>
            <w:hideMark/>
          </w:tcPr>
          <w:p w14:paraId="7D50FCAF" w14:textId="77777777" w:rsidR="00A43992" w:rsidRDefault="00A43992" w:rsidP="007211E3">
            <w:pPr>
              <w:jc w:val="right"/>
              <w:rPr>
                <w:rFonts w:ascii="Arial" w:hAnsi="Arial" w:cs="Arial"/>
                <w:b/>
                <w:bCs/>
                <w:sz w:val="18"/>
                <w:szCs w:val="18"/>
              </w:rPr>
            </w:pPr>
            <w:r>
              <w:rPr>
                <w:rFonts w:ascii="Arial" w:hAnsi="Arial" w:cs="Arial"/>
                <w:b/>
                <w:bCs/>
                <w:sz w:val="18"/>
                <w:szCs w:val="18"/>
              </w:rPr>
              <w:t> </w:t>
            </w:r>
          </w:p>
        </w:tc>
        <w:tc>
          <w:tcPr>
            <w:tcW w:w="236" w:type="dxa"/>
            <w:tcBorders>
              <w:top w:val="nil"/>
              <w:left w:val="nil"/>
              <w:bottom w:val="nil"/>
              <w:right w:val="nil"/>
            </w:tcBorders>
            <w:shd w:val="clear" w:color="FFFFFF" w:fill="FFFFFF"/>
            <w:noWrap/>
            <w:vAlign w:val="bottom"/>
            <w:hideMark/>
          </w:tcPr>
          <w:p w14:paraId="26FAD2E4" w14:textId="77777777" w:rsidR="00A43992" w:rsidRDefault="00A43992" w:rsidP="007211E3">
            <w:pPr>
              <w:rPr>
                <w:rFonts w:ascii="Arial" w:hAnsi="Arial" w:cs="Arial"/>
                <w:sz w:val="18"/>
                <w:szCs w:val="18"/>
              </w:rPr>
            </w:pPr>
            <w:r>
              <w:rPr>
                <w:rFonts w:ascii="Arial" w:hAnsi="Arial" w:cs="Arial"/>
                <w:sz w:val="18"/>
                <w:szCs w:val="18"/>
              </w:rPr>
              <w:t> </w:t>
            </w:r>
          </w:p>
        </w:tc>
        <w:tc>
          <w:tcPr>
            <w:tcW w:w="1249" w:type="dxa"/>
            <w:tcBorders>
              <w:top w:val="nil"/>
              <w:left w:val="nil"/>
              <w:bottom w:val="nil"/>
              <w:right w:val="nil"/>
            </w:tcBorders>
            <w:shd w:val="clear" w:color="FFFFFF" w:fill="FFFFFF"/>
            <w:noWrap/>
            <w:vAlign w:val="bottom"/>
            <w:hideMark/>
          </w:tcPr>
          <w:p w14:paraId="7F793E7B" w14:textId="77777777" w:rsidR="00A43992" w:rsidRDefault="00A43992" w:rsidP="007211E3">
            <w:pPr>
              <w:jc w:val="right"/>
              <w:rPr>
                <w:rFonts w:ascii="Arial" w:hAnsi="Arial" w:cs="Arial"/>
                <w:sz w:val="18"/>
                <w:szCs w:val="18"/>
              </w:rPr>
            </w:pPr>
            <w:r>
              <w:rPr>
                <w:rFonts w:ascii="Arial" w:hAnsi="Arial" w:cs="Arial"/>
                <w:sz w:val="18"/>
                <w:szCs w:val="18"/>
              </w:rPr>
              <w:t> </w:t>
            </w:r>
          </w:p>
        </w:tc>
      </w:tr>
      <w:tr w:rsidR="00A43992" w14:paraId="61BA0840" w14:textId="77777777" w:rsidTr="007211E3">
        <w:trPr>
          <w:trHeight w:val="255"/>
        </w:trPr>
        <w:tc>
          <w:tcPr>
            <w:tcW w:w="6353" w:type="dxa"/>
            <w:tcBorders>
              <w:top w:val="nil"/>
              <w:left w:val="nil"/>
              <w:bottom w:val="nil"/>
              <w:right w:val="nil"/>
            </w:tcBorders>
            <w:shd w:val="clear" w:color="FFFFFF" w:fill="FFFFFF"/>
            <w:noWrap/>
            <w:vAlign w:val="bottom"/>
            <w:hideMark/>
          </w:tcPr>
          <w:p w14:paraId="785337E6" w14:textId="77777777" w:rsidR="00A43992" w:rsidRDefault="00A43992" w:rsidP="007211E3">
            <w:pPr>
              <w:ind w:firstLineChars="200" w:firstLine="360"/>
              <w:rPr>
                <w:rFonts w:ascii="Arial" w:hAnsi="Arial" w:cs="Arial"/>
                <w:sz w:val="18"/>
                <w:szCs w:val="18"/>
              </w:rPr>
            </w:pPr>
            <w:r>
              <w:rPr>
                <w:rFonts w:ascii="Arial" w:hAnsi="Arial" w:cs="Arial"/>
                <w:sz w:val="18"/>
                <w:szCs w:val="18"/>
              </w:rPr>
              <w:t xml:space="preserve">Not for profit </w:t>
            </w:r>
            <w:proofErr w:type="spellStart"/>
            <w:r>
              <w:rPr>
                <w:rFonts w:ascii="Arial" w:hAnsi="Arial" w:cs="Arial"/>
                <w:sz w:val="18"/>
                <w:szCs w:val="18"/>
              </w:rPr>
              <w:t>organisations</w:t>
            </w:r>
            <w:proofErr w:type="spellEnd"/>
          </w:p>
        </w:tc>
        <w:tc>
          <w:tcPr>
            <w:tcW w:w="1249" w:type="dxa"/>
            <w:tcBorders>
              <w:top w:val="nil"/>
              <w:left w:val="nil"/>
              <w:bottom w:val="nil"/>
              <w:right w:val="nil"/>
            </w:tcBorders>
            <w:shd w:val="clear" w:color="FFFFFF" w:fill="FFFFFF"/>
            <w:noWrap/>
            <w:vAlign w:val="bottom"/>
            <w:hideMark/>
          </w:tcPr>
          <w:p w14:paraId="2B9470E3" w14:textId="77777777" w:rsidR="00A43992" w:rsidRDefault="00A43992" w:rsidP="007211E3">
            <w:pPr>
              <w:jc w:val="right"/>
              <w:rPr>
                <w:rFonts w:ascii="Arial" w:hAnsi="Arial" w:cs="Arial"/>
                <w:b/>
                <w:bCs/>
                <w:sz w:val="18"/>
                <w:szCs w:val="18"/>
              </w:rPr>
            </w:pPr>
            <w:r>
              <w:rPr>
                <w:rFonts w:ascii="Arial" w:hAnsi="Arial" w:cs="Arial"/>
                <w:b/>
                <w:bCs/>
                <w:sz w:val="18"/>
                <w:szCs w:val="18"/>
              </w:rPr>
              <w:t>7,019</w:t>
            </w:r>
          </w:p>
        </w:tc>
        <w:tc>
          <w:tcPr>
            <w:tcW w:w="236" w:type="dxa"/>
            <w:tcBorders>
              <w:top w:val="nil"/>
              <w:left w:val="nil"/>
              <w:bottom w:val="nil"/>
              <w:right w:val="nil"/>
            </w:tcBorders>
            <w:shd w:val="clear" w:color="FFFFFF" w:fill="FFFFFF"/>
            <w:noWrap/>
            <w:vAlign w:val="bottom"/>
            <w:hideMark/>
          </w:tcPr>
          <w:p w14:paraId="78BB7187" w14:textId="77777777" w:rsidR="00A43992" w:rsidRDefault="00A43992" w:rsidP="007211E3">
            <w:pPr>
              <w:rPr>
                <w:rFonts w:ascii="Arial" w:hAnsi="Arial" w:cs="Arial"/>
                <w:sz w:val="18"/>
                <w:szCs w:val="18"/>
              </w:rPr>
            </w:pPr>
            <w:r>
              <w:rPr>
                <w:rFonts w:ascii="Arial" w:hAnsi="Arial" w:cs="Arial"/>
                <w:sz w:val="18"/>
                <w:szCs w:val="18"/>
              </w:rPr>
              <w:t> </w:t>
            </w:r>
          </w:p>
        </w:tc>
        <w:tc>
          <w:tcPr>
            <w:tcW w:w="1249" w:type="dxa"/>
            <w:tcBorders>
              <w:top w:val="nil"/>
              <w:left w:val="nil"/>
              <w:bottom w:val="nil"/>
              <w:right w:val="nil"/>
            </w:tcBorders>
            <w:shd w:val="clear" w:color="FFFFFF" w:fill="FFFFFF"/>
            <w:noWrap/>
            <w:vAlign w:val="bottom"/>
            <w:hideMark/>
          </w:tcPr>
          <w:p w14:paraId="49FF49AB" w14:textId="77777777" w:rsidR="00A43992" w:rsidRDefault="00A43992" w:rsidP="007211E3">
            <w:pPr>
              <w:jc w:val="right"/>
              <w:rPr>
                <w:rFonts w:ascii="Arial" w:hAnsi="Arial" w:cs="Arial"/>
                <w:sz w:val="18"/>
                <w:szCs w:val="18"/>
              </w:rPr>
            </w:pPr>
            <w:r>
              <w:rPr>
                <w:rFonts w:ascii="Arial" w:hAnsi="Arial" w:cs="Arial"/>
                <w:sz w:val="18"/>
                <w:szCs w:val="18"/>
              </w:rPr>
              <w:t>9,656</w:t>
            </w:r>
          </w:p>
        </w:tc>
      </w:tr>
      <w:tr w:rsidR="00A43992" w14:paraId="40860F25" w14:textId="77777777" w:rsidTr="007211E3">
        <w:trPr>
          <w:trHeight w:val="255"/>
        </w:trPr>
        <w:tc>
          <w:tcPr>
            <w:tcW w:w="6353" w:type="dxa"/>
            <w:tcBorders>
              <w:top w:val="nil"/>
              <w:left w:val="nil"/>
              <w:bottom w:val="nil"/>
              <w:right w:val="nil"/>
            </w:tcBorders>
            <w:shd w:val="clear" w:color="FFFFFF" w:fill="FFFFFF"/>
            <w:vAlign w:val="bottom"/>
            <w:hideMark/>
          </w:tcPr>
          <w:p w14:paraId="38DB6501" w14:textId="77777777" w:rsidR="00A43992" w:rsidRDefault="00A43992" w:rsidP="007211E3">
            <w:pPr>
              <w:rPr>
                <w:rFonts w:ascii="Arial" w:hAnsi="Arial" w:cs="Arial"/>
                <w:b/>
                <w:bCs/>
                <w:sz w:val="18"/>
                <w:szCs w:val="18"/>
              </w:rPr>
            </w:pPr>
            <w:r>
              <w:rPr>
                <w:rFonts w:ascii="Arial" w:hAnsi="Arial" w:cs="Arial"/>
                <w:b/>
                <w:bCs/>
                <w:sz w:val="18"/>
                <w:szCs w:val="18"/>
              </w:rPr>
              <w:t>Total grants</w:t>
            </w:r>
          </w:p>
        </w:tc>
        <w:tc>
          <w:tcPr>
            <w:tcW w:w="1249" w:type="dxa"/>
            <w:tcBorders>
              <w:top w:val="single" w:sz="4" w:space="0" w:color="auto"/>
              <w:left w:val="nil"/>
              <w:bottom w:val="single" w:sz="4" w:space="0" w:color="auto"/>
              <w:right w:val="nil"/>
            </w:tcBorders>
            <w:shd w:val="clear" w:color="FFFFFF" w:fill="FFFFFF"/>
            <w:noWrap/>
            <w:vAlign w:val="bottom"/>
            <w:hideMark/>
          </w:tcPr>
          <w:p w14:paraId="53BEA477" w14:textId="77777777" w:rsidR="00A43992" w:rsidRDefault="00A43992" w:rsidP="007211E3">
            <w:pPr>
              <w:jc w:val="right"/>
              <w:rPr>
                <w:rFonts w:ascii="Arial" w:hAnsi="Arial" w:cs="Arial"/>
                <w:b/>
                <w:bCs/>
                <w:sz w:val="18"/>
                <w:szCs w:val="18"/>
              </w:rPr>
            </w:pPr>
            <w:r>
              <w:rPr>
                <w:rFonts w:ascii="Arial" w:hAnsi="Arial" w:cs="Arial"/>
                <w:b/>
                <w:bCs/>
                <w:sz w:val="18"/>
                <w:szCs w:val="18"/>
              </w:rPr>
              <w:t>8,958</w:t>
            </w:r>
          </w:p>
        </w:tc>
        <w:tc>
          <w:tcPr>
            <w:tcW w:w="236" w:type="dxa"/>
            <w:tcBorders>
              <w:top w:val="nil"/>
              <w:left w:val="nil"/>
              <w:bottom w:val="nil"/>
              <w:right w:val="nil"/>
            </w:tcBorders>
            <w:shd w:val="clear" w:color="FFFFFF" w:fill="FFFFFF"/>
            <w:noWrap/>
            <w:vAlign w:val="bottom"/>
            <w:hideMark/>
          </w:tcPr>
          <w:p w14:paraId="53B83F8C" w14:textId="77777777" w:rsidR="00A43992" w:rsidRDefault="00A43992" w:rsidP="007211E3">
            <w:pPr>
              <w:rPr>
                <w:rFonts w:ascii="Arial" w:hAnsi="Arial" w:cs="Arial"/>
                <w:sz w:val="18"/>
                <w:szCs w:val="18"/>
              </w:rPr>
            </w:pPr>
            <w:r>
              <w:rPr>
                <w:rFonts w:ascii="Arial" w:hAnsi="Arial" w:cs="Arial"/>
                <w:sz w:val="18"/>
                <w:szCs w:val="18"/>
              </w:rPr>
              <w:t> </w:t>
            </w:r>
          </w:p>
        </w:tc>
        <w:tc>
          <w:tcPr>
            <w:tcW w:w="1249" w:type="dxa"/>
            <w:tcBorders>
              <w:top w:val="single" w:sz="4" w:space="0" w:color="auto"/>
              <w:left w:val="nil"/>
              <w:bottom w:val="single" w:sz="4" w:space="0" w:color="auto"/>
              <w:right w:val="nil"/>
            </w:tcBorders>
            <w:shd w:val="clear" w:color="FFFFFF" w:fill="FFFFFF"/>
            <w:noWrap/>
            <w:vAlign w:val="bottom"/>
            <w:hideMark/>
          </w:tcPr>
          <w:p w14:paraId="5E6AC14A" w14:textId="77777777" w:rsidR="00A43992" w:rsidRDefault="00A43992" w:rsidP="007211E3">
            <w:pPr>
              <w:jc w:val="right"/>
              <w:rPr>
                <w:rFonts w:ascii="Arial" w:hAnsi="Arial" w:cs="Arial"/>
                <w:sz w:val="18"/>
                <w:szCs w:val="18"/>
              </w:rPr>
            </w:pPr>
            <w:r>
              <w:rPr>
                <w:rFonts w:ascii="Arial" w:hAnsi="Arial" w:cs="Arial"/>
                <w:sz w:val="18"/>
                <w:szCs w:val="18"/>
              </w:rPr>
              <w:t>14,928</w:t>
            </w:r>
          </w:p>
        </w:tc>
      </w:tr>
      <w:tr w:rsidR="00A43992" w14:paraId="37DF8800" w14:textId="77777777" w:rsidTr="007211E3">
        <w:trPr>
          <w:trHeight w:val="255"/>
        </w:trPr>
        <w:tc>
          <w:tcPr>
            <w:tcW w:w="6353" w:type="dxa"/>
            <w:tcBorders>
              <w:top w:val="nil"/>
              <w:left w:val="nil"/>
              <w:bottom w:val="nil"/>
              <w:right w:val="nil"/>
            </w:tcBorders>
            <w:shd w:val="clear" w:color="FFFFFF" w:fill="FFFFFF"/>
            <w:vAlign w:val="bottom"/>
            <w:hideMark/>
          </w:tcPr>
          <w:p w14:paraId="71FFE16B" w14:textId="77777777" w:rsidR="00A43992" w:rsidRDefault="00A43992" w:rsidP="007211E3">
            <w:pPr>
              <w:rPr>
                <w:rFonts w:ascii="Arial" w:hAnsi="Arial" w:cs="Arial"/>
                <w:b/>
                <w:bCs/>
                <w:sz w:val="18"/>
                <w:szCs w:val="18"/>
              </w:rPr>
            </w:pPr>
            <w:r>
              <w:rPr>
                <w:rFonts w:ascii="Arial" w:hAnsi="Arial" w:cs="Arial"/>
                <w:b/>
                <w:bCs/>
                <w:sz w:val="18"/>
                <w:szCs w:val="18"/>
              </w:rPr>
              <w:t> </w:t>
            </w:r>
          </w:p>
        </w:tc>
        <w:tc>
          <w:tcPr>
            <w:tcW w:w="1249" w:type="dxa"/>
            <w:tcBorders>
              <w:top w:val="nil"/>
              <w:left w:val="nil"/>
              <w:bottom w:val="nil"/>
              <w:right w:val="nil"/>
            </w:tcBorders>
            <w:shd w:val="clear" w:color="FFFFFF" w:fill="FFFFFF"/>
            <w:noWrap/>
            <w:vAlign w:val="bottom"/>
            <w:hideMark/>
          </w:tcPr>
          <w:p w14:paraId="0077C40E" w14:textId="77777777" w:rsidR="00A43992" w:rsidRDefault="00A43992" w:rsidP="007211E3">
            <w:pPr>
              <w:jc w:val="right"/>
              <w:rPr>
                <w:rFonts w:ascii="Arial" w:hAnsi="Arial" w:cs="Arial"/>
                <w:b/>
                <w:bCs/>
                <w:sz w:val="18"/>
                <w:szCs w:val="18"/>
              </w:rPr>
            </w:pPr>
            <w:r>
              <w:rPr>
                <w:rFonts w:ascii="Arial" w:hAnsi="Arial" w:cs="Arial"/>
                <w:b/>
                <w:bCs/>
                <w:sz w:val="18"/>
                <w:szCs w:val="18"/>
              </w:rPr>
              <w:t> </w:t>
            </w:r>
          </w:p>
        </w:tc>
        <w:tc>
          <w:tcPr>
            <w:tcW w:w="236" w:type="dxa"/>
            <w:tcBorders>
              <w:top w:val="nil"/>
              <w:left w:val="nil"/>
              <w:bottom w:val="nil"/>
              <w:right w:val="nil"/>
            </w:tcBorders>
            <w:shd w:val="clear" w:color="FFFFFF" w:fill="FFFFFF"/>
            <w:noWrap/>
            <w:vAlign w:val="bottom"/>
            <w:hideMark/>
          </w:tcPr>
          <w:p w14:paraId="0DA8FC12" w14:textId="77777777" w:rsidR="00A43992" w:rsidRDefault="00A43992" w:rsidP="007211E3">
            <w:pPr>
              <w:rPr>
                <w:rFonts w:ascii="Arial" w:hAnsi="Arial" w:cs="Arial"/>
                <w:sz w:val="18"/>
                <w:szCs w:val="18"/>
              </w:rPr>
            </w:pPr>
            <w:r>
              <w:rPr>
                <w:rFonts w:ascii="Arial" w:hAnsi="Arial" w:cs="Arial"/>
                <w:sz w:val="18"/>
                <w:szCs w:val="18"/>
              </w:rPr>
              <w:t> </w:t>
            </w:r>
          </w:p>
        </w:tc>
        <w:tc>
          <w:tcPr>
            <w:tcW w:w="1249" w:type="dxa"/>
            <w:tcBorders>
              <w:top w:val="nil"/>
              <w:left w:val="nil"/>
              <w:bottom w:val="nil"/>
              <w:right w:val="nil"/>
            </w:tcBorders>
            <w:shd w:val="clear" w:color="FFFFFF" w:fill="FFFFFF"/>
            <w:noWrap/>
            <w:vAlign w:val="bottom"/>
            <w:hideMark/>
          </w:tcPr>
          <w:p w14:paraId="26DAEDBF" w14:textId="77777777" w:rsidR="00A43992" w:rsidRDefault="00A43992" w:rsidP="007211E3">
            <w:pPr>
              <w:jc w:val="right"/>
              <w:rPr>
                <w:rFonts w:ascii="Arial" w:hAnsi="Arial" w:cs="Arial"/>
                <w:sz w:val="18"/>
                <w:szCs w:val="18"/>
              </w:rPr>
            </w:pPr>
            <w:r>
              <w:rPr>
                <w:rFonts w:ascii="Arial" w:hAnsi="Arial" w:cs="Arial"/>
                <w:sz w:val="18"/>
                <w:szCs w:val="18"/>
              </w:rPr>
              <w:t> </w:t>
            </w:r>
          </w:p>
        </w:tc>
      </w:tr>
      <w:tr w:rsidR="00A43992" w14:paraId="320DB84D" w14:textId="77777777" w:rsidTr="007211E3">
        <w:trPr>
          <w:trHeight w:val="810"/>
        </w:trPr>
        <w:tc>
          <w:tcPr>
            <w:tcW w:w="9087" w:type="dxa"/>
            <w:gridSpan w:val="4"/>
            <w:tcBorders>
              <w:top w:val="nil"/>
              <w:left w:val="nil"/>
              <w:bottom w:val="nil"/>
              <w:right w:val="nil"/>
            </w:tcBorders>
            <w:shd w:val="clear" w:color="FFFFFF" w:fill="FFFFFF"/>
            <w:hideMark/>
          </w:tcPr>
          <w:p w14:paraId="15712E66" w14:textId="77777777" w:rsidR="00A43992" w:rsidRDefault="00A43992" w:rsidP="007211E3">
            <w:pPr>
              <w:rPr>
                <w:rFonts w:ascii="Arial" w:hAnsi="Arial" w:cs="Arial"/>
                <w:sz w:val="18"/>
                <w:szCs w:val="18"/>
              </w:rPr>
            </w:pPr>
            <w:r>
              <w:rPr>
                <w:rFonts w:ascii="Arial" w:hAnsi="Arial" w:cs="Arial"/>
                <w:sz w:val="18"/>
                <w:szCs w:val="18"/>
              </w:rPr>
              <w:t xml:space="preserve">The Agency provides a range of grants to the disability sector and the community in order to promote improved outcomes for people with a disability, their families and their </w:t>
            </w:r>
            <w:proofErr w:type="spellStart"/>
            <w:r>
              <w:rPr>
                <w:rFonts w:ascii="Arial" w:hAnsi="Arial" w:cs="Arial"/>
                <w:sz w:val="18"/>
                <w:szCs w:val="18"/>
              </w:rPr>
              <w:t>carers</w:t>
            </w:r>
            <w:proofErr w:type="spellEnd"/>
            <w:r>
              <w:rPr>
                <w:rFonts w:ascii="Arial" w:hAnsi="Arial" w:cs="Arial"/>
                <w:sz w:val="18"/>
                <w:szCs w:val="18"/>
              </w:rPr>
              <w:t>. These grants relate to a range of projects including disability research, increased social and community participation, innovation and education.</w:t>
            </w:r>
          </w:p>
        </w:tc>
      </w:tr>
    </w:tbl>
    <w:p w14:paraId="5364331E" w14:textId="77777777" w:rsidR="00A43992" w:rsidRDefault="00A43992" w:rsidP="00A43992">
      <w:pPr>
        <w:spacing w:line="240" w:lineRule="auto"/>
      </w:pPr>
      <w:bookmarkStart w:id="177" w:name="RANGE!D6:G36"/>
      <w:bookmarkStart w:id="178" w:name="RANGE!D6:G35"/>
      <w:bookmarkStart w:id="179" w:name="RANGE!D6:D34"/>
      <w:bookmarkStart w:id="180" w:name="RANGE!D6:G34"/>
      <w:bookmarkStart w:id="181" w:name="RANGE!D7:G17"/>
      <w:bookmarkStart w:id="182" w:name="RANGE!D6:D17"/>
      <w:bookmarkStart w:id="183" w:name="RANGE!D6:G17"/>
      <w:bookmarkStart w:id="184" w:name="RANGE!D7:G11"/>
      <w:bookmarkStart w:id="185" w:name="RANGE!D6:D10"/>
      <w:bookmarkStart w:id="186" w:name="RANGE!D6:G10"/>
      <w:bookmarkStart w:id="187" w:name="RANGE!D6:G37"/>
      <w:bookmarkStart w:id="188" w:name="RANGE!D6:D38"/>
      <w:bookmarkStart w:id="189" w:name="RANGE!D6:G38"/>
      <w:bookmarkEnd w:id="177"/>
      <w:bookmarkEnd w:id="178"/>
      <w:bookmarkEnd w:id="179"/>
      <w:bookmarkEnd w:id="180"/>
      <w:bookmarkEnd w:id="181"/>
      <w:bookmarkEnd w:id="182"/>
      <w:bookmarkEnd w:id="183"/>
      <w:bookmarkEnd w:id="184"/>
      <w:bookmarkEnd w:id="185"/>
      <w:bookmarkEnd w:id="186"/>
      <w:bookmarkEnd w:id="187"/>
      <w:bookmarkEnd w:id="188"/>
      <w:bookmarkEnd w:id="189"/>
    </w:p>
    <w:tbl>
      <w:tblPr>
        <w:tblW w:w="9087" w:type="dxa"/>
        <w:tblInd w:w="80" w:type="dxa"/>
        <w:tblLayout w:type="fixed"/>
        <w:tblLook w:val="04A0" w:firstRow="1" w:lastRow="0" w:firstColumn="1" w:lastColumn="0" w:noHBand="0" w:noVBand="1"/>
      </w:tblPr>
      <w:tblGrid>
        <w:gridCol w:w="6353"/>
        <w:gridCol w:w="1249"/>
        <w:gridCol w:w="236"/>
        <w:gridCol w:w="1249"/>
      </w:tblGrid>
      <w:tr w:rsidR="00A43992" w14:paraId="561DC36B" w14:textId="77777777" w:rsidTr="007211E3">
        <w:trPr>
          <w:trHeight w:val="255"/>
        </w:trPr>
        <w:tc>
          <w:tcPr>
            <w:tcW w:w="6353" w:type="dxa"/>
            <w:tcBorders>
              <w:top w:val="nil"/>
              <w:left w:val="nil"/>
              <w:bottom w:val="nil"/>
              <w:right w:val="nil"/>
            </w:tcBorders>
            <w:shd w:val="clear" w:color="FFFFFF" w:fill="FFFFFF"/>
            <w:noWrap/>
            <w:vAlign w:val="bottom"/>
            <w:hideMark/>
          </w:tcPr>
          <w:p w14:paraId="4609FB3C" w14:textId="77777777" w:rsidR="00A43992" w:rsidRDefault="00A43992" w:rsidP="007211E3">
            <w:pPr>
              <w:rPr>
                <w:rFonts w:ascii="Arial" w:hAnsi="Arial" w:cs="Arial"/>
                <w:b/>
                <w:bCs/>
                <w:sz w:val="18"/>
                <w:szCs w:val="18"/>
                <w:u w:val="single"/>
              </w:rPr>
            </w:pPr>
            <w:bookmarkStart w:id="190" w:name="RANGE!D8:D13"/>
            <w:bookmarkStart w:id="191" w:name="Note_WDATABLE1" w:colFirst="0" w:colLast="0"/>
            <w:r>
              <w:rPr>
                <w:rFonts w:ascii="Arial" w:hAnsi="Arial" w:cs="Arial"/>
                <w:b/>
                <w:bCs/>
                <w:sz w:val="18"/>
                <w:szCs w:val="18"/>
                <w:u w:val="single"/>
              </w:rPr>
              <w:t>Note 1.1D: Write-down and impairment of assets</w:t>
            </w:r>
            <w:bookmarkEnd w:id="190"/>
          </w:p>
        </w:tc>
        <w:tc>
          <w:tcPr>
            <w:tcW w:w="1249" w:type="dxa"/>
            <w:tcBorders>
              <w:top w:val="nil"/>
              <w:left w:val="nil"/>
              <w:bottom w:val="nil"/>
              <w:right w:val="nil"/>
            </w:tcBorders>
            <w:shd w:val="clear" w:color="FFFFFF" w:fill="FFFFFF"/>
            <w:noWrap/>
            <w:vAlign w:val="bottom"/>
            <w:hideMark/>
          </w:tcPr>
          <w:p w14:paraId="07F817E0" w14:textId="77777777" w:rsidR="00A43992" w:rsidRDefault="00A43992" w:rsidP="007211E3">
            <w:pPr>
              <w:rPr>
                <w:rFonts w:ascii="Arial" w:hAnsi="Arial" w:cs="Arial"/>
                <w:sz w:val="18"/>
                <w:szCs w:val="18"/>
              </w:rPr>
            </w:pPr>
            <w:r>
              <w:rPr>
                <w:rFonts w:ascii="Arial" w:hAnsi="Arial" w:cs="Arial"/>
                <w:sz w:val="18"/>
                <w:szCs w:val="18"/>
              </w:rPr>
              <w:t> </w:t>
            </w:r>
          </w:p>
        </w:tc>
        <w:tc>
          <w:tcPr>
            <w:tcW w:w="236" w:type="dxa"/>
            <w:tcBorders>
              <w:top w:val="nil"/>
              <w:left w:val="nil"/>
              <w:bottom w:val="nil"/>
              <w:right w:val="nil"/>
            </w:tcBorders>
            <w:shd w:val="clear" w:color="FFFFFF" w:fill="FFFFFF"/>
            <w:noWrap/>
            <w:vAlign w:val="bottom"/>
            <w:hideMark/>
          </w:tcPr>
          <w:p w14:paraId="53B88F24" w14:textId="77777777" w:rsidR="00A43992" w:rsidRDefault="00A43992" w:rsidP="007211E3">
            <w:pPr>
              <w:rPr>
                <w:rFonts w:ascii="Arial" w:hAnsi="Arial" w:cs="Arial"/>
                <w:sz w:val="18"/>
                <w:szCs w:val="18"/>
              </w:rPr>
            </w:pPr>
            <w:r>
              <w:rPr>
                <w:rFonts w:ascii="Arial" w:hAnsi="Arial" w:cs="Arial"/>
                <w:sz w:val="18"/>
                <w:szCs w:val="18"/>
              </w:rPr>
              <w:t> </w:t>
            </w:r>
          </w:p>
        </w:tc>
        <w:tc>
          <w:tcPr>
            <w:tcW w:w="1249" w:type="dxa"/>
            <w:tcBorders>
              <w:top w:val="nil"/>
              <w:left w:val="nil"/>
              <w:bottom w:val="nil"/>
              <w:right w:val="nil"/>
            </w:tcBorders>
            <w:shd w:val="clear" w:color="FFFFFF" w:fill="FFFFFF"/>
            <w:noWrap/>
            <w:vAlign w:val="bottom"/>
            <w:hideMark/>
          </w:tcPr>
          <w:p w14:paraId="6A583CB4" w14:textId="77777777" w:rsidR="00A43992" w:rsidRDefault="00A43992" w:rsidP="007211E3">
            <w:pPr>
              <w:rPr>
                <w:rFonts w:ascii="Arial" w:hAnsi="Arial" w:cs="Arial"/>
                <w:sz w:val="18"/>
                <w:szCs w:val="18"/>
              </w:rPr>
            </w:pPr>
            <w:r>
              <w:rPr>
                <w:rFonts w:ascii="Arial" w:hAnsi="Arial" w:cs="Arial"/>
                <w:sz w:val="18"/>
                <w:szCs w:val="18"/>
              </w:rPr>
              <w:t> </w:t>
            </w:r>
          </w:p>
        </w:tc>
      </w:tr>
      <w:bookmarkEnd w:id="191"/>
      <w:tr w:rsidR="00A43992" w14:paraId="25C1EE70" w14:textId="77777777" w:rsidTr="007211E3">
        <w:trPr>
          <w:trHeight w:val="255"/>
        </w:trPr>
        <w:tc>
          <w:tcPr>
            <w:tcW w:w="6353" w:type="dxa"/>
            <w:tcBorders>
              <w:top w:val="nil"/>
              <w:left w:val="nil"/>
              <w:bottom w:val="nil"/>
              <w:right w:val="nil"/>
            </w:tcBorders>
            <w:shd w:val="clear" w:color="FFFFFF" w:fill="FFFFFF"/>
            <w:noWrap/>
            <w:vAlign w:val="bottom"/>
            <w:hideMark/>
          </w:tcPr>
          <w:p w14:paraId="4EDECDA4" w14:textId="77777777" w:rsidR="00A43992" w:rsidRDefault="00A43992" w:rsidP="007211E3">
            <w:pPr>
              <w:rPr>
                <w:rFonts w:ascii="Arial" w:hAnsi="Arial" w:cs="Arial"/>
                <w:sz w:val="18"/>
                <w:szCs w:val="18"/>
              </w:rPr>
            </w:pPr>
            <w:r>
              <w:rPr>
                <w:rFonts w:ascii="Arial" w:hAnsi="Arial" w:cs="Arial"/>
                <w:sz w:val="18"/>
                <w:szCs w:val="18"/>
              </w:rPr>
              <w:t>Trade and other receivables - scheme related</w:t>
            </w:r>
          </w:p>
        </w:tc>
        <w:tc>
          <w:tcPr>
            <w:tcW w:w="1249" w:type="dxa"/>
            <w:tcBorders>
              <w:top w:val="nil"/>
              <w:left w:val="nil"/>
              <w:bottom w:val="nil"/>
              <w:right w:val="nil"/>
            </w:tcBorders>
            <w:shd w:val="clear" w:color="FFFFFF" w:fill="FFFFFF"/>
            <w:noWrap/>
            <w:vAlign w:val="bottom"/>
            <w:hideMark/>
          </w:tcPr>
          <w:p w14:paraId="5483EA63" w14:textId="77777777" w:rsidR="00A43992" w:rsidRDefault="00A43992" w:rsidP="007211E3">
            <w:pPr>
              <w:jc w:val="right"/>
              <w:rPr>
                <w:rFonts w:ascii="Arial" w:hAnsi="Arial" w:cs="Arial"/>
                <w:b/>
                <w:bCs/>
                <w:sz w:val="18"/>
                <w:szCs w:val="18"/>
              </w:rPr>
            </w:pPr>
            <w:r>
              <w:rPr>
                <w:rFonts w:ascii="Arial" w:hAnsi="Arial" w:cs="Arial"/>
                <w:b/>
                <w:bCs/>
                <w:sz w:val="18"/>
                <w:szCs w:val="18"/>
              </w:rPr>
              <w:t>78,693</w:t>
            </w:r>
          </w:p>
        </w:tc>
        <w:tc>
          <w:tcPr>
            <w:tcW w:w="236" w:type="dxa"/>
            <w:tcBorders>
              <w:top w:val="nil"/>
              <w:left w:val="nil"/>
              <w:bottom w:val="nil"/>
              <w:right w:val="nil"/>
            </w:tcBorders>
            <w:shd w:val="clear" w:color="FFFFFF" w:fill="FFFFFF"/>
            <w:noWrap/>
            <w:vAlign w:val="bottom"/>
            <w:hideMark/>
          </w:tcPr>
          <w:p w14:paraId="63C3C1B0" w14:textId="77777777" w:rsidR="00A43992" w:rsidRDefault="00A43992" w:rsidP="007211E3">
            <w:pPr>
              <w:rPr>
                <w:rFonts w:ascii="Arial" w:hAnsi="Arial" w:cs="Arial"/>
                <w:sz w:val="18"/>
                <w:szCs w:val="18"/>
              </w:rPr>
            </w:pPr>
            <w:r>
              <w:rPr>
                <w:rFonts w:ascii="Arial" w:hAnsi="Arial" w:cs="Arial"/>
                <w:sz w:val="18"/>
                <w:szCs w:val="18"/>
              </w:rPr>
              <w:t> </w:t>
            </w:r>
          </w:p>
        </w:tc>
        <w:tc>
          <w:tcPr>
            <w:tcW w:w="1249" w:type="dxa"/>
            <w:tcBorders>
              <w:top w:val="nil"/>
              <w:left w:val="nil"/>
              <w:bottom w:val="nil"/>
              <w:right w:val="nil"/>
            </w:tcBorders>
            <w:shd w:val="clear" w:color="FFFFFF" w:fill="FFFFFF"/>
            <w:noWrap/>
            <w:vAlign w:val="bottom"/>
            <w:hideMark/>
          </w:tcPr>
          <w:p w14:paraId="67EA6217" w14:textId="77777777" w:rsidR="00A43992" w:rsidRDefault="00A43992" w:rsidP="007211E3">
            <w:pPr>
              <w:jc w:val="right"/>
              <w:rPr>
                <w:rFonts w:ascii="Arial" w:hAnsi="Arial" w:cs="Arial"/>
                <w:sz w:val="18"/>
                <w:szCs w:val="18"/>
              </w:rPr>
            </w:pPr>
            <w:r>
              <w:rPr>
                <w:rFonts w:ascii="Arial" w:hAnsi="Arial" w:cs="Arial"/>
                <w:sz w:val="18"/>
                <w:szCs w:val="18"/>
              </w:rPr>
              <w:t>-</w:t>
            </w:r>
          </w:p>
        </w:tc>
      </w:tr>
      <w:tr w:rsidR="00A43992" w14:paraId="7AD78900" w14:textId="77777777" w:rsidTr="007211E3">
        <w:trPr>
          <w:trHeight w:val="255"/>
        </w:trPr>
        <w:tc>
          <w:tcPr>
            <w:tcW w:w="6353" w:type="dxa"/>
            <w:tcBorders>
              <w:top w:val="nil"/>
              <w:left w:val="nil"/>
              <w:bottom w:val="nil"/>
              <w:right w:val="nil"/>
            </w:tcBorders>
            <w:shd w:val="clear" w:color="FFFFFF" w:fill="FFFFFF"/>
            <w:noWrap/>
            <w:vAlign w:val="bottom"/>
            <w:hideMark/>
          </w:tcPr>
          <w:p w14:paraId="1BE50F9D" w14:textId="77777777" w:rsidR="00A43992" w:rsidRDefault="00A43992" w:rsidP="007211E3">
            <w:pPr>
              <w:rPr>
                <w:rFonts w:ascii="Arial" w:hAnsi="Arial" w:cs="Arial"/>
                <w:sz w:val="18"/>
                <w:szCs w:val="18"/>
              </w:rPr>
            </w:pPr>
            <w:r>
              <w:rPr>
                <w:rFonts w:ascii="Arial" w:hAnsi="Arial" w:cs="Arial"/>
                <w:sz w:val="18"/>
                <w:szCs w:val="18"/>
              </w:rPr>
              <w:t>Intangible assets</w:t>
            </w:r>
          </w:p>
        </w:tc>
        <w:tc>
          <w:tcPr>
            <w:tcW w:w="1249" w:type="dxa"/>
            <w:tcBorders>
              <w:top w:val="nil"/>
              <w:left w:val="nil"/>
              <w:bottom w:val="nil"/>
              <w:right w:val="nil"/>
            </w:tcBorders>
            <w:shd w:val="clear" w:color="FFFFFF" w:fill="FFFFFF"/>
            <w:noWrap/>
            <w:vAlign w:val="bottom"/>
            <w:hideMark/>
          </w:tcPr>
          <w:p w14:paraId="3D94B41B" w14:textId="77777777" w:rsidR="00A43992" w:rsidRDefault="00A43992" w:rsidP="007211E3">
            <w:pPr>
              <w:jc w:val="right"/>
              <w:rPr>
                <w:rFonts w:ascii="Arial" w:hAnsi="Arial" w:cs="Arial"/>
                <w:b/>
                <w:bCs/>
                <w:sz w:val="18"/>
                <w:szCs w:val="18"/>
              </w:rPr>
            </w:pPr>
            <w:r>
              <w:rPr>
                <w:rFonts w:ascii="Arial" w:hAnsi="Arial" w:cs="Arial"/>
                <w:b/>
                <w:bCs/>
                <w:sz w:val="18"/>
                <w:szCs w:val="18"/>
              </w:rPr>
              <w:t>3,102</w:t>
            </w:r>
          </w:p>
        </w:tc>
        <w:tc>
          <w:tcPr>
            <w:tcW w:w="236" w:type="dxa"/>
            <w:tcBorders>
              <w:top w:val="nil"/>
              <w:left w:val="nil"/>
              <w:bottom w:val="nil"/>
              <w:right w:val="nil"/>
            </w:tcBorders>
            <w:shd w:val="clear" w:color="FFFFFF" w:fill="FFFFFF"/>
            <w:noWrap/>
            <w:vAlign w:val="bottom"/>
            <w:hideMark/>
          </w:tcPr>
          <w:p w14:paraId="0CCE40E2" w14:textId="77777777" w:rsidR="00A43992" w:rsidRDefault="00A43992" w:rsidP="007211E3">
            <w:pPr>
              <w:rPr>
                <w:rFonts w:ascii="Arial" w:hAnsi="Arial" w:cs="Arial"/>
                <w:sz w:val="18"/>
                <w:szCs w:val="18"/>
              </w:rPr>
            </w:pPr>
            <w:r>
              <w:rPr>
                <w:rFonts w:ascii="Arial" w:hAnsi="Arial" w:cs="Arial"/>
                <w:sz w:val="18"/>
                <w:szCs w:val="18"/>
              </w:rPr>
              <w:t> </w:t>
            </w:r>
          </w:p>
        </w:tc>
        <w:tc>
          <w:tcPr>
            <w:tcW w:w="1249" w:type="dxa"/>
            <w:tcBorders>
              <w:top w:val="nil"/>
              <w:left w:val="nil"/>
              <w:bottom w:val="nil"/>
              <w:right w:val="nil"/>
            </w:tcBorders>
            <w:shd w:val="clear" w:color="FFFFFF" w:fill="FFFFFF"/>
            <w:noWrap/>
            <w:vAlign w:val="bottom"/>
            <w:hideMark/>
          </w:tcPr>
          <w:p w14:paraId="5F9BE61B" w14:textId="77777777" w:rsidR="00A43992" w:rsidRDefault="00A43992" w:rsidP="007211E3">
            <w:pPr>
              <w:jc w:val="right"/>
              <w:rPr>
                <w:rFonts w:ascii="Arial" w:hAnsi="Arial" w:cs="Arial"/>
                <w:sz w:val="18"/>
                <w:szCs w:val="18"/>
              </w:rPr>
            </w:pPr>
            <w:r>
              <w:rPr>
                <w:rFonts w:ascii="Arial" w:hAnsi="Arial" w:cs="Arial"/>
                <w:sz w:val="18"/>
                <w:szCs w:val="18"/>
              </w:rPr>
              <w:t>-</w:t>
            </w:r>
          </w:p>
        </w:tc>
      </w:tr>
      <w:tr w:rsidR="00A43992" w14:paraId="2DB8BA39" w14:textId="77777777" w:rsidTr="007211E3">
        <w:trPr>
          <w:trHeight w:val="255"/>
        </w:trPr>
        <w:tc>
          <w:tcPr>
            <w:tcW w:w="6353" w:type="dxa"/>
            <w:tcBorders>
              <w:top w:val="nil"/>
              <w:left w:val="nil"/>
              <w:bottom w:val="nil"/>
              <w:right w:val="nil"/>
            </w:tcBorders>
            <w:shd w:val="clear" w:color="FFFFFF" w:fill="FFFFFF"/>
            <w:noWrap/>
            <w:vAlign w:val="bottom"/>
            <w:hideMark/>
          </w:tcPr>
          <w:p w14:paraId="39AFB41F" w14:textId="77777777" w:rsidR="00A43992" w:rsidRDefault="00A43992" w:rsidP="007211E3">
            <w:pPr>
              <w:rPr>
                <w:rFonts w:ascii="Arial" w:hAnsi="Arial" w:cs="Arial"/>
                <w:sz w:val="18"/>
                <w:szCs w:val="18"/>
              </w:rPr>
            </w:pPr>
            <w:r>
              <w:rPr>
                <w:rFonts w:ascii="Arial" w:hAnsi="Arial" w:cs="Arial"/>
                <w:sz w:val="18"/>
                <w:szCs w:val="18"/>
              </w:rPr>
              <w:t>Property, plant and equipment</w:t>
            </w:r>
          </w:p>
        </w:tc>
        <w:tc>
          <w:tcPr>
            <w:tcW w:w="1249" w:type="dxa"/>
            <w:tcBorders>
              <w:top w:val="nil"/>
              <w:left w:val="nil"/>
              <w:bottom w:val="nil"/>
              <w:right w:val="nil"/>
            </w:tcBorders>
            <w:shd w:val="clear" w:color="FFFFFF" w:fill="FFFFFF"/>
            <w:noWrap/>
            <w:vAlign w:val="bottom"/>
            <w:hideMark/>
          </w:tcPr>
          <w:p w14:paraId="249DCB20" w14:textId="77777777" w:rsidR="00A43992" w:rsidRDefault="00A43992" w:rsidP="007211E3">
            <w:pPr>
              <w:jc w:val="right"/>
              <w:rPr>
                <w:rFonts w:ascii="Arial" w:hAnsi="Arial" w:cs="Arial"/>
                <w:b/>
                <w:bCs/>
                <w:sz w:val="18"/>
                <w:szCs w:val="18"/>
              </w:rPr>
            </w:pPr>
            <w:r>
              <w:rPr>
                <w:rFonts w:ascii="Arial" w:hAnsi="Arial" w:cs="Arial"/>
                <w:b/>
                <w:bCs/>
                <w:sz w:val="18"/>
                <w:szCs w:val="18"/>
              </w:rPr>
              <w:t>283</w:t>
            </w:r>
          </w:p>
        </w:tc>
        <w:tc>
          <w:tcPr>
            <w:tcW w:w="236" w:type="dxa"/>
            <w:tcBorders>
              <w:top w:val="nil"/>
              <w:left w:val="nil"/>
              <w:bottom w:val="nil"/>
              <w:right w:val="nil"/>
            </w:tcBorders>
            <w:shd w:val="clear" w:color="FFFFFF" w:fill="FFFFFF"/>
            <w:noWrap/>
            <w:vAlign w:val="bottom"/>
            <w:hideMark/>
          </w:tcPr>
          <w:p w14:paraId="54865780" w14:textId="77777777" w:rsidR="00A43992" w:rsidRDefault="00A43992" w:rsidP="007211E3">
            <w:pPr>
              <w:rPr>
                <w:rFonts w:ascii="Arial" w:hAnsi="Arial" w:cs="Arial"/>
                <w:sz w:val="18"/>
                <w:szCs w:val="18"/>
              </w:rPr>
            </w:pPr>
            <w:r>
              <w:rPr>
                <w:rFonts w:ascii="Arial" w:hAnsi="Arial" w:cs="Arial"/>
                <w:sz w:val="18"/>
                <w:szCs w:val="18"/>
              </w:rPr>
              <w:t> </w:t>
            </w:r>
          </w:p>
        </w:tc>
        <w:tc>
          <w:tcPr>
            <w:tcW w:w="1249" w:type="dxa"/>
            <w:tcBorders>
              <w:top w:val="nil"/>
              <w:left w:val="nil"/>
              <w:bottom w:val="nil"/>
              <w:right w:val="nil"/>
            </w:tcBorders>
            <w:shd w:val="clear" w:color="FFFFFF" w:fill="FFFFFF"/>
            <w:noWrap/>
            <w:vAlign w:val="bottom"/>
            <w:hideMark/>
          </w:tcPr>
          <w:p w14:paraId="40D7B147" w14:textId="77777777" w:rsidR="00A43992" w:rsidRDefault="00A43992" w:rsidP="007211E3">
            <w:pPr>
              <w:jc w:val="right"/>
              <w:rPr>
                <w:rFonts w:ascii="Arial" w:hAnsi="Arial" w:cs="Arial"/>
                <w:sz w:val="18"/>
                <w:szCs w:val="18"/>
              </w:rPr>
            </w:pPr>
            <w:r>
              <w:rPr>
                <w:rFonts w:ascii="Arial" w:hAnsi="Arial" w:cs="Arial"/>
                <w:sz w:val="18"/>
                <w:szCs w:val="18"/>
              </w:rPr>
              <w:t>20</w:t>
            </w:r>
          </w:p>
        </w:tc>
      </w:tr>
      <w:tr w:rsidR="00A43992" w14:paraId="52DF4878" w14:textId="77777777" w:rsidTr="007211E3">
        <w:trPr>
          <w:trHeight w:val="255"/>
        </w:trPr>
        <w:tc>
          <w:tcPr>
            <w:tcW w:w="6353" w:type="dxa"/>
            <w:tcBorders>
              <w:top w:val="nil"/>
              <w:left w:val="nil"/>
              <w:bottom w:val="nil"/>
              <w:right w:val="nil"/>
            </w:tcBorders>
            <w:shd w:val="clear" w:color="FFFFFF" w:fill="FFFFFF"/>
            <w:vAlign w:val="bottom"/>
            <w:hideMark/>
          </w:tcPr>
          <w:p w14:paraId="22CCF6D9" w14:textId="77777777" w:rsidR="00A43992" w:rsidRDefault="00A43992" w:rsidP="007211E3">
            <w:pPr>
              <w:rPr>
                <w:rFonts w:ascii="Arial" w:hAnsi="Arial" w:cs="Arial"/>
                <w:b/>
                <w:bCs/>
                <w:sz w:val="18"/>
                <w:szCs w:val="18"/>
              </w:rPr>
            </w:pPr>
            <w:r>
              <w:rPr>
                <w:rFonts w:ascii="Arial" w:hAnsi="Arial" w:cs="Arial"/>
                <w:b/>
                <w:bCs/>
                <w:sz w:val="18"/>
                <w:szCs w:val="18"/>
              </w:rPr>
              <w:t>Total write-down and impairment of assets</w:t>
            </w:r>
          </w:p>
        </w:tc>
        <w:tc>
          <w:tcPr>
            <w:tcW w:w="1249" w:type="dxa"/>
            <w:tcBorders>
              <w:top w:val="single" w:sz="4" w:space="0" w:color="auto"/>
              <w:left w:val="nil"/>
              <w:bottom w:val="single" w:sz="4" w:space="0" w:color="auto"/>
              <w:right w:val="nil"/>
            </w:tcBorders>
            <w:shd w:val="clear" w:color="FFFFFF" w:fill="FFFFFF"/>
            <w:noWrap/>
            <w:vAlign w:val="bottom"/>
            <w:hideMark/>
          </w:tcPr>
          <w:p w14:paraId="2C26AA04" w14:textId="77777777" w:rsidR="00A43992" w:rsidRDefault="00A43992" w:rsidP="007211E3">
            <w:pPr>
              <w:jc w:val="right"/>
              <w:rPr>
                <w:rFonts w:ascii="Arial" w:hAnsi="Arial" w:cs="Arial"/>
                <w:b/>
                <w:bCs/>
                <w:sz w:val="18"/>
                <w:szCs w:val="18"/>
              </w:rPr>
            </w:pPr>
            <w:r>
              <w:rPr>
                <w:rFonts w:ascii="Arial" w:hAnsi="Arial" w:cs="Arial"/>
                <w:b/>
                <w:bCs/>
                <w:sz w:val="18"/>
                <w:szCs w:val="18"/>
              </w:rPr>
              <w:t>82,078</w:t>
            </w:r>
          </w:p>
        </w:tc>
        <w:tc>
          <w:tcPr>
            <w:tcW w:w="236" w:type="dxa"/>
            <w:tcBorders>
              <w:top w:val="nil"/>
              <w:left w:val="nil"/>
              <w:bottom w:val="nil"/>
              <w:right w:val="nil"/>
            </w:tcBorders>
            <w:shd w:val="clear" w:color="FFFFFF" w:fill="FFFFFF"/>
            <w:noWrap/>
            <w:vAlign w:val="bottom"/>
            <w:hideMark/>
          </w:tcPr>
          <w:p w14:paraId="6255245B" w14:textId="77777777" w:rsidR="00A43992" w:rsidRDefault="00A43992" w:rsidP="007211E3">
            <w:pPr>
              <w:rPr>
                <w:rFonts w:ascii="Arial" w:hAnsi="Arial" w:cs="Arial"/>
                <w:sz w:val="18"/>
                <w:szCs w:val="18"/>
              </w:rPr>
            </w:pPr>
            <w:r>
              <w:rPr>
                <w:rFonts w:ascii="Arial" w:hAnsi="Arial" w:cs="Arial"/>
                <w:sz w:val="18"/>
                <w:szCs w:val="18"/>
              </w:rPr>
              <w:t> </w:t>
            </w:r>
          </w:p>
        </w:tc>
        <w:tc>
          <w:tcPr>
            <w:tcW w:w="1249" w:type="dxa"/>
            <w:tcBorders>
              <w:top w:val="single" w:sz="4" w:space="0" w:color="auto"/>
              <w:left w:val="nil"/>
              <w:bottom w:val="single" w:sz="4" w:space="0" w:color="auto"/>
              <w:right w:val="nil"/>
            </w:tcBorders>
            <w:shd w:val="clear" w:color="FFFFFF" w:fill="FFFFFF"/>
            <w:noWrap/>
            <w:vAlign w:val="bottom"/>
            <w:hideMark/>
          </w:tcPr>
          <w:p w14:paraId="7760AD24" w14:textId="77777777" w:rsidR="00A43992" w:rsidRDefault="00A43992" w:rsidP="007211E3">
            <w:pPr>
              <w:jc w:val="right"/>
              <w:rPr>
                <w:rFonts w:ascii="Arial" w:hAnsi="Arial" w:cs="Arial"/>
                <w:sz w:val="18"/>
                <w:szCs w:val="18"/>
              </w:rPr>
            </w:pPr>
            <w:r>
              <w:rPr>
                <w:rFonts w:ascii="Arial" w:hAnsi="Arial" w:cs="Arial"/>
                <w:sz w:val="18"/>
                <w:szCs w:val="18"/>
              </w:rPr>
              <w:t>20</w:t>
            </w:r>
          </w:p>
        </w:tc>
      </w:tr>
    </w:tbl>
    <w:p w14:paraId="5AEC1050" w14:textId="77777777" w:rsidR="00A43992" w:rsidRDefault="00A43992" w:rsidP="00A43992">
      <w:pPr>
        <w:spacing w:line="240" w:lineRule="auto"/>
      </w:pPr>
      <w:bookmarkStart w:id="192" w:name="RANGE!D8:G13"/>
      <w:bookmarkEnd w:id="192"/>
      <w:r>
        <w:br w:type="page"/>
      </w:r>
    </w:p>
    <w:p w14:paraId="2D3ABC68" w14:textId="77777777" w:rsidR="00A43992" w:rsidRDefault="00A43992" w:rsidP="00A43992">
      <w:pPr>
        <w:spacing w:line="240" w:lineRule="auto"/>
      </w:pPr>
    </w:p>
    <w:tbl>
      <w:tblPr>
        <w:tblW w:w="9087" w:type="dxa"/>
        <w:tblInd w:w="80" w:type="dxa"/>
        <w:tblLayout w:type="fixed"/>
        <w:tblLook w:val="04A0" w:firstRow="1" w:lastRow="0" w:firstColumn="1" w:lastColumn="0" w:noHBand="0" w:noVBand="1"/>
      </w:tblPr>
      <w:tblGrid>
        <w:gridCol w:w="6353"/>
        <w:gridCol w:w="1249"/>
        <w:gridCol w:w="236"/>
        <w:gridCol w:w="1249"/>
      </w:tblGrid>
      <w:tr w:rsidR="00A43992" w14:paraId="11E11F03" w14:textId="77777777" w:rsidTr="007211E3">
        <w:trPr>
          <w:trHeight w:val="240"/>
        </w:trPr>
        <w:tc>
          <w:tcPr>
            <w:tcW w:w="6353" w:type="dxa"/>
            <w:tcBorders>
              <w:top w:val="nil"/>
              <w:left w:val="nil"/>
              <w:bottom w:val="nil"/>
              <w:right w:val="nil"/>
            </w:tcBorders>
            <w:shd w:val="clear" w:color="FFFFFF" w:fill="FFFFFF"/>
            <w:noWrap/>
            <w:vAlign w:val="bottom"/>
            <w:hideMark/>
          </w:tcPr>
          <w:p w14:paraId="415AB879" w14:textId="77777777" w:rsidR="00A43992" w:rsidRDefault="00A43992" w:rsidP="007211E3">
            <w:pPr>
              <w:rPr>
                <w:rFonts w:ascii="Arial" w:hAnsi="Arial" w:cs="Arial"/>
                <w:sz w:val="18"/>
                <w:szCs w:val="18"/>
              </w:rPr>
            </w:pPr>
            <w:bookmarkStart w:id="193" w:name="Note_LACTABLE1" w:colFirst="0" w:colLast="0"/>
            <w:r>
              <w:rPr>
                <w:rFonts w:ascii="Arial" w:hAnsi="Arial" w:cs="Arial"/>
                <w:sz w:val="18"/>
                <w:szCs w:val="18"/>
              </w:rPr>
              <w:t> </w:t>
            </w:r>
          </w:p>
        </w:tc>
        <w:tc>
          <w:tcPr>
            <w:tcW w:w="1249" w:type="dxa"/>
            <w:tcBorders>
              <w:top w:val="nil"/>
              <w:left w:val="nil"/>
              <w:bottom w:val="nil"/>
              <w:right w:val="nil"/>
            </w:tcBorders>
            <w:shd w:val="clear" w:color="FFFFFF" w:fill="FFFFFF"/>
            <w:noWrap/>
            <w:vAlign w:val="bottom"/>
            <w:hideMark/>
          </w:tcPr>
          <w:p w14:paraId="5063D9DD" w14:textId="77777777" w:rsidR="00A43992" w:rsidRDefault="00A43992" w:rsidP="007211E3">
            <w:pPr>
              <w:jc w:val="right"/>
              <w:rPr>
                <w:rFonts w:ascii="Arial" w:hAnsi="Arial" w:cs="Arial"/>
                <w:b/>
                <w:bCs/>
                <w:sz w:val="18"/>
                <w:szCs w:val="18"/>
              </w:rPr>
            </w:pPr>
            <w:r>
              <w:rPr>
                <w:rFonts w:ascii="Arial" w:hAnsi="Arial" w:cs="Arial"/>
                <w:b/>
                <w:bCs/>
                <w:sz w:val="18"/>
                <w:szCs w:val="18"/>
              </w:rPr>
              <w:t>2016</w:t>
            </w:r>
          </w:p>
        </w:tc>
        <w:tc>
          <w:tcPr>
            <w:tcW w:w="236" w:type="dxa"/>
            <w:tcBorders>
              <w:top w:val="nil"/>
              <w:left w:val="nil"/>
              <w:bottom w:val="nil"/>
              <w:right w:val="nil"/>
            </w:tcBorders>
            <w:shd w:val="clear" w:color="FFFFFF" w:fill="FFFFFF"/>
            <w:noWrap/>
            <w:vAlign w:val="bottom"/>
            <w:hideMark/>
          </w:tcPr>
          <w:p w14:paraId="21A9E04F" w14:textId="77777777" w:rsidR="00A43992" w:rsidRDefault="00A43992" w:rsidP="007211E3">
            <w:pPr>
              <w:rPr>
                <w:rFonts w:ascii="Arial" w:hAnsi="Arial" w:cs="Arial"/>
                <w:sz w:val="18"/>
                <w:szCs w:val="18"/>
              </w:rPr>
            </w:pPr>
            <w:r>
              <w:rPr>
                <w:rFonts w:ascii="Arial" w:hAnsi="Arial" w:cs="Arial"/>
                <w:sz w:val="18"/>
                <w:szCs w:val="18"/>
              </w:rPr>
              <w:t> </w:t>
            </w:r>
          </w:p>
        </w:tc>
        <w:tc>
          <w:tcPr>
            <w:tcW w:w="1249" w:type="dxa"/>
            <w:tcBorders>
              <w:top w:val="nil"/>
              <w:left w:val="nil"/>
              <w:bottom w:val="nil"/>
              <w:right w:val="nil"/>
            </w:tcBorders>
            <w:shd w:val="clear" w:color="FFFFFF" w:fill="FFFFFF"/>
            <w:noWrap/>
            <w:vAlign w:val="bottom"/>
            <w:hideMark/>
          </w:tcPr>
          <w:p w14:paraId="0D0EF531" w14:textId="77777777" w:rsidR="00A43992" w:rsidRDefault="00A43992" w:rsidP="007211E3">
            <w:pPr>
              <w:jc w:val="right"/>
              <w:rPr>
                <w:rFonts w:ascii="Arial" w:hAnsi="Arial" w:cs="Arial"/>
                <w:sz w:val="18"/>
                <w:szCs w:val="18"/>
              </w:rPr>
            </w:pPr>
            <w:r>
              <w:rPr>
                <w:rFonts w:ascii="Arial" w:hAnsi="Arial" w:cs="Arial"/>
                <w:sz w:val="18"/>
                <w:szCs w:val="18"/>
              </w:rPr>
              <w:t>2015</w:t>
            </w:r>
          </w:p>
        </w:tc>
      </w:tr>
      <w:bookmarkEnd w:id="193"/>
      <w:tr w:rsidR="00A43992" w14:paraId="42D7CD58" w14:textId="77777777" w:rsidTr="007211E3">
        <w:trPr>
          <w:trHeight w:val="240"/>
        </w:trPr>
        <w:tc>
          <w:tcPr>
            <w:tcW w:w="6353" w:type="dxa"/>
            <w:tcBorders>
              <w:top w:val="nil"/>
              <w:left w:val="nil"/>
              <w:bottom w:val="nil"/>
              <w:right w:val="nil"/>
            </w:tcBorders>
            <w:shd w:val="clear" w:color="FFFFFF" w:fill="FFFFFF"/>
            <w:noWrap/>
            <w:vAlign w:val="bottom"/>
            <w:hideMark/>
          </w:tcPr>
          <w:p w14:paraId="046F7123" w14:textId="77777777" w:rsidR="00A43992" w:rsidRDefault="00A43992" w:rsidP="007211E3">
            <w:pPr>
              <w:rPr>
                <w:rFonts w:ascii="Arial" w:hAnsi="Arial" w:cs="Arial"/>
                <w:sz w:val="18"/>
                <w:szCs w:val="18"/>
              </w:rPr>
            </w:pPr>
            <w:r>
              <w:rPr>
                <w:rFonts w:ascii="Arial" w:hAnsi="Arial" w:cs="Arial"/>
                <w:sz w:val="18"/>
                <w:szCs w:val="18"/>
              </w:rPr>
              <w:t> </w:t>
            </w:r>
          </w:p>
        </w:tc>
        <w:tc>
          <w:tcPr>
            <w:tcW w:w="1249" w:type="dxa"/>
            <w:tcBorders>
              <w:top w:val="nil"/>
              <w:left w:val="nil"/>
              <w:bottom w:val="nil"/>
              <w:right w:val="nil"/>
            </w:tcBorders>
            <w:shd w:val="clear" w:color="FFFFFF" w:fill="FFFFFF"/>
            <w:noWrap/>
            <w:vAlign w:val="bottom"/>
            <w:hideMark/>
          </w:tcPr>
          <w:p w14:paraId="42540449" w14:textId="77777777" w:rsidR="00A43992" w:rsidRDefault="00A43992" w:rsidP="007211E3">
            <w:pPr>
              <w:jc w:val="right"/>
              <w:rPr>
                <w:rFonts w:ascii="Arial" w:hAnsi="Arial" w:cs="Arial"/>
                <w:b/>
                <w:bCs/>
                <w:sz w:val="18"/>
                <w:szCs w:val="18"/>
              </w:rPr>
            </w:pPr>
            <w:r>
              <w:rPr>
                <w:rFonts w:ascii="Arial" w:hAnsi="Arial" w:cs="Arial"/>
                <w:b/>
                <w:bCs/>
                <w:sz w:val="18"/>
                <w:szCs w:val="18"/>
              </w:rPr>
              <w:t>$'000</w:t>
            </w:r>
          </w:p>
        </w:tc>
        <w:tc>
          <w:tcPr>
            <w:tcW w:w="236" w:type="dxa"/>
            <w:tcBorders>
              <w:top w:val="nil"/>
              <w:left w:val="nil"/>
              <w:bottom w:val="nil"/>
              <w:right w:val="nil"/>
            </w:tcBorders>
            <w:shd w:val="clear" w:color="FFFFFF" w:fill="FFFFFF"/>
            <w:noWrap/>
            <w:vAlign w:val="bottom"/>
            <w:hideMark/>
          </w:tcPr>
          <w:p w14:paraId="2C3543AE" w14:textId="77777777" w:rsidR="00A43992" w:rsidRDefault="00A43992" w:rsidP="007211E3">
            <w:pPr>
              <w:rPr>
                <w:rFonts w:ascii="Arial" w:hAnsi="Arial" w:cs="Arial"/>
                <w:sz w:val="18"/>
                <w:szCs w:val="18"/>
              </w:rPr>
            </w:pPr>
            <w:r>
              <w:rPr>
                <w:rFonts w:ascii="Arial" w:hAnsi="Arial" w:cs="Arial"/>
                <w:sz w:val="18"/>
                <w:szCs w:val="18"/>
              </w:rPr>
              <w:t> </w:t>
            </w:r>
          </w:p>
        </w:tc>
        <w:tc>
          <w:tcPr>
            <w:tcW w:w="1249" w:type="dxa"/>
            <w:tcBorders>
              <w:top w:val="nil"/>
              <w:left w:val="nil"/>
              <w:bottom w:val="nil"/>
              <w:right w:val="nil"/>
            </w:tcBorders>
            <w:shd w:val="clear" w:color="FFFFFF" w:fill="FFFFFF"/>
            <w:noWrap/>
            <w:vAlign w:val="bottom"/>
            <w:hideMark/>
          </w:tcPr>
          <w:p w14:paraId="127237EA" w14:textId="77777777" w:rsidR="00A43992" w:rsidRDefault="00A43992" w:rsidP="007211E3">
            <w:pPr>
              <w:jc w:val="right"/>
              <w:rPr>
                <w:rFonts w:ascii="Arial" w:hAnsi="Arial" w:cs="Arial"/>
                <w:sz w:val="18"/>
                <w:szCs w:val="18"/>
              </w:rPr>
            </w:pPr>
            <w:r>
              <w:rPr>
                <w:rFonts w:ascii="Arial" w:hAnsi="Arial" w:cs="Arial"/>
                <w:sz w:val="18"/>
                <w:szCs w:val="18"/>
              </w:rPr>
              <w:t>$'000</w:t>
            </w:r>
          </w:p>
        </w:tc>
      </w:tr>
      <w:tr w:rsidR="00A43992" w14:paraId="00727847" w14:textId="77777777" w:rsidTr="007211E3">
        <w:trPr>
          <w:trHeight w:val="240"/>
        </w:trPr>
        <w:tc>
          <w:tcPr>
            <w:tcW w:w="6353" w:type="dxa"/>
            <w:tcBorders>
              <w:top w:val="nil"/>
              <w:left w:val="nil"/>
              <w:bottom w:val="nil"/>
              <w:right w:val="nil"/>
            </w:tcBorders>
            <w:shd w:val="clear" w:color="FFFFFF" w:fill="FFFFFF"/>
            <w:noWrap/>
            <w:vAlign w:val="bottom"/>
            <w:hideMark/>
          </w:tcPr>
          <w:p w14:paraId="6BED91CB" w14:textId="77777777" w:rsidR="00A43992" w:rsidRDefault="00A43992" w:rsidP="007211E3">
            <w:pPr>
              <w:rPr>
                <w:rFonts w:ascii="Arial" w:hAnsi="Arial" w:cs="Arial"/>
                <w:b/>
                <w:bCs/>
                <w:sz w:val="18"/>
                <w:szCs w:val="18"/>
                <w:u w:val="single"/>
              </w:rPr>
            </w:pPr>
            <w:r>
              <w:rPr>
                <w:rFonts w:ascii="Arial" w:hAnsi="Arial" w:cs="Arial"/>
                <w:b/>
                <w:bCs/>
                <w:sz w:val="18"/>
                <w:szCs w:val="18"/>
                <w:u w:val="single"/>
              </w:rPr>
              <w:t>Note 1.1E: Local area coordination costs</w:t>
            </w:r>
          </w:p>
        </w:tc>
        <w:tc>
          <w:tcPr>
            <w:tcW w:w="1249" w:type="dxa"/>
            <w:tcBorders>
              <w:top w:val="nil"/>
              <w:left w:val="nil"/>
              <w:bottom w:val="nil"/>
              <w:right w:val="nil"/>
            </w:tcBorders>
            <w:shd w:val="clear" w:color="FFFFFF" w:fill="FFFFFF"/>
            <w:noWrap/>
            <w:vAlign w:val="bottom"/>
            <w:hideMark/>
          </w:tcPr>
          <w:p w14:paraId="13FEF702" w14:textId="77777777" w:rsidR="00A43992" w:rsidRDefault="00A43992" w:rsidP="007211E3">
            <w:pPr>
              <w:rPr>
                <w:rFonts w:ascii="Arial" w:hAnsi="Arial" w:cs="Arial"/>
                <w:sz w:val="18"/>
                <w:szCs w:val="18"/>
              </w:rPr>
            </w:pPr>
            <w:r>
              <w:rPr>
                <w:rFonts w:ascii="Arial" w:hAnsi="Arial" w:cs="Arial"/>
                <w:sz w:val="18"/>
                <w:szCs w:val="18"/>
              </w:rPr>
              <w:t> </w:t>
            </w:r>
          </w:p>
        </w:tc>
        <w:tc>
          <w:tcPr>
            <w:tcW w:w="236" w:type="dxa"/>
            <w:tcBorders>
              <w:top w:val="nil"/>
              <w:left w:val="nil"/>
              <w:bottom w:val="nil"/>
              <w:right w:val="nil"/>
            </w:tcBorders>
            <w:shd w:val="clear" w:color="FFFFFF" w:fill="FFFFFF"/>
            <w:noWrap/>
            <w:vAlign w:val="bottom"/>
            <w:hideMark/>
          </w:tcPr>
          <w:p w14:paraId="3756CEAF" w14:textId="77777777" w:rsidR="00A43992" w:rsidRDefault="00A43992" w:rsidP="007211E3">
            <w:pPr>
              <w:rPr>
                <w:rFonts w:ascii="Arial" w:hAnsi="Arial" w:cs="Arial"/>
                <w:sz w:val="18"/>
                <w:szCs w:val="18"/>
              </w:rPr>
            </w:pPr>
            <w:r>
              <w:rPr>
                <w:rFonts w:ascii="Arial" w:hAnsi="Arial" w:cs="Arial"/>
                <w:sz w:val="18"/>
                <w:szCs w:val="18"/>
              </w:rPr>
              <w:t> </w:t>
            </w:r>
          </w:p>
        </w:tc>
        <w:tc>
          <w:tcPr>
            <w:tcW w:w="1249" w:type="dxa"/>
            <w:tcBorders>
              <w:top w:val="nil"/>
              <w:left w:val="nil"/>
              <w:bottom w:val="nil"/>
              <w:right w:val="nil"/>
            </w:tcBorders>
            <w:shd w:val="clear" w:color="FFFFFF" w:fill="FFFFFF"/>
            <w:noWrap/>
            <w:vAlign w:val="bottom"/>
            <w:hideMark/>
          </w:tcPr>
          <w:p w14:paraId="1843E9F1" w14:textId="77777777" w:rsidR="00A43992" w:rsidRDefault="00A43992" w:rsidP="007211E3">
            <w:pPr>
              <w:rPr>
                <w:rFonts w:ascii="Arial" w:hAnsi="Arial" w:cs="Arial"/>
                <w:sz w:val="18"/>
                <w:szCs w:val="18"/>
              </w:rPr>
            </w:pPr>
            <w:r>
              <w:rPr>
                <w:rFonts w:ascii="Arial" w:hAnsi="Arial" w:cs="Arial"/>
                <w:sz w:val="18"/>
                <w:szCs w:val="18"/>
              </w:rPr>
              <w:t> </w:t>
            </w:r>
          </w:p>
        </w:tc>
      </w:tr>
      <w:tr w:rsidR="00A43992" w14:paraId="39D37DF3" w14:textId="77777777" w:rsidTr="007211E3">
        <w:trPr>
          <w:trHeight w:val="240"/>
        </w:trPr>
        <w:tc>
          <w:tcPr>
            <w:tcW w:w="6353" w:type="dxa"/>
            <w:tcBorders>
              <w:top w:val="nil"/>
              <w:left w:val="nil"/>
              <w:bottom w:val="nil"/>
              <w:right w:val="nil"/>
            </w:tcBorders>
            <w:shd w:val="clear" w:color="FFFFFF" w:fill="FFFFFF"/>
            <w:vAlign w:val="bottom"/>
            <w:hideMark/>
          </w:tcPr>
          <w:p w14:paraId="427CF856" w14:textId="77777777" w:rsidR="00A43992" w:rsidRDefault="00A43992" w:rsidP="007211E3">
            <w:pPr>
              <w:rPr>
                <w:rFonts w:ascii="Arial" w:hAnsi="Arial" w:cs="Arial"/>
                <w:sz w:val="18"/>
                <w:szCs w:val="18"/>
              </w:rPr>
            </w:pPr>
            <w:r>
              <w:rPr>
                <w:rFonts w:ascii="Arial" w:hAnsi="Arial" w:cs="Arial"/>
                <w:sz w:val="18"/>
                <w:szCs w:val="18"/>
              </w:rPr>
              <w:t>Local area coordination costs</w:t>
            </w:r>
          </w:p>
        </w:tc>
        <w:tc>
          <w:tcPr>
            <w:tcW w:w="1249" w:type="dxa"/>
            <w:tcBorders>
              <w:top w:val="nil"/>
              <w:left w:val="nil"/>
              <w:bottom w:val="nil"/>
              <w:right w:val="nil"/>
            </w:tcBorders>
            <w:shd w:val="clear" w:color="FFFFFF" w:fill="FFFFFF"/>
            <w:noWrap/>
            <w:vAlign w:val="bottom"/>
            <w:hideMark/>
          </w:tcPr>
          <w:p w14:paraId="4F4FCC17" w14:textId="77777777" w:rsidR="00A43992" w:rsidRDefault="00A43992" w:rsidP="007211E3">
            <w:pPr>
              <w:jc w:val="right"/>
              <w:rPr>
                <w:rFonts w:ascii="Arial" w:hAnsi="Arial" w:cs="Arial"/>
                <w:b/>
                <w:bCs/>
                <w:sz w:val="18"/>
                <w:szCs w:val="18"/>
              </w:rPr>
            </w:pPr>
            <w:r>
              <w:rPr>
                <w:rFonts w:ascii="Arial" w:hAnsi="Arial" w:cs="Arial"/>
                <w:b/>
                <w:bCs/>
                <w:sz w:val="18"/>
                <w:szCs w:val="18"/>
              </w:rPr>
              <w:t>21,514</w:t>
            </w:r>
          </w:p>
        </w:tc>
        <w:tc>
          <w:tcPr>
            <w:tcW w:w="236" w:type="dxa"/>
            <w:tcBorders>
              <w:top w:val="nil"/>
              <w:left w:val="nil"/>
              <w:bottom w:val="nil"/>
              <w:right w:val="nil"/>
            </w:tcBorders>
            <w:shd w:val="clear" w:color="FFFFFF" w:fill="FFFFFF"/>
            <w:noWrap/>
            <w:vAlign w:val="bottom"/>
            <w:hideMark/>
          </w:tcPr>
          <w:p w14:paraId="43557349" w14:textId="77777777" w:rsidR="00A43992" w:rsidRDefault="00A43992" w:rsidP="007211E3">
            <w:pPr>
              <w:rPr>
                <w:rFonts w:ascii="Arial" w:hAnsi="Arial" w:cs="Arial"/>
                <w:b/>
                <w:bCs/>
                <w:sz w:val="18"/>
                <w:szCs w:val="18"/>
              </w:rPr>
            </w:pPr>
            <w:r>
              <w:rPr>
                <w:rFonts w:ascii="Arial" w:hAnsi="Arial" w:cs="Arial"/>
                <w:b/>
                <w:bCs/>
                <w:sz w:val="18"/>
                <w:szCs w:val="18"/>
              </w:rPr>
              <w:t> </w:t>
            </w:r>
          </w:p>
        </w:tc>
        <w:tc>
          <w:tcPr>
            <w:tcW w:w="1249" w:type="dxa"/>
            <w:tcBorders>
              <w:top w:val="nil"/>
              <w:left w:val="nil"/>
              <w:bottom w:val="nil"/>
              <w:right w:val="nil"/>
            </w:tcBorders>
            <w:shd w:val="clear" w:color="FFFFFF" w:fill="FFFFFF"/>
            <w:noWrap/>
            <w:vAlign w:val="bottom"/>
            <w:hideMark/>
          </w:tcPr>
          <w:p w14:paraId="403484B2" w14:textId="77777777" w:rsidR="00A43992" w:rsidRDefault="00A43992" w:rsidP="007211E3">
            <w:pPr>
              <w:jc w:val="right"/>
              <w:rPr>
                <w:rFonts w:ascii="Arial" w:hAnsi="Arial" w:cs="Arial"/>
                <w:sz w:val="18"/>
                <w:szCs w:val="18"/>
              </w:rPr>
            </w:pPr>
            <w:r>
              <w:rPr>
                <w:rFonts w:ascii="Arial" w:hAnsi="Arial" w:cs="Arial"/>
                <w:sz w:val="18"/>
                <w:szCs w:val="18"/>
              </w:rPr>
              <w:t>5,498</w:t>
            </w:r>
          </w:p>
        </w:tc>
      </w:tr>
      <w:tr w:rsidR="00A43992" w14:paraId="3CE25C50" w14:textId="77777777" w:rsidTr="007211E3">
        <w:trPr>
          <w:trHeight w:val="240"/>
        </w:trPr>
        <w:tc>
          <w:tcPr>
            <w:tcW w:w="6353" w:type="dxa"/>
            <w:tcBorders>
              <w:top w:val="nil"/>
              <w:left w:val="nil"/>
              <w:bottom w:val="nil"/>
              <w:right w:val="nil"/>
            </w:tcBorders>
            <w:shd w:val="clear" w:color="FFFFFF" w:fill="FFFFFF"/>
            <w:vAlign w:val="bottom"/>
            <w:hideMark/>
          </w:tcPr>
          <w:p w14:paraId="0193B297" w14:textId="77777777" w:rsidR="00A43992" w:rsidRDefault="00A43992" w:rsidP="007211E3">
            <w:pPr>
              <w:rPr>
                <w:rFonts w:ascii="Arial" w:hAnsi="Arial" w:cs="Arial"/>
                <w:b/>
                <w:bCs/>
                <w:sz w:val="18"/>
                <w:szCs w:val="18"/>
              </w:rPr>
            </w:pPr>
            <w:r>
              <w:rPr>
                <w:rFonts w:ascii="Arial" w:hAnsi="Arial" w:cs="Arial"/>
                <w:b/>
                <w:bCs/>
                <w:sz w:val="18"/>
                <w:szCs w:val="18"/>
              </w:rPr>
              <w:t>Total Local area coordination costs</w:t>
            </w:r>
          </w:p>
        </w:tc>
        <w:tc>
          <w:tcPr>
            <w:tcW w:w="1249" w:type="dxa"/>
            <w:tcBorders>
              <w:top w:val="single" w:sz="4" w:space="0" w:color="auto"/>
              <w:left w:val="nil"/>
              <w:bottom w:val="single" w:sz="4" w:space="0" w:color="auto"/>
              <w:right w:val="nil"/>
            </w:tcBorders>
            <w:shd w:val="clear" w:color="FFFFFF" w:fill="FFFFFF"/>
            <w:noWrap/>
            <w:vAlign w:val="bottom"/>
            <w:hideMark/>
          </w:tcPr>
          <w:p w14:paraId="1A370022" w14:textId="77777777" w:rsidR="00A43992" w:rsidRDefault="00A43992" w:rsidP="007211E3">
            <w:pPr>
              <w:jc w:val="right"/>
              <w:rPr>
                <w:rFonts w:ascii="Arial" w:hAnsi="Arial" w:cs="Arial"/>
                <w:b/>
                <w:bCs/>
                <w:sz w:val="18"/>
                <w:szCs w:val="18"/>
              </w:rPr>
            </w:pPr>
            <w:r>
              <w:rPr>
                <w:rFonts w:ascii="Arial" w:hAnsi="Arial" w:cs="Arial"/>
                <w:b/>
                <w:bCs/>
                <w:sz w:val="18"/>
                <w:szCs w:val="18"/>
              </w:rPr>
              <w:t>21,514</w:t>
            </w:r>
          </w:p>
        </w:tc>
        <w:tc>
          <w:tcPr>
            <w:tcW w:w="236" w:type="dxa"/>
            <w:tcBorders>
              <w:top w:val="nil"/>
              <w:left w:val="nil"/>
              <w:bottom w:val="nil"/>
              <w:right w:val="nil"/>
            </w:tcBorders>
            <w:shd w:val="clear" w:color="FFFFFF" w:fill="FFFFFF"/>
            <w:noWrap/>
            <w:vAlign w:val="bottom"/>
            <w:hideMark/>
          </w:tcPr>
          <w:p w14:paraId="4B0CD173" w14:textId="77777777" w:rsidR="00A43992" w:rsidRDefault="00A43992" w:rsidP="007211E3">
            <w:pPr>
              <w:rPr>
                <w:rFonts w:ascii="Arial" w:hAnsi="Arial" w:cs="Arial"/>
                <w:sz w:val="18"/>
                <w:szCs w:val="18"/>
              </w:rPr>
            </w:pPr>
            <w:r>
              <w:rPr>
                <w:rFonts w:ascii="Arial" w:hAnsi="Arial" w:cs="Arial"/>
                <w:sz w:val="18"/>
                <w:szCs w:val="18"/>
              </w:rPr>
              <w:t> </w:t>
            </w:r>
          </w:p>
        </w:tc>
        <w:tc>
          <w:tcPr>
            <w:tcW w:w="1249" w:type="dxa"/>
            <w:tcBorders>
              <w:top w:val="single" w:sz="4" w:space="0" w:color="auto"/>
              <w:left w:val="nil"/>
              <w:bottom w:val="single" w:sz="4" w:space="0" w:color="auto"/>
              <w:right w:val="nil"/>
            </w:tcBorders>
            <w:shd w:val="clear" w:color="FFFFFF" w:fill="FFFFFF"/>
            <w:noWrap/>
            <w:vAlign w:val="bottom"/>
            <w:hideMark/>
          </w:tcPr>
          <w:p w14:paraId="45CBF77D" w14:textId="77777777" w:rsidR="00A43992" w:rsidRDefault="00A43992" w:rsidP="007211E3">
            <w:pPr>
              <w:jc w:val="right"/>
              <w:rPr>
                <w:rFonts w:ascii="Arial" w:hAnsi="Arial" w:cs="Arial"/>
                <w:sz w:val="18"/>
                <w:szCs w:val="18"/>
              </w:rPr>
            </w:pPr>
            <w:r>
              <w:rPr>
                <w:rFonts w:ascii="Arial" w:hAnsi="Arial" w:cs="Arial"/>
                <w:sz w:val="18"/>
                <w:szCs w:val="18"/>
              </w:rPr>
              <w:t>5,498</w:t>
            </w:r>
          </w:p>
        </w:tc>
      </w:tr>
    </w:tbl>
    <w:p w14:paraId="52FC4419" w14:textId="77777777" w:rsidR="00A43992" w:rsidRDefault="00A43992" w:rsidP="00A43992">
      <w:pPr>
        <w:spacing w:line="240" w:lineRule="auto"/>
      </w:pPr>
    </w:p>
    <w:p w14:paraId="32CD6786" w14:textId="078D280A" w:rsidR="00A43992" w:rsidRPr="002614B3" w:rsidRDefault="00A43992" w:rsidP="00A43992">
      <w:pPr>
        <w:pStyle w:val="PolicytextDept"/>
        <w:pBdr>
          <w:top w:val="none" w:sz="0" w:space="0" w:color="auto"/>
          <w:left w:val="none" w:sz="0" w:space="0" w:color="auto"/>
          <w:bottom w:val="none" w:sz="0" w:space="0" w:color="auto"/>
          <w:right w:val="none" w:sz="0" w:space="0" w:color="auto"/>
        </w:pBdr>
        <w:outlineLvl w:val="0"/>
        <w:rPr>
          <w:b/>
        </w:rPr>
      </w:pPr>
      <w:r w:rsidRPr="002614B3">
        <w:rPr>
          <w:b/>
        </w:rPr>
        <w:t xml:space="preserve">Local Area Coordination Costs </w:t>
      </w:r>
    </w:p>
    <w:p w14:paraId="0D093D80" w14:textId="77777777" w:rsidR="00A43992" w:rsidRPr="000755E7" w:rsidRDefault="00A43992" w:rsidP="00A43992">
      <w:pPr>
        <w:pStyle w:val="PolicytextDept"/>
        <w:pBdr>
          <w:top w:val="none" w:sz="0" w:space="0" w:color="auto"/>
          <w:left w:val="none" w:sz="0" w:space="0" w:color="auto"/>
          <w:bottom w:val="none" w:sz="0" w:space="0" w:color="auto"/>
          <w:right w:val="none" w:sz="0" w:space="0" w:color="auto"/>
        </w:pBdr>
      </w:pPr>
      <w:r w:rsidRPr="000755E7">
        <w:t xml:space="preserve">Local Area Coordination costs consists of the expenses incurred in funding selected providers of Local Area Coordination services. Arrangements with providers will differ in form and content, </w:t>
      </w:r>
      <w:r>
        <w:t>according to the Agency’s needs</w:t>
      </w:r>
      <w:r w:rsidRPr="000755E7">
        <w:t>.</w:t>
      </w:r>
    </w:p>
    <w:p w14:paraId="3689055B" w14:textId="77777777" w:rsidR="00A43992" w:rsidRPr="000755E7" w:rsidRDefault="00A43992" w:rsidP="00A43992">
      <w:pPr>
        <w:pStyle w:val="PolicytextDept"/>
        <w:pBdr>
          <w:top w:val="none" w:sz="0" w:space="0" w:color="auto"/>
          <w:left w:val="none" w:sz="0" w:space="0" w:color="auto"/>
          <w:bottom w:val="none" w:sz="0" w:space="0" w:color="auto"/>
          <w:right w:val="none" w:sz="0" w:space="0" w:color="auto"/>
        </w:pBdr>
      </w:pPr>
      <w:r w:rsidRPr="000755E7">
        <w:t>Local Area Coordinators are required to deliver several types of services including:</w:t>
      </w:r>
    </w:p>
    <w:p w14:paraId="419F5431" w14:textId="77777777" w:rsidR="00A43992" w:rsidRPr="000755E7" w:rsidRDefault="00A43992" w:rsidP="00A43992">
      <w:pPr>
        <w:pStyle w:val="PolicytextDept"/>
        <w:numPr>
          <w:ilvl w:val="0"/>
          <w:numId w:val="18"/>
        </w:numPr>
        <w:pBdr>
          <w:top w:val="none" w:sz="0" w:space="0" w:color="auto"/>
          <w:left w:val="none" w:sz="0" w:space="0" w:color="auto"/>
          <w:bottom w:val="none" w:sz="0" w:space="0" w:color="auto"/>
          <w:right w:val="none" w:sz="0" w:space="0" w:color="auto"/>
        </w:pBdr>
      </w:pPr>
      <w:r w:rsidRPr="000755E7">
        <w:t>Provision of support to prospective participants to engage with the Scheme, including community awareness</w:t>
      </w:r>
      <w:r>
        <w:t>;</w:t>
      </w:r>
    </w:p>
    <w:p w14:paraId="186DB75E" w14:textId="77777777" w:rsidR="00A43992" w:rsidRPr="000755E7" w:rsidRDefault="00A43992" w:rsidP="00A43992">
      <w:pPr>
        <w:pStyle w:val="PolicytextDept"/>
        <w:numPr>
          <w:ilvl w:val="0"/>
          <w:numId w:val="18"/>
        </w:numPr>
        <w:pBdr>
          <w:top w:val="none" w:sz="0" w:space="0" w:color="auto"/>
          <w:left w:val="none" w:sz="0" w:space="0" w:color="auto"/>
          <w:bottom w:val="none" w:sz="0" w:space="0" w:color="auto"/>
          <w:right w:val="none" w:sz="0" w:space="0" w:color="auto"/>
        </w:pBdr>
      </w:pPr>
      <w:r w:rsidRPr="000755E7">
        <w:t>Support scheme participants with implementation of their plans</w:t>
      </w:r>
      <w:r>
        <w:t>; and</w:t>
      </w:r>
    </w:p>
    <w:p w14:paraId="44204347" w14:textId="77777777" w:rsidR="00A43992" w:rsidRPr="000755E7" w:rsidRDefault="00A43992" w:rsidP="00A43992">
      <w:pPr>
        <w:pStyle w:val="PolicytextDept"/>
        <w:numPr>
          <w:ilvl w:val="0"/>
          <w:numId w:val="18"/>
        </w:numPr>
        <w:pBdr>
          <w:top w:val="none" w:sz="0" w:space="0" w:color="auto"/>
          <w:left w:val="none" w:sz="0" w:space="0" w:color="auto"/>
          <w:bottom w:val="none" w:sz="0" w:space="0" w:color="auto"/>
          <w:right w:val="none" w:sz="0" w:space="0" w:color="auto"/>
        </w:pBdr>
      </w:pPr>
      <w:r w:rsidRPr="000755E7">
        <w:t>Support scheme participants with full scheme planning and plan reviews</w:t>
      </w:r>
      <w:r>
        <w:t>.</w:t>
      </w:r>
    </w:p>
    <w:p w14:paraId="24C1C220" w14:textId="77777777" w:rsidR="00A43992" w:rsidRDefault="00A43992" w:rsidP="00A43992">
      <w:pPr>
        <w:spacing w:line="240" w:lineRule="auto"/>
      </w:pPr>
    </w:p>
    <w:p w14:paraId="38411C78" w14:textId="60329483" w:rsidR="00A43992" w:rsidRPr="0034370E" w:rsidRDefault="00A43992" w:rsidP="00A43992">
      <w:pPr>
        <w:pStyle w:val="PolicyheadingDept"/>
        <w:outlineLvl w:val="0"/>
      </w:pPr>
      <w:r w:rsidRPr="0034370E">
        <w:t>Accounting Policy</w:t>
      </w:r>
    </w:p>
    <w:p w14:paraId="34EDEF14" w14:textId="04F433D8" w:rsidR="00A43992" w:rsidRPr="0034370E" w:rsidRDefault="00A43992" w:rsidP="00A43992">
      <w:pPr>
        <w:pStyle w:val="PolicytextDept"/>
        <w:outlineLvl w:val="0"/>
        <w:rPr>
          <w:u w:val="single"/>
        </w:rPr>
      </w:pPr>
      <w:r w:rsidRPr="000755E7">
        <w:t>The costs associated with Local Area Coordination are recognised as the services are provided to the Agency.</w:t>
      </w:r>
    </w:p>
    <w:p w14:paraId="26F990AF" w14:textId="77777777" w:rsidR="00A43992" w:rsidRPr="005E5430" w:rsidRDefault="00A43992" w:rsidP="00A43992">
      <w:pPr>
        <w:spacing w:line="240" w:lineRule="auto"/>
      </w:pPr>
    </w:p>
    <w:p w14:paraId="4F3048D0" w14:textId="7210C829" w:rsidR="00A43992" w:rsidRPr="00382E66" w:rsidRDefault="00A43992" w:rsidP="00A43992">
      <w:pPr>
        <w:pStyle w:val="SubHeading"/>
      </w:pPr>
      <w:bookmarkStart w:id="194" w:name="_Toc443469524"/>
      <w:bookmarkStart w:id="195" w:name="_Toc444065773"/>
      <w:bookmarkStart w:id="196" w:name="_Toc444077334"/>
      <w:bookmarkStart w:id="197" w:name="_Toc447030537"/>
      <w:bookmarkStart w:id="198" w:name="_Toc447030689"/>
      <w:bookmarkStart w:id="199" w:name="_Toc447030782"/>
      <w:bookmarkStart w:id="200" w:name="_Toc456865055"/>
      <w:r w:rsidRPr="00382E66">
        <w:t>Own-Source Revenue and Gains</w:t>
      </w:r>
      <w:bookmarkEnd w:id="194"/>
      <w:bookmarkEnd w:id="195"/>
      <w:bookmarkEnd w:id="196"/>
      <w:bookmarkEnd w:id="197"/>
      <w:bookmarkEnd w:id="198"/>
      <w:bookmarkEnd w:id="199"/>
      <w:bookmarkEnd w:id="200"/>
    </w:p>
    <w:tbl>
      <w:tblPr>
        <w:tblW w:w="9087" w:type="dxa"/>
        <w:tblInd w:w="80" w:type="dxa"/>
        <w:tblLayout w:type="fixed"/>
        <w:tblLook w:val="04A0" w:firstRow="1" w:lastRow="0" w:firstColumn="1" w:lastColumn="0" w:noHBand="0" w:noVBand="1"/>
      </w:tblPr>
      <w:tblGrid>
        <w:gridCol w:w="6353"/>
        <w:gridCol w:w="1249"/>
        <w:gridCol w:w="236"/>
        <w:gridCol w:w="1249"/>
      </w:tblGrid>
      <w:tr w:rsidR="00A43992" w14:paraId="4C670E5A" w14:textId="77777777" w:rsidTr="007211E3">
        <w:trPr>
          <w:trHeight w:val="255"/>
        </w:trPr>
        <w:tc>
          <w:tcPr>
            <w:tcW w:w="6353" w:type="dxa"/>
            <w:tcBorders>
              <w:top w:val="nil"/>
              <w:left w:val="nil"/>
              <w:bottom w:val="nil"/>
              <w:right w:val="nil"/>
            </w:tcBorders>
            <w:shd w:val="clear" w:color="FFFFFF" w:fill="FFFFFF"/>
            <w:vAlign w:val="bottom"/>
            <w:hideMark/>
          </w:tcPr>
          <w:p w14:paraId="0A663918" w14:textId="77777777" w:rsidR="00A43992" w:rsidRDefault="00A43992" w:rsidP="007211E3">
            <w:pPr>
              <w:rPr>
                <w:rFonts w:ascii="Arial" w:hAnsi="Arial" w:cs="Arial"/>
                <w:b/>
                <w:bCs/>
                <w:sz w:val="18"/>
                <w:szCs w:val="18"/>
              </w:rPr>
            </w:pPr>
            <w:bookmarkStart w:id="201" w:name="Note_GASTABLE1" w:colFirst="0" w:colLast="0"/>
            <w:r>
              <w:rPr>
                <w:rFonts w:ascii="Arial" w:hAnsi="Arial" w:cs="Arial"/>
                <w:b/>
                <w:bCs/>
                <w:sz w:val="18"/>
                <w:szCs w:val="18"/>
              </w:rPr>
              <w:t> </w:t>
            </w:r>
          </w:p>
        </w:tc>
        <w:tc>
          <w:tcPr>
            <w:tcW w:w="1249" w:type="dxa"/>
            <w:tcBorders>
              <w:top w:val="nil"/>
              <w:left w:val="nil"/>
              <w:bottom w:val="nil"/>
              <w:right w:val="nil"/>
            </w:tcBorders>
            <w:shd w:val="clear" w:color="FFFFFF" w:fill="FFFFFF"/>
            <w:vAlign w:val="bottom"/>
            <w:hideMark/>
          </w:tcPr>
          <w:p w14:paraId="0EA905EB" w14:textId="77777777" w:rsidR="00A43992" w:rsidRDefault="00A43992" w:rsidP="007211E3">
            <w:pPr>
              <w:jc w:val="right"/>
              <w:rPr>
                <w:rFonts w:ascii="Arial" w:hAnsi="Arial" w:cs="Arial"/>
                <w:b/>
                <w:bCs/>
                <w:sz w:val="18"/>
                <w:szCs w:val="18"/>
              </w:rPr>
            </w:pPr>
            <w:r>
              <w:rPr>
                <w:rFonts w:ascii="Arial" w:hAnsi="Arial" w:cs="Arial"/>
                <w:b/>
                <w:bCs/>
                <w:sz w:val="18"/>
                <w:szCs w:val="18"/>
              </w:rPr>
              <w:t> </w:t>
            </w:r>
          </w:p>
        </w:tc>
        <w:tc>
          <w:tcPr>
            <w:tcW w:w="236" w:type="dxa"/>
            <w:tcBorders>
              <w:top w:val="nil"/>
              <w:left w:val="nil"/>
              <w:bottom w:val="nil"/>
              <w:right w:val="nil"/>
            </w:tcBorders>
            <w:shd w:val="clear" w:color="FFFFFF" w:fill="FFFFFF"/>
            <w:noWrap/>
            <w:vAlign w:val="bottom"/>
            <w:hideMark/>
          </w:tcPr>
          <w:p w14:paraId="0554C4B1" w14:textId="77777777" w:rsidR="00A43992" w:rsidRDefault="00A43992" w:rsidP="007211E3">
            <w:pPr>
              <w:rPr>
                <w:rFonts w:ascii="Arial" w:hAnsi="Arial" w:cs="Arial"/>
                <w:sz w:val="18"/>
                <w:szCs w:val="18"/>
              </w:rPr>
            </w:pPr>
            <w:r>
              <w:rPr>
                <w:rFonts w:ascii="Arial" w:hAnsi="Arial" w:cs="Arial"/>
                <w:sz w:val="18"/>
                <w:szCs w:val="18"/>
              </w:rPr>
              <w:t> </w:t>
            </w:r>
          </w:p>
        </w:tc>
        <w:tc>
          <w:tcPr>
            <w:tcW w:w="1249" w:type="dxa"/>
            <w:tcBorders>
              <w:top w:val="nil"/>
              <w:left w:val="nil"/>
              <w:bottom w:val="nil"/>
              <w:right w:val="nil"/>
            </w:tcBorders>
            <w:shd w:val="clear" w:color="FFFFFF" w:fill="FFFFFF"/>
            <w:vAlign w:val="bottom"/>
            <w:hideMark/>
          </w:tcPr>
          <w:p w14:paraId="200A763F" w14:textId="77777777" w:rsidR="00A43992" w:rsidRDefault="00A43992" w:rsidP="007211E3">
            <w:pPr>
              <w:jc w:val="right"/>
              <w:rPr>
                <w:rFonts w:ascii="Arial" w:hAnsi="Arial" w:cs="Arial"/>
                <w:sz w:val="18"/>
                <w:szCs w:val="18"/>
              </w:rPr>
            </w:pPr>
            <w:r>
              <w:rPr>
                <w:rFonts w:ascii="Arial" w:hAnsi="Arial" w:cs="Arial"/>
                <w:sz w:val="18"/>
                <w:szCs w:val="18"/>
              </w:rPr>
              <w:t> </w:t>
            </w:r>
          </w:p>
        </w:tc>
      </w:tr>
      <w:bookmarkEnd w:id="201"/>
      <w:tr w:rsidR="00A43992" w14:paraId="36954222" w14:textId="77777777" w:rsidTr="007211E3">
        <w:trPr>
          <w:trHeight w:val="255"/>
        </w:trPr>
        <w:tc>
          <w:tcPr>
            <w:tcW w:w="6353" w:type="dxa"/>
            <w:tcBorders>
              <w:top w:val="nil"/>
              <w:left w:val="nil"/>
              <w:bottom w:val="nil"/>
              <w:right w:val="nil"/>
            </w:tcBorders>
            <w:shd w:val="clear" w:color="FFFFFF" w:fill="FFFFFF"/>
            <w:vAlign w:val="bottom"/>
            <w:hideMark/>
          </w:tcPr>
          <w:p w14:paraId="289E66C4" w14:textId="77777777" w:rsidR="00A43992" w:rsidRDefault="00A43992" w:rsidP="007211E3">
            <w:pPr>
              <w:rPr>
                <w:rFonts w:ascii="Arial" w:hAnsi="Arial" w:cs="Arial"/>
                <w:b/>
                <w:bCs/>
                <w:sz w:val="18"/>
                <w:szCs w:val="18"/>
              </w:rPr>
            </w:pPr>
            <w:r>
              <w:rPr>
                <w:rFonts w:ascii="Arial" w:hAnsi="Arial" w:cs="Arial"/>
                <w:b/>
                <w:bCs/>
                <w:sz w:val="18"/>
                <w:szCs w:val="18"/>
              </w:rPr>
              <w:t>OWN SOURCE REVENUE</w:t>
            </w:r>
          </w:p>
        </w:tc>
        <w:tc>
          <w:tcPr>
            <w:tcW w:w="1249" w:type="dxa"/>
            <w:tcBorders>
              <w:top w:val="nil"/>
              <w:left w:val="nil"/>
              <w:bottom w:val="nil"/>
              <w:right w:val="nil"/>
            </w:tcBorders>
            <w:shd w:val="clear" w:color="FFFFFF" w:fill="FFFFFF"/>
            <w:vAlign w:val="bottom"/>
            <w:hideMark/>
          </w:tcPr>
          <w:p w14:paraId="5FD93F66" w14:textId="77777777" w:rsidR="00A43992" w:rsidRDefault="00A43992" w:rsidP="007211E3">
            <w:pPr>
              <w:jc w:val="right"/>
              <w:rPr>
                <w:rFonts w:ascii="Arial" w:hAnsi="Arial" w:cs="Arial"/>
                <w:b/>
                <w:bCs/>
                <w:sz w:val="18"/>
                <w:szCs w:val="18"/>
              </w:rPr>
            </w:pPr>
            <w:r>
              <w:rPr>
                <w:rFonts w:ascii="Arial" w:hAnsi="Arial" w:cs="Arial"/>
                <w:b/>
                <w:bCs/>
                <w:sz w:val="18"/>
                <w:szCs w:val="18"/>
              </w:rPr>
              <w:t> </w:t>
            </w:r>
          </w:p>
        </w:tc>
        <w:tc>
          <w:tcPr>
            <w:tcW w:w="236" w:type="dxa"/>
            <w:tcBorders>
              <w:top w:val="nil"/>
              <w:left w:val="nil"/>
              <w:bottom w:val="nil"/>
              <w:right w:val="nil"/>
            </w:tcBorders>
            <w:shd w:val="clear" w:color="FFFFFF" w:fill="FFFFFF"/>
            <w:noWrap/>
            <w:vAlign w:val="bottom"/>
            <w:hideMark/>
          </w:tcPr>
          <w:p w14:paraId="2C620FDC" w14:textId="77777777" w:rsidR="00A43992" w:rsidRDefault="00A43992" w:rsidP="007211E3">
            <w:pPr>
              <w:rPr>
                <w:rFonts w:ascii="Arial" w:hAnsi="Arial" w:cs="Arial"/>
                <w:sz w:val="18"/>
                <w:szCs w:val="18"/>
              </w:rPr>
            </w:pPr>
            <w:r>
              <w:rPr>
                <w:rFonts w:ascii="Arial" w:hAnsi="Arial" w:cs="Arial"/>
                <w:sz w:val="18"/>
                <w:szCs w:val="18"/>
              </w:rPr>
              <w:t> </w:t>
            </w:r>
          </w:p>
        </w:tc>
        <w:tc>
          <w:tcPr>
            <w:tcW w:w="1249" w:type="dxa"/>
            <w:tcBorders>
              <w:top w:val="nil"/>
              <w:left w:val="nil"/>
              <w:bottom w:val="nil"/>
              <w:right w:val="nil"/>
            </w:tcBorders>
            <w:shd w:val="clear" w:color="FFFFFF" w:fill="FFFFFF"/>
            <w:vAlign w:val="bottom"/>
            <w:hideMark/>
          </w:tcPr>
          <w:p w14:paraId="490742AA" w14:textId="77777777" w:rsidR="00A43992" w:rsidRDefault="00A43992" w:rsidP="007211E3">
            <w:pPr>
              <w:jc w:val="right"/>
              <w:rPr>
                <w:rFonts w:ascii="Arial" w:hAnsi="Arial" w:cs="Arial"/>
                <w:sz w:val="18"/>
                <w:szCs w:val="18"/>
              </w:rPr>
            </w:pPr>
            <w:r>
              <w:rPr>
                <w:rFonts w:ascii="Arial" w:hAnsi="Arial" w:cs="Arial"/>
                <w:sz w:val="18"/>
                <w:szCs w:val="18"/>
              </w:rPr>
              <w:t> </w:t>
            </w:r>
          </w:p>
        </w:tc>
      </w:tr>
      <w:tr w:rsidR="00A43992" w14:paraId="5C712AF6" w14:textId="77777777" w:rsidTr="007211E3">
        <w:trPr>
          <w:trHeight w:val="255"/>
        </w:trPr>
        <w:tc>
          <w:tcPr>
            <w:tcW w:w="6353" w:type="dxa"/>
            <w:tcBorders>
              <w:top w:val="nil"/>
              <w:left w:val="nil"/>
              <w:bottom w:val="nil"/>
              <w:right w:val="nil"/>
            </w:tcBorders>
            <w:shd w:val="clear" w:color="FFFFFF" w:fill="FFFFFF"/>
            <w:vAlign w:val="bottom"/>
            <w:hideMark/>
          </w:tcPr>
          <w:p w14:paraId="1716EC0B" w14:textId="77777777" w:rsidR="00A43992" w:rsidRDefault="00A43992" w:rsidP="007211E3">
            <w:pPr>
              <w:rPr>
                <w:rFonts w:ascii="Arial" w:hAnsi="Arial" w:cs="Arial"/>
                <w:b/>
                <w:bCs/>
                <w:sz w:val="18"/>
                <w:szCs w:val="18"/>
              </w:rPr>
            </w:pPr>
            <w:r>
              <w:rPr>
                <w:rFonts w:ascii="Arial" w:hAnsi="Arial" w:cs="Arial"/>
                <w:b/>
                <w:bCs/>
                <w:sz w:val="18"/>
                <w:szCs w:val="18"/>
              </w:rPr>
              <w:t> </w:t>
            </w:r>
          </w:p>
        </w:tc>
        <w:tc>
          <w:tcPr>
            <w:tcW w:w="1249" w:type="dxa"/>
            <w:tcBorders>
              <w:top w:val="nil"/>
              <w:left w:val="nil"/>
              <w:bottom w:val="nil"/>
              <w:right w:val="nil"/>
            </w:tcBorders>
            <w:shd w:val="clear" w:color="FFFFFF" w:fill="FFFFFF"/>
            <w:vAlign w:val="bottom"/>
            <w:hideMark/>
          </w:tcPr>
          <w:p w14:paraId="656A25BB" w14:textId="77777777" w:rsidR="00A43992" w:rsidRDefault="00A43992" w:rsidP="007211E3">
            <w:pPr>
              <w:jc w:val="right"/>
              <w:rPr>
                <w:rFonts w:ascii="Arial" w:hAnsi="Arial" w:cs="Arial"/>
                <w:b/>
                <w:bCs/>
                <w:sz w:val="18"/>
                <w:szCs w:val="18"/>
              </w:rPr>
            </w:pPr>
            <w:r>
              <w:rPr>
                <w:rFonts w:ascii="Arial" w:hAnsi="Arial" w:cs="Arial"/>
                <w:b/>
                <w:bCs/>
                <w:sz w:val="18"/>
                <w:szCs w:val="18"/>
              </w:rPr>
              <w:t> </w:t>
            </w:r>
          </w:p>
        </w:tc>
        <w:tc>
          <w:tcPr>
            <w:tcW w:w="236" w:type="dxa"/>
            <w:tcBorders>
              <w:top w:val="nil"/>
              <w:left w:val="nil"/>
              <w:bottom w:val="nil"/>
              <w:right w:val="nil"/>
            </w:tcBorders>
            <w:shd w:val="clear" w:color="FFFFFF" w:fill="FFFFFF"/>
            <w:noWrap/>
            <w:vAlign w:val="bottom"/>
            <w:hideMark/>
          </w:tcPr>
          <w:p w14:paraId="34365891" w14:textId="77777777" w:rsidR="00A43992" w:rsidRDefault="00A43992" w:rsidP="007211E3">
            <w:pPr>
              <w:rPr>
                <w:rFonts w:ascii="Arial" w:hAnsi="Arial" w:cs="Arial"/>
                <w:sz w:val="18"/>
                <w:szCs w:val="18"/>
              </w:rPr>
            </w:pPr>
            <w:r>
              <w:rPr>
                <w:rFonts w:ascii="Arial" w:hAnsi="Arial" w:cs="Arial"/>
                <w:sz w:val="18"/>
                <w:szCs w:val="18"/>
              </w:rPr>
              <w:t> </w:t>
            </w:r>
          </w:p>
        </w:tc>
        <w:tc>
          <w:tcPr>
            <w:tcW w:w="1249" w:type="dxa"/>
            <w:tcBorders>
              <w:top w:val="nil"/>
              <w:left w:val="nil"/>
              <w:bottom w:val="nil"/>
              <w:right w:val="nil"/>
            </w:tcBorders>
            <w:shd w:val="clear" w:color="FFFFFF" w:fill="FFFFFF"/>
            <w:vAlign w:val="bottom"/>
            <w:hideMark/>
          </w:tcPr>
          <w:p w14:paraId="23F08027" w14:textId="77777777" w:rsidR="00A43992" w:rsidRDefault="00A43992" w:rsidP="007211E3">
            <w:pPr>
              <w:jc w:val="right"/>
              <w:rPr>
                <w:rFonts w:ascii="Arial" w:hAnsi="Arial" w:cs="Arial"/>
                <w:sz w:val="18"/>
                <w:szCs w:val="18"/>
              </w:rPr>
            </w:pPr>
            <w:r>
              <w:rPr>
                <w:rFonts w:ascii="Arial" w:hAnsi="Arial" w:cs="Arial"/>
                <w:sz w:val="18"/>
                <w:szCs w:val="18"/>
              </w:rPr>
              <w:t> </w:t>
            </w:r>
          </w:p>
        </w:tc>
      </w:tr>
      <w:tr w:rsidR="00A43992" w14:paraId="6AF6918A" w14:textId="77777777" w:rsidTr="007211E3">
        <w:trPr>
          <w:trHeight w:val="255"/>
        </w:trPr>
        <w:tc>
          <w:tcPr>
            <w:tcW w:w="6353" w:type="dxa"/>
            <w:tcBorders>
              <w:top w:val="nil"/>
              <w:left w:val="nil"/>
              <w:bottom w:val="nil"/>
              <w:right w:val="nil"/>
            </w:tcBorders>
            <w:shd w:val="clear" w:color="FFFFFF" w:fill="FFFFFF"/>
            <w:noWrap/>
            <w:vAlign w:val="bottom"/>
            <w:hideMark/>
          </w:tcPr>
          <w:p w14:paraId="7C8A148D" w14:textId="77777777" w:rsidR="00A43992" w:rsidRDefault="00A43992" w:rsidP="007211E3">
            <w:pPr>
              <w:rPr>
                <w:rFonts w:ascii="Arial" w:hAnsi="Arial" w:cs="Arial"/>
                <w:b/>
                <w:bCs/>
                <w:sz w:val="18"/>
                <w:szCs w:val="18"/>
                <w:u w:val="single"/>
              </w:rPr>
            </w:pPr>
            <w:r>
              <w:rPr>
                <w:rFonts w:ascii="Arial" w:hAnsi="Arial" w:cs="Arial"/>
                <w:b/>
                <w:bCs/>
                <w:sz w:val="18"/>
                <w:szCs w:val="18"/>
                <w:u w:val="single"/>
              </w:rPr>
              <w:t>Note 1.2A: Revenue from rendering of services</w:t>
            </w:r>
          </w:p>
        </w:tc>
        <w:tc>
          <w:tcPr>
            <w:tcW w:w="1249" w:type="dxa"/>
            <w:tcBorders>
              <w:top w:val="nil"/>
              <w:left w:val="nil"/>
              <w:bottom w:val="nil"/>
              <w:right w:val="nil"/>
            </w:tcBorders>
            <w:shd w:val="clear" w:color="FFFFFF" w:fill="FFFFFF"/>
            <w:noWrap/>
            <w:vAlign w:val="bottom"/>
            <w:hideMark/>
          </w:tcPr>
          <w:p w14:paraId="584368B8" w14:textId="77777777" w:rsidR="00A43992" w:rsidRDefault="00A43992" w:rsidP="007211E3">
            <w:pPr>
              <w:rPr>
                <w:rFonts w:ascii="Arial" w:hAnsi="Arial" w:cs="Arial"/>
                <w:sz w:val="18"/>
                <w:szCs w:val="18"/>
              </w:rPr>
            </w:pPr>
            <w:r>
              <w:rPr>
                <w:rFonts w:ascii="Arial" w:hAnsi="Arial" w:cs="Arial"/>
                <w:sz w:val="18"/>
                <w:szCs w:val="18"/>
              </w:rPr>
              <w:t> </w:t>
            </w:r>
          </w:p>
        </w:tc>
        <w:tc>
          <w:tcPr>
            <w:tcW w:w="236" w:type="dxa"/>
            <w:tcBorders>
              <w:top w:val="nil"/>
              <w:left w:val="nil"/>
              <w:bottom w:val="nil"/>
              <w:right w:val="nil"/>
            </w:tcBorders>
            <w:shd w:val="clear" w:color="FFFFFF" w:fill="FFFFFF"/>
            <w:noWrap/>
            <w:vAlign w:val="bottom"/>
            <w:hideMark/>
          </w:tcPr>
          <w:p w14:paraId="2D1552A8" w14:textId="77777777" w:rsidR="00A43992" w:rsidRDefault="00A43992" w:rsidP="007211E3">
            <w:pPr>
              <w:rPr>
                <w:rFonts w:ascii="Arial" w:hAnsi="Arial" w:cs="Arial"/>
                <w:sz w:val="18"/>
                <w:szCs w:val="18"/>
              </w:rPr>
            </w:pPr>
            <w:r>
              <w:rPr>
                <w:rFonts w:ascii="Arial" w:hAnsi="Arial" w:cs="Arial"/>
                <w:sz w:val="18"/>
                <w:szCs w:val="18"/>
              </w:rPr>
              <w:t> </w:t>
            </w:r>
          </w:p>
        </w:tc>
        <w:tc>
          <w:tcPr>
            <w:tcW w:w="1249" w:type="dxa"/>
            <w:tcBorders>
              <w:top w:val="nil"/>
              <w:left w:val="nil"/>
              <w:bottom w:val="nil"/>
              <w:right w:val="nil"/>
            </w:tcBorders>
            <w:shd w:val="clear" w:color="FFFFFF" w:fill="FFFFFF"/>
            <w:noWrap/>
            <w:vAlign w:val="bottom"/>
            <w:hideMark/>
          </w:tcPr>
          <w:p w14:paraId="2610BB85" w14:textId="77777777" w:rsidR="00A43992" w:rsidRDefault="00A43992" w:rsidP="007211E3">
            <w:pPr>
              <w:rPr>
                <w:rFonts w:ascii="Arial" w:hAnsi="Arial" w:cs="Arial"/>
                <w:sz w:val="18"/>
                <w:szCs w:val="18"/>
              </w:rPr>
            </w:pPr>
            <w:r>
              <w:rPr>
                <w:rFonts w:ascii="Arial" w:hAnsi="Arial" w:cs="Arial"/>
                <w:sz w:val="18"/>
                <w:szCs w:val="18"/>
              </w:rPr>
              <w:t> </w:t>
            </w:r>
          </w:p>
        </w:tc>
      </w:tr>
      <w:tr w:rsidR="00A43992" w14:paraId="3EEDB201" w14:textId="77777777" w:rsidTr="007211E3">
        <w:trPr>
          <w:trHeight w:val="255"/>
        </w:trPr>
        <w:tc>
          <w:tcPr>
            <w:tcW w:w="6353" w:type="dxa"/>
            <w:tcBorders>
              <w:top w:val="nil"/>
              <w:left w:val="nil"/>
              <w:bottom w:val="nil"/>
              <w:right w:val="nil"/>
            </w:tcBorders>
            <w:shd w:val="clear" w:color="FFFFFF" w:fill="FFFFFF"/>
            <w:noWrap/>
            <w:vAlign w:val="bottom"/>
            <w:hideMark/>
          </w:tcPr>
          <w:p w14:paraId="103A4C21" w14:textId="77777777" w:rsidR="00A43992" w:rsidRDefault="00A43992" w:rsidP="007211E3">
            <w:pPr>
              <w:rPr>
                <w:rFonts w:ascii="Arial" w:hAnsi="Arial" w:cs="Arial"/>
                <w:b/>
                <w:bCs/>
                <w:sz w:val="18"/>
                <w:szCs w:val="18"/>
              </w:rPr>
            </w:pPr>
            <w:r>
              <w:rPr>
                <w:rFonts w:ascii="Arial" w:hAnsi="Arial" w:cs="Arial"/>
                <w:b/>
                <w:bCs/>
                <w:sz w:val="18"/>
                <w:szCs w:val="18"/>
              </w:rPr>
              <w:t>Rendering of services in connection with</w:t>
            </w:r>
          </w:p>
        </w:tc>
        <w:tc>
          <w:tcPr>
            <w:tcW w:w="1249" w:type="dxa"/>
            <w:tcBorders>
              <w:top w:val="nil"/>
              <w:left w:val="nil"/>
              <w:bottom w:val="nil"/>
              <w:right w:val="nil"/>
            </w:tcBorders>
            <w:shd w:val="clear" w:color="FFFFFF" w:fill="FFFFFF"/>
            <w:noWrap/>
            <w:vAlign w:val="bottom"/>
            <w:hideMark/>
          </w:tcPr>
          <w:p w14:paraId="27873E2B" w14:textId="77777777" w:rsidR="00A43992" w:rsidRDefault="00A43992" w:rsidP="007211E3">
            <w:pPr>
              <w:jc w:val="right"/>
              <w:rPr>
                <w:rFonts w:ascii="Arial" w:hAnsi="Arial" w:cs="Arial"/>
                <w:b/>
                <w:bCs/>
                <w:sz w:val="18"/>
                <w:szCs w:val="18"/>
              </w:rPr>
            </w:pPr>
            <w:r>
              <w:rPr>
                <w:rFonts w:ascii="Arial" w:hAnsi="Arial" w:cs="Arial"/>
                <w:b/>
                <w:bCs/>
                <w:sz w:val="18"/>
                <w:szCs w:val="18"/>
              </w:rPr>
              <w:t> </w:t>
            </w:r>
          </w:p>
        </w:tc>
        <w:tc>
          <w:tcPr>
            <w:tcW w:w="236" w:type="dxa"/>
            <w:tcBorders>
              <w:top w:val="nil"/>
              <w:left w:val="nil"/>
              <w:bottom w:val="nil"/>
              <w:right w:val="nil"/>
            </w:tcBorders>
            <w:shd w:val="clear" w:color="FFFFFF" w:fill="FFFFFF"/>
            <w:noWrap/>
            <w:vAlign w:val="bottom"/>
            <w:hideMark/>
          </w:tcPr>
          <w:p w14:paraId="0A68C999" w14:textId="77777777" w:rsidR="00A43992" w:rsidRDefault="00A43992" w:rsidP="007211E3">
            <w:pPr>
              <w:rPr>
                <w:rFonts w:ascii="Arial" w:hAnsi="Arial" w:cs="Arial"/>
                <w:sz w:val="18"/>
                <w:szCs w:val="18"/>
              </w:rPr>
            </w:pPr>
            <w:r>
              <w:rPr>
                <w:rFonts w:ascii="Arial" w:hAnsi="Arial" w:cs="Arial"/>
                <w:sz w:val="18"/>
                <w:szCs w:val="18"/>
              </w:rPr>
              <w:t> </w:t>
            </w:r>
          </w:p>
        </w:tc>
        <w:tc>
          <w:tcPr>
            <w:tcW w:w="1249" w:type="dxa"/>
            <w:tcBorders>
              <w:top w:val="nil"/>
              <w:left w:val="nil"/>
              <w:bottom w:val="nil"/>
              <w:right w:val="nil"/>
            </w:tcBorders>
            <w:shd w:val="clear" w:color="FFFFFF" w:fill="FFFFFF"/>
            <w:noWrap/>
            <w:vAlign w:val="bottom"/>
            <w:hideMark/>
          </w:tcPr>
          <w:p w14:paraId="710A9B1E" w14:textId="77777777" w:rsidR="00A43992" w:rsidRDefault="00A43992" w:rsidP="007211E3">
            <w:pPr>
              <w:jc w:val="right"/>
              <w:rPr>
                <w:rFonts w:ascii="Arial" w:hAnsi="Arial" w:cs="Arial"/>
                <w:sz w:val="18"/>
                <w:szCs w:val="18"/>
              </w:rPr>
            </w:pPr>
            <w:r>
              <w:rPr>
                <w:rFonts w:ascii="Arial" w:hAnsi="Arial" w:cs="Arial"/>
                <w:sz w:val="18"/>
                <w:szCs w:val="18"/>
              </w:rPr>
              <w:t> </w:t>
            </w:r>
          </w:p>
        </w:tc>
      </w:tr>
      <w:tr w:rsidR="00A43992" w14:paraId="64BED928" w14:textId="77777777" w:rsidTr="007211E3">
        <w:trPr>
          <w:trHeight w:val="255"/>
        </w:trPr>
        <w:tc>
          <w:tcPr>
            <w:tcW w:w="6353" w:type="dxa"/>
            <w:tcBorders>
              <w:top w:val="nil"/>
              <w:left w:val="nil"/>
              <w:bottom w:val="nil"/>
              <w:right w:val="nil"/>
            </w:tcBorders>
            <w:shd w:val="clear" w:color="FFFFFF" w:fill="FFFFFF"/>
            <w:vAlign w:val="bottom"/>
            <w:hideMark/>
          </w:tcPr>
          <w:p w14:paraId="3FD29D9D" w14:textId="77777777" w:rsidR="00A43992" w:rsidRDefault="00A43992" w:rsidP="007211E3">
            <w:pPr>
              <w:ind w:firstLineChars="100" w:firstLine="180"/>
              <w:rPr>
                <w:rFonts w:ascii="Arial" w:hAnsi="Arial" w:cs="Arial"/>
                <w:sz w:val="18"/>
                <w:szCs w:val="18"/>
              </w:rPr>
            </w:pPr>
            <w:r>
              <w:rPr>
                <w:rFonts w:ascii="Arial" w:hAnsi="Arial" w:cs="Arial"/>
                <w:sz w:val="18"/>
                <w:szCs w:val="18"/>
              </w:rPr>
              <w:t>Related parties - contributions from Department of Social Services</w:t>
            </w:r>
          </w:p>
        </w:tc>
        <w:tc>
          <w:tcPr>
            <w:tcW w:w="1249" w:type="dxa"/>
            <w:tcBorders>
              <w:top w:val="nil"/>
              <w:left w:val="nil"/>
              <w:bottom w:val="nil"/>
              <w:right w:val="nil"/>
            </w:tcBorders>
            <w:shd w:val="clear" w:color="FFFFFF" w:fill="FFFFFF"/>
            <w:noWrap/>
            <w:vAlign w:val="bottom"/>
            <w:hideMark/>
          </w:tcPr>
          <w:p w14:paraId="0DF5744B" w14:textId="77777777" w:rsidR="00A43992" w:rsidRDefault="00A43992" w:rsidP="007211E3">
            <w:pPr>
              <w:jc w:val="right"/>
              <w:rPr>
                <w:rFonts w:ascii="Arial" w:hAnsi="Arial" w:cs="Arial"/>
                <w:b/>
                <w:bCs/>
                <w:sz w:val="18"/>
                <w:szCs w:val="18"/>
              </w:rPr>
            </w:pPr>
            <w:r>
              <w:rPr>
                <w:rFonts w:ascii="Arial" w:hAnsi="Arial" w:cs="Arial"/>
                <w:b/>
                <w:bCs/>
                <w:sz w:val="18"/>
                <w:szCs w:val="18"/>
              </w:rPr>
              <w:t>10,231</w:t>
            </w:r>
          </w:p>
        </w:tc>
        <w:tc>
          <w:tcPr>
            <w:tcW w:w="236" w:type="dxa"/>
            <w:tcBorders>
              <w:top w:val="nil"/>
              <w:left w:val="nil"/>
              <w:bottom w:val="nil"/>
              <w:right w:val="nil"/>
            </w:tcBorders>
            <w:shd w:val="clear" w:color="FFFFFF" w:fill="FFFFFF"/>
            <w:noWrap/>
            <w:vAlign w:val="bottom"/>
            <w:hideMark/>
          </w:tcPr>
          <w:p w14:paraId="1C7B1613" w14:textId="77777777" w:rsidR="00A43992" w:rsidRDefault="00A43992" w:rsidP="007211E3">
            <w:pPr>
              <w:rPr>
                <w:rFonts w:ascii="Arial" w:hAnsi="Arial" w:cs="Arial"/>
                <w:sz w:val="18"/>
                <w:szCs w:val="18"/>
              </w:rPr>
            </w:pPr>
            <w:r>
              <w:rPr>
                <w:rFonts w:ascii="Arial" w:hAnsi="Arial" w:cs="Arial"/>
                <w:sz w:val="18"/>
                <w:szCs w:val="18"/>
              </w:rPr>
              <w:t> </w:t>
            </w:r>
          </w:p>
        </w:tc>
        <w:tc>
          <w:tcPr>
            <w:tcW w:w="1249" w:type="dxa"/>
            <w:tcBorders>
              <w:top w:val="nil"/>
              <w:left w:val="nil"/>
              <w:bottom w:val="nil"/>
              <w:right w:val="nil"/>
            </w:tcBorders>
            <w:shd w:val="clear" w:color="FFFFFF" w:fill="FFFFFF"/>
            <w:noWrap/>
            <w:vAlign w:val="bottom"/>
            <w:hideMark/>
          </w:tcPr>
          <w:p w14:paraId="390A8C8D" w14:textId="77777777" w:rsidR="00A43992" w:rsidRDefault="00A43992" w:rsidP="007211E3">
            <w:pPr>
              <w:jc w:val="right"/>
              <w:rPr>
                <w:rFonts w:ascii="Arial" w:hAnsi="Arial" w:cs="Arial"/>
                <w:sz w:val="18"/>
                <w:szCs w:val="18"/>
              </w:rPr>
            </w:pPr>
            <w:r>
              <w:rPr>
                <w:rFonts w:ascii="Arial" w:hAnsi="Arial" w:cs="Arial"/>
                <w:sz w:val="18"/>
                <w:szCs w:val="18"/>
              </w:rPr>
              <w:t>1,625</w:t>
            </w:r>
          </w:p>
        </w:tc>
      </w:tr>
      <w:tr w:rsidR="00A43992" w14:paraId="70082032" w14:textId="77777777" w:rsidTr="007211E3">
        <w:trPr>
          <w:trHeight w:val="255"/>
        </w:trPr>
        <w:tc>
          <w:tcPr>
            <w:tcW w:w="6353" w:type="dxa"/>
            <w:tcBorders>
              <w:top w:val="nil"/>
              <w:left w:val="nil"/>
              <w:bottom w:val="nil"/>
              <w:right w:val="nil"/>
            </w:tcBorders>
            <w:shd w:val="clear" w:color="FFFFFF" w:fill="FFFFFF"/>
            <w:vAlign w:val="bottom"/>
            <w:hideMark/>
          </w:tcPr>
          <w:p w14:paraId="089DCEDE" w14:textId="77777777" w:rsidR="00A43992" w:rsidRDefault="00A43992" w:rsidP="007211E3">
            <w:pPr>
              <w:ind w:firstLineChars="100" w:firstLine="180"/>
              <w:rPr>
                <w:rFonts w:ascii="Arial" w:hAnsi="Arial" w:cs="Arial"/>
                <w:sz w:val="18"/>
                <w:szCs w:val="18"/>
              </w:rPr>
            </w:pPr>
            <w:r>
              <w:rPr>
                <w:rFonts w:ascii="Arial" w:hAnsi="Arial" w:cs="Arial"/>
                <w:sz w:val="18"/>
                <w:szCs w:val="18"/>
              </w:rPr>
              <w:t>External parties - contributions from state and territory governments</w:t>
            </w:r>
          </w:p>
        </w:tc>
        <w:tc>
          <w:tcPr>
            <w:tcW w:w="1249" w:type="dxa"/>
            <w:tcBorders>
              <w:top w:val="nil"/>
              <w:left w:val="nil"/>
              <w:bottom w:val="nil"/>
              <w:right w:val="nil"/>
            </w:tcBorders>
            <w:shd w:val="clear" w:color="FFFFFF" w:fill="FFFFFF"/>
            <w:noWrap/>
            <w:vAlign w:val="bottom"/>
            <w:hideMark/>
          </w:tcPr>
          <w:p w14:paraId="2915CD60" w14:textId="77777777" w:rsidR="00A43992" w:rsidRDefault="00A43992" w:rsidP="007211E3">
            <w:pPr>
              <w:jc w:val="right"/>
              <w:rPr>
                <w:rFonts w:ascii="Arial" w:hAnsi="Arial" w:cs="Arial"/>
                <w:b/>
                <w:bCs/>
                <w:sz w:val="18"/>
                <w:szCs w:val="18"/>
              </w:rPr>
            </w:pPr>
            <w:r>
              <w:rPr>
                <w:rFonts w:ascii="Arial" w:hAnsi="Arial" w:cs="Arial"/>
                <w:b/>
                <w:bCs/>
                <w:sz w:val="18"/>
                <w:szCs w:val="18"/>
              </w:rPr>
              <w:t>276,676</w:t>
            </w:r>
          </w:p>
        </w:tc>
        <w:tc>
          <w:tcPr>
            <w:tcW w:w="236" w:type="dxa"/>
            <w:tcBorders>
              <w:top w:val="nil"/>
              <w:left w:val="nil"/>
              <w:bottom w:val="nil"/>
              <w:right w:val="nil"/>
            </w:tcBorders>
            <w:shd w:val="clear" w:color="FFFFFF" w:fill="FFFFFF"/>
            <w:noWrap/>
            <w:vAlign w:val="bottom"/>
            <w:hideMark/>
          </w:tcPr>
          <w:p w14:paraId="4474B497" w14:textId="77777777" w:rsidR="00A43992" w:rsidRDefault="00A43992" w:rsidP="007211E3">
            <w:pPr>
              <w:rPr>
                <w:rFonts w:ascii="Arial" w:hAnsi="Arial" w:cs="Arial"/>
                <w:sz w:val="18"/>
                <w:szCs w:val="18"/>
              </w:rPr>
            </w:pPr>
            <w:r>
              <w:rPr>
                <w:rFonts w:ascii="Arial" w:hAnsi="Arial" w:cs="Arial"/>
                <w:sz w:val="18"/>
                <w:szCs w:val="18"/>
              </w:rPr>
              <w:t> </w:t>
            </w:r>
          </w:p>
        </w:tc>
        <w:tc>
          <w:tcPr>
            <w:tcW w:w="1249" w:type="dxa"/>
            <w:tcBorders>
              <w:top w:val="nil"/>
              <w:left w:val="nil"/>
              <w:bottom w:val="nil"/>
              <w:right w:val="nil"/>
            </w:tcBorders>
            <w:shd w:val="clear" w:color="FFFFFF" w:fill="FFFFFF"/>
            <w:noWrap/>
            <w:vAlign w:val="bottom"/>
            <w:hideMark/>
          </w:tcPr>
          <w:p w14:paraId="4C40E117" w14:textId="77777777" w:rsidR="00A43992" w:rsidRDefault="00A43992" w:rsidP="007211E3">
            <w:pPr>
              <w:jc w:val="right"/>
              <w:rPr>
                <w:rFonts w:ascii="Arial" w:hAnsi="Arial" w:cs="Arial"/>
                <w:sz w:val="18"/>
                <w:szCs w:val="18"/>
              </w:rPr>
            </w:pPr>
            <w:r>
              <w:rPr>
                <w:rFonts w:ascii="Arial" w:hAnsi="Arial" w:cs="Arial"/>
                <w:sz w:val="18"/>
                <w:szCs w:val="18"/>
              </w:rPr>
              <w:t>140,049</w:t>
            </w:r>
          </w:p>
        </w:tc>
      </w:tr>
      <w:tr w:rsidR="00A43992" w14:paraId="46EA3512" w14:textId="77777777" w:rsidTr="007211E3">
        <w:trPr>
          <w:trHeight w:val="255"/>
        </w:trPr>
        <w:tc>
          <w:tcPr>
            <w:tcW w:w="6353" w:type="dxa"/>
            <w:tcBorders>
              <w:top w:val="nil"/>
              <w:left w:val="nil"/>
              <w:bottom w:val="nil"/>
              <w:right w:val="nil"/>
            </w:tcBorders>
            <w:shd w:val="clear" w:color="FFFFFF" w:fill="FFFFFF"/>
            <w:vAlign w:val="bottom"/>
            <w:hideMark/>
          </w:tcPr>
          <w:p w14:paraId="02C80D23" w14:textId="77777777" w:rsidR="00A43992" w:rsidRDefault="00A43992" w:rsidP="007211E3">
            <w:pPr>
              <w:rPr>
                <w:rFonts w:ascii="Arial" w:hAnsi="Arial" w:cs="Arial"/>
                <w:b/>
                <w:bCs/>
                <w:sz w:val="18"/>
                <w:szCs w:val="18"/>
              </w:rPr>
            </w:pPr>
            <w:r>
              <w:rPr>
                <w:rFonts w:ascii="Arial" w:hAnsi="Arial" w:cs="Arial"/>
                <w:b/>
                <w:bCs/>
                <w:sz w:val="18"/>
                <w:szCs w:val="18"/>
              </w:rPr>
              <w:t>Total revenue from the rendering of services</w:t>
            </w:r>
          </w:p>
        </w:tc>
        <w:tc>
          <w:tcPr>
            <w:tcW w:w="1249" w:type="dxa"/>
            <w:tcBorders>
              <w:top w:val="single" w:sz="4" w:space="0" w:color="auto"/>
              <w:left w:val="nil"/>
              <w:bottom w:val="single" w:sz="4" w:space="0" w:color="auto"/>
              <w:right w:val="nil"/>
            </w:tcBorders>
            <w:shd w:val="clear" w:color="FFFFFF" w:fill="FFFFFF"/>
            <w:noWrap/>
            <w:vAlign w:val="bottom"/>
            <w:hideMark/>
          </w:tcPr>
          <w:p w14:paraId="4FACABA4" w14:textId="77777777" w:rsidR="00A43992" w:rsidRDefault="00A43992" w:rsidP="007211E3">
            <w:pPr>
              <w:jc w:val="right"/>
              <w:rPr>
                <w:rFonts w:ascii="Arial" w:hAnsi="Arial" w:cs="Arial"/>
                <w:b/>
                <w:bCs/>
                <w:sz w:val="18"/>
                <w:szCs w:val="18"/>
              </w:rPr>
            </w:pPr>
            <w:r>
              <w:rPr>
                <w:rFonts w:ascii="Arial" w:hAnsi="Arial" w:cs="Arial"/>
                <w:b/>
                <w:bCs/>
                <w:sz w:val="18"/>
                <w:szCs w:val="18"/>
              </w:rPr>
              <w:t>286,907</w:t>
            </w:r>
          </w:p>
        </w:tc>
        <w:tc>
          <w:tcPr>
            <w:tcW w:w="236" w:type="dxa"/>
            <w:tcBorders>
              <w:top w:val="nil"/>
              <w:left w:val="nil"/>
              <w:bottom w:val="nil"/>
              <w:right w:val="nil"/>
            </w:tcBorders>
            <w:shd w:val="clear" w:color="FFFFFF" w:fill="FFFFFF"/>
            <w:noWrap/>
            <w:vAlign w:val="bottom"/>
            <w:hideMark/>
          </w:tcPr>
          <w:p w14:paraId="2E4187B3" w14:textId="77777777" w:rsidR="00A43992" w:rsidRDefault="00A43992" w:rsidP="007211E3">
            <w:pPr>
              <w:rPr>
                <w:rFonts w:ascii="Arial" w:hAnsi="Arial" w:cs="Arial"/>
                <w:sz w:val="18"/>
                <w:szCs w:val="18"/>
              </w:rPr>
            </w:pPr>
            <w:r>
              <w:rPr>
                <w:rFonts w:ascii="Arial" w:hAnsi="Arial" w:cs="Arial"/>
                <w:sz w:val="18"/>
                <w:szCs w:val="18"/>
              </w:rPr>
              <w:t> </w:t>
            </w:r>
          </w:p>
        </w:tc>
        <w:tc>
          <w:tcPr>
            <w:tcW w:w="1249" w:type="dxa"/>
            <w:tcBorders>
              <w:top w:val="single" w:sz="4" w:space="0" w:color="auto"/>
              <w:left w:val="nil"/>
              <w:bottom w:val="single" w:sz="4" w:space="0" w:color="auto"/>
              <w:right w:val="nil"/>
            </w:tcBorders>
            <w:shd w:val="clear" w:color="FFFFFF" w:fill="FFFFFF"/>
            <w:noWrap/>
            <w:vAlign w:val="bottom"/>
            <w:hideMark/>
          </w:tcPr>
          <w:p w14:paraId="22FFB5B2" w14:textId="77777777" w:rsidR="00A43992" w:rsidRDefault="00A43992" w:rsidP="007211E3">
            <w:pPr>
              <w:jc w:val="right"/>
              <w:rPr>
                <w:rFonts w:ascii="Arial" w:hAnsi="Arial" w:cs="Arial"/>
                <w:sz w:val="18"/>
                <w:szCs w:val="18"/>
              </w:rPr>
            </w:pPr>
            <w:r>
              <w:rPr>
                <w:rFonts w:ascii="Arial" w:hAnsi="Arial" w:cs="Arial"/>
                <w:sz w:val="18"/>
                <w:szCs w:val="18"/>
              </w:rPr>
              <w:t>141,674</w:t>
            </w:r>
          </w:p>
        </w:tc>
      </w:tr>
    </w:tbl>
    <w:p w14:paraId="2202D15A" w14:textId="77777777" w:rsidR="00A43992" w:rsidRDefault="00A43992" w:rsidP="00A43992">
      <w:bookmarkStart w:id="202" w:name="RANGE!D7:G10"/>
      <w:bookmarkEnd w:id="202"/>
    </w:p>
    <w:p w14:paraId="61262D0E" w14:textId="77777777" w:rsidR="00A43992" w:rsidRDefault="00A43992" w:rsidP="00A43992"/>
    <w:p w14:paraId="109B573E" w14:textId="49B082EB" w:rsidR="00A43992" w:rsidRPr="00902FDC" w:rsidRDefault="00A43992" w:rsidP="00A43992">
      <w:pPr>
        <w:pStyle w:val="PolicytextDept"/>
        <w:outlineLvl w:val="0"/>
        <w:rPr>
          <w:b/>
        </w:rPr>
      </w:pPr>
      <w:r w:rsidRPr="00902FDC">
        <w:rPr>
          <w:b/>
        </w:rPr>
        <w:t>Accounting Policy</w:t>
      </w:r>
    </w:p>
    <w:p w14:paraId="326EA13E" w14:textId="1605E8D6" w:rsidR="00A43992" w:rsidRPr="00902FDC" w:rsidRDefault="00A43992" w:rsidP="00A43992">
      <w:pPr>
        <w:pStyle w:val="PolicytextDept"/>
        <w:outlineLvl w:val="0"/>
        <w:rPr>
          <w:i/>
          <w:u w:val="single"/>
        </w:rPr>
      </w:pPr>
      <w:r w:rsidRPr="00902FDC">
        <w:rPr>
          <w:i/>
          <w:u w:val="single"/>
        </w:rPr>
        <w:t>Rendering of services</w:t>
      </w:r>
      <w:r>
        <w:rPr>
          <w:i/>
          <w:u w:val="single"/>
        </w:rPr>
        <w:t xml:space="preserve"> – contributions from Commonwealth, state and territory governments</w:t>
      </w:r>
    </w:p>
    <w:p w14:paraId="592C9872" w14:textId="77777777" w:rsidR="00A43992" w:rsidRDefault="00A43992" w:rsidP="00A43992">
      <w:pPr>
        <w:pStyle w:val="PolicytextDept"/>
      </w:pPr>
      <w:r w:rsidRPr="00902FDC">
        <w:t xml:space="preserve">Revenue from rendering of services is recognised by reference to the stage of completion of contracts at the reporting date and is recognised </w:t>
      </w:r>
      <w:r>
        <w:t>when:</w:t>
      </w:r>
    </w:p>
    <w:p w14:paraId="1EE12DD9" w14:textId="77777777" w:rsidR="00A43992" w:rsidRDefault="00A43992" w:rsidP="00A43992">
      <w:pPr>
        <w:pStyle w:val="PolicytextDept"/>
      </w:pPr>
      <w:proofErr w:type="spellStart"/>
      <w:r>
        <w:t>a</w:t>
      </w:r>
      <w:proofErr w:type="spellEnd"/>
      <w:r>
        <w:t>) the amount of revenue, stage of completion and transaction costs incurred can be reliably measured; and</w:t>
      </w:r>
    </w:p>
    <w:p w14:paraId="3FA8AEE8" w14:textId="77777777" w:rsidR="00A43992" w:rsidRDefault="00A43992" w:rsidP="00A43992">
      <w:pPr>
        <w:pStyle w:val="PolicytextDept"/>
      </w:pPr>
      <w:r>
        <w:lastRenderedPageBreak/>
        <w:t>b) the probable economic benefits associated with the transaction will flow to the Agency.</w:t>
      </w:r>
      <w:r>
        <w:tab/>
      </w:r>
    </w:p>
    <w:p w14:paraId="454AC24A" w14:textId="77777777" w:rsidR="00A43992" w:rsidRPr="00902FDC" w:rsidRDefault="00A43992" w:rsidP="00A43992">
      <w:pPr>
        <w:pStyle w:val="PolicytextDept"/>
      </w:pPr>
      <w:r w:rsidRPr="00902FDC">
        <w:t xml:space="preserve">The stage of completion of contracts at the reporting date is determined by reference to the proportion that costs incurred to date bear to the estimated total costs of the transaction. </w:t>
      </w:r>
    </w:p>
    <w:p w14:paraId="600C59B6" w14:textId="77777777" w:rsidR="00A43992" w:rsidRPr="00902FDC" w:rsidRDefault="00A43992" w:rsidP="00A43992">
      <w:pPr>
        <w:pStyle w:val="PolicytextDept"/>
      </w:pPr>
      <w:r w:rsidRPr="00902FDC">
        <w:t xml:space="preserve">Cash contributions to the </w:t>
      </w:r>
      <w:r>
        <w:t>Agency</w:t>
      </w:r>
      <w:r w:rsidRPr="00902FDC">
        <w:t xml:space="preserve"> from state and territory governments are recognised as revenue when they become payable to the Agency under a signed agreement with the Commonwealth.  These include cash contributions outlined in the bilateral agreements for the funding of the National Disability Insurance Scheme</w:t>
      </w:r>
      <w:r>
        <w:t>.</w:t>
      </w:r>
      <w:r w:rsidRPr="00902FDC">
        <w:tab/>
      </w:r>
    </w:p>
    <w:p w14:paraId="54DA8A3C" w14:textId="033A58F1" w:rsidR="00A43992" w:rsidRPr="00642C7C" w:rsidRDefault="00A43992" w:rsidP="00A43992">
      <w:pPr>
        <w:pStyle w:val="PolicytextDept"/>
        <w:outlineLvl w:val="0"/>
        <w:rPr>
          <w:u w:val="single"/>
        </w:rPr>
      </w:pPr>
      <w:r w:rsidRPr="00642C7C">
        <w:rPr>
          <w:i/>
          <w:iCs/>
          <w:u w:val="single"/>
        </w:rPr>
        <w:t xml:space="preserve">Unearned revenue </w:t>
      </w:r>
    </w:p>
    <w:p w14:paraId="5EF607F2" w14:textId="77777777" w:rsidR="00A43992" w:rsidRDefault="00A43992" w:rsidP="00A43992">
      <w:pPr>
        <w:pStyle w:val="PolicytextDept"/>
      </w:pPr>
      <w:r w:rsidRPr="00642C7C">
        <w:t xml:space="preserve">Amounts invoiced in advance are recognised as unearned income in the </w:t>
      </w:r>
      <w:r>
        <w:t>Statement of Financial Position</w:t>
      </w:r>
      <w:r w:rsidRPr="00642C7C">
        <w:t xml:space="preserve"> until the relevant revenue recognition criteria are met.</w:t>
      </w:r>
    </w:p>
    <w:p w14:paraId="1F9BBB30" w14:textId="2B684970" w:rsidR="00A43992" w:rsidRPr="00642C7C" w:rsidRDefault="00A43992" w:rsidP="00A43992">
      <w:pPr>
        <w:pStyle w:val="PolicytextDept"/>
        <w:outlineLvl w:val="0"/>
        <w:rPr>
          <w:i/>
          <w:u w:val="single"/>
        </w:rPr>
      </w:pPr>
      <w:r w:rsidRPr="00642C7C">
        <w:rPr>
          <w:i/>
          <w:u w:val="single"/>
        </w:rPr>
        <w:t>Compensation</w:t>
      </w:r>
    </w:p>
    <w:p w14:paraId="3468E5F9" w14:textId="77777777" w:rsidR="00A43992" w:rsidRPr="00642C7C" w:rsidRDefault="00A43992" w:rsidP="00A43992">
      <w:pPr>
        <w:pStyle w:val="PolicytextDept"/>
      </w:pPr>
      <w:r w:rsidRPr="00642C7C">
        <w:t>The Agency has powers set out in the NDIS Act and the NDIS Compensation Rules to recover amounts of compensation that have been paid to or given up by participants in certain circumstances. The Agency recognises compensation revenue when, and only when both the amount of the compensation can be reliably determined, and the receipt of the compensation is probable.</w:t>
      </w:r>
    </w:p>
    <w:p w14:paraId="374B4A83" w14:textId="77777777" w:rsidR="00A43992" w:rsidRPr="005E5430" w:rsidRDefault="00A43992" w:rsidP="00A43992"/>
    <w:tbl>
      <w:tblPr>
        <w:tblW w:w="9087" w:type="dxa"/>
        <w:tblInd w:w="80" w:type="dxa"/>
        <w:tblLayout w:type="fixed"/>
        <w:tblLook w:val="04A0" w:firstRow="1" w:lastRow="0" w:firstColumn="1" w:lastColumn="0" w:noHBand="0" w:noVBand="1"/>
      </w:tblPr>
      <w:tblGrid>
        <w:gridCol w:w="6353"/>
        <w:gridCol w:w="1249"/>
        <w:gridCol w:w="236"/>
        <w:gridCol w:w="1249"/>
      </w:tblGrid>
      <w:tr w:rsidR="00A43992" w14:paraId="6558BF52" w14:textId="77777777" w:rsidTr="007211E3">
        <w:trPr>
          <w:trHeight w:val="240"/>
        </w:trPr>
        <w:tc>
          <w:tcPr>
            <w:tcW w:w="6353" w:type="dxa"/>
            <w:tcBorders>
              <w:top w:val="nil"/>
              <w:left w:val="nil"/>
              <w:bottom w:val="nil"/>
              <w:right w:val="nil"/>
            </w:tcBorders>
            <w:shd w:val="clear" w:color="FFFFFF" w:fill="FFFFFF"/>
            <w:vAlign w:val="bottom"/>
            <w:hideMark/>
          </w:tcPr>
          <w:p w14:paraId="5E766140" w14:textId="77777777" w:rsidR="00A43992" w:rsidRDefault="00A43992" w:rsidP="007211E3">
            <w:pPr>
              <w:rPr>
                <w:rFonts w:ascii="Arial" w:hAnsi="Arial" w:cs="Arial"/>
                <w:b/>
                <w:bCs/>
                <w:sz w:val="18"/>
                <w:szCs w:val="18"/>
              </w:rPr>
            </w:pPr>
            <w:bookmarkStart w:id="203" w:name="Note_IRVTABLE1" w:colFirst="0" w:colLast="0"/>
            <w:r>
              <w:rPr>
                <w:rFonts w:ascii="Arial" w:hAnsi="Arial" w:cs="Arial"/>
                <w:b/>
                <w:bCs/>
                <w:sz w:val="18"/>
                <w:szCs w:val="18"/>
              </w:rPr>
              <w:t> </w:t>
            </w:r>
          </w:p>
        </w:tc>
        <w:tc>
          <w:tcPr>
            <w:tcW w:w="1249" w:type="dxa"/>
            <w:tcBorders>
              <w:top w:val="nil"/>
              <w:left w:val="nil"/>
              <w:bottom w:val="nil"/>
              <w:right w:val="nil"/>
            </w:tcBorders>
            <w:shd w:val="clear" w:color="FFFFFF" w:fill="FFFFFF"/>
            <w:noWrap/>
            <w:vAlign w:val="bottom"/>
            <w:hideMark/>
          </w:tcPr>
          <w:p w14:paraId="7E7DB009" w14:textId="77777777" w:rsidR="00A43992" w:rsidRDefault="00A43992" w:rsidP="007211E3">
            <w:pPr>
              <w:jc w:val="right"/>
              <w:rPr>
                <w:rFonts w:ascii="Arial" w:hAnsi="Arial" w:cs="Arial"/>
                <w:b/>
                <w:bCs/>
                <w:sz w:val="18"/>
                <w:szCs w:val="18"/>
              </w:rPr>
            </w:pPr>
            <w:r>
              <w:rPr>
                <w:rFonts w:ascii="Arial" w:hAnsi="Arial" w:cs="Arial"/>
                <w:b/>
                <w:bCs/>
                <w:sz w:val="18"/>
                <w:szCs w:val="18"/>
              </w:rPr>
              <w:t>2016</w:t>
            </w:r>
          </w:p>
        </w:tc>
        <w:tc>
          <w:tcPr>
            <w:tcW w:w="236" w:type="dxa"/>
            <w:tcBorders>
              <w:top w:val="nil"/>
              <w:left w:val="nil"/>
              <w:bottom w:val="nil"/>
              <w:right w:val="nil"/>
            </w:tcBorders>
            <w:shd w:val="clear" w:color="FFFFFF" w:fill="FFFFFF"/>
            <w:noWrap/>
            <w:vAlign w:val="bottom"/>
            <w:hideMark/>
          </w:tcPr>
          <w:p w14:paraId="36D736AA" w14:textId="77777777" w:rsidR="00A43992" w:rsidRDefault="00A43992" w:rsidP="007211E3">
            <w:pPr>
              <w:rPr>
                <w:rFonts w:ascii="Arial" w:hAnsi="Arial" w:cs="Arial"/>
                <w:sz w:val="18"/>
                <w:szCs w:val="18"/>
              </w:rPr>
            </w:pPr>
            <w:r>
              <w:rPr>
                <w:rFonts w:ascii="Arial" w:hAnsi="Arial" w:cs="Arial"/>
                <w:sz w:val="18"/>
                <w:szCs w:val="18"/>
              </w:rPr>
              <w:t> </w:t>
            </w:r>
          </w:p>
        </w:tc>
        <w:tc>
          <w:tcPr>
            <w:tcW w:w="1249" w:type="dxa"/>
            <w:tcBorders>
              <w:top w:val="nil"/>
              <w:left w:val="nil"/>
              <w:bottom w:val="nil"/>
              <w:right w:val="nil"/>
            </w:tcBorders>
            <w:shd w:val="clear" w:color="FFFFFF" w:fill="FFFFFF"/>
            <w:noWrap/>
            <w:vAlign w:val="bottom"/>
            <w:hideMark/>
          </w:tcPr>
          <w:p w14:paraId="7958F916" w14:textId="77777777" w:rsidR="00A43992" w:rsidRDefault="00A43992" w:rsidP="007211E3">
            <w:pPr>
              <w:jc w:val="right"/>
              <w:rPr>
                <w:rFonts w:ascii="Arial" w:hAnsi="Arial" w:cs="Arial"/>
                <w:sz w:val="18"/>
                <w:szCs w:val="18"/>
              </w:rPr>
            </w:pPr>
            <w:r>
              <w:rPr>
                <w:rFonts w:ascii="Arial" w:hAnsi="Arial" w:cs="Arial"/>
                <w:sz w:val="18"/>
                <w:szCs w:val="18"/>
              </w:rPr>
              <w:t>2015</w:t>
            </w:r>
          </w:p>
        </w:tc>
      </w:tr>
      <w:bookmarkEnd w:id="203"/>
      <w:tr w:rsidR="00A43992" w14:paraId="5BA8AE5F" w14:textId="77777777" w:rsidTr="007211E3">
        <w:trPr>
          <w:trHeight w:val="240"/>
        </w:trPr>
        <w:tc>
          <w:tcPr>
            <w:tcW w:w="6353" w:type="dxa"/>
            <w:tcBorders>
              <w:top w:val="nil"/>
              <w:left w:val="nil"/>
              <w:bottom w:val="nil"/>
              <w:right w:val="nil"/>
            </w:tcBorders>
            <w:shd w:val="clear" w:color="FFFFFF" w:fill="FFFFFF"/>
            <w:vAlign w:val="bottom"/>
            <w:hideMark/>
          </w:tcPr>
          <w:p w14:paraId="18B09039" w14:textId="77777777" w:rsidR="00A43992" w:rsidRDefault="00A43992" w:rsidP="007211E3">
            <w:pPr>
              <w:rPr>
                <w:rFonts w:ascii="Arial" w:hAnsi="Arial" w:cs="Arial"/>
                <w:b/>
                <w:bCs/>
                <w:sz w:val="18"/>
                <w:szCs w:val="18"/>
              </w:rPr>
            </w:pPr>
            <w:r>
              <w:rPr>
                <w:rFonts w:ascii="Arial" w:hAnsi="Arial" w:cs="Arial"/>
                <w:b/>
                <w:bCs/>
                <w:sz w:val="18"/>
                <w:szCs w:val="18"/>
              </w:rPr>
              <w:t> </w:t>
            </w:r>
          </w:p>
        </w:tc>
        <w:tc>
          <w:tcPr>
            <w:tcW w:w="1249" w:type="dxa"/>
            <w:tcBorders>
              <w:top w:val="nil"/>
              <w:left w:val="nil"/>
              <w:bottom w:val="nil"/>
              <w:right w:val="nil"/>
            </w:tcBorders>
            <w:shd w:val="clear" w:color="FFFFFF" w:fill="FFFFFF"/>
            <w:noWrap/>
            <w:vAlign w:val="bottom"/>
            <w:hideMark/>
          </w:tcPr>
          <w:p w14:paraId="48998F9B" w14:textId="77777777" w:rsidR="00A43992" w:rsidRDefault="00A43992" w:rsidP="007211E3">
            <w:pPr>
              <w:jc w:val="right"/>
              <w:rPr>
                <w:rFonts w:ascii="Arial" w:hAnsi="Arial" w:cs="Arial"/>
                <w:b/>
                <w:bCs/>
                <w:sz w:val="18"/>
                <w:szCs w:val="18"/>
              </w:rPr>
            </w:pPr>
            <w:r>
              <w:rPr>
                <w:rFonts w:ascii="Arial" w:hAnsi="Arial" w:cs="Arial"/>
                <w:b/>
                <w:bCs/>
                <w:sz w:val="18"/>
                <w:szCs w:val="18"/>
              </w:rPr>
              <w:t>$'000</w:t>
            </w:r>
          </w:p>
        </w:tc>
        <w:tc>
          <w:tcPr>
            <w:tcW w:w="236" w:type="dxa"/>
            <w:tcBorders>
              <w:top w:val="nil"/>
              <w:left w:val="nil"/>
              <w:bottom w:val="nil"/>
              <w:right w:val="nil"/>
            </w:tcBorders>
            <w:shd w:val="clear" w:color="FFFFFF" w:fill="FFFFFF"/>
            <w:noWrap/>
            <w:vAlign w:val="bottom"/>
            <w:hideMark/>
          </w:tcPr>
          <w:p w14:paraId="4627104A" w14:textId="77777777" w:rsidR="00A43992" w:rsidRDefault="00A43992" w:rsidP="007211E3">
            <w:pPr>
              <w:rPr>
                <w:rFonts w:ascii="Arial" w:hAnsi="Arial" w:cs="Arial"/>
                <w:sz w:val="18"/>
                <w:szCs w:val="18"/>
              </w:rPr>
            </w:pPr>
            <w:r>
              <w:rPr>
                <w:rFonts w:ascii="Arial" w:hAnsi="Arial" w:cs="Arial"/>
                <w:sz w:val="18"/>
                <w:szCs w:val="18"/>
              </w:rPr>
              <w:t> </w:t>
            </w:r>
          </w:p>
        </w:tc>
        <w:tc>
          <w:tcPr>
            <w:tcW w:w="1249" w:type="dxa"/>
            <w:tcBorders>
              <w:top w:val="nil"/>
              <w:left w:val="nil"/>
              <w:bottom w:val="nil"/>
              <w:right w:val="nil"/>
            </w:tcBorders>
            <w:shd w:val="clear" w:color="FFFFFF" w:fill="FFFFFF"/>
            <w:noWrap/>
            <w:vAlign w:val="bottom"/>
            <w:hideMark/>
          </w:tcPr>
          <w:p w14:paraId="63A8BEB2" w14:textId="77777777" w:rsidR="00A43992" w:rsidRDefault="00A43992" w:rsidP="007211E3">
            <w:pPr>
              <w:jc w:val="right"/>
              <w:rPr>
                <w:rFonts w:ascii="Arial" w:hAnsi="Arial" w:cs="Arial"/>
                <w:sz w:val="18"/>
                <w:szCs w:val="18"/>
              </w:rPr>
            </w:pPr>
            <w:r>
              <w:rPr>
                <w:rFonts w:ascii="Arial" w:hAnsi="Arial" w:cs="Arial"/>
                <w:sz w:val="18"/>
                <w:szCs w:val="18"/>
              </w:rPr>
              <w:t>$'000</w:t>
            </w:r>
          </w:p>
        </w:tc>
      </w:tr>
      <w:tr w:rsidR="00A43992" w14:paraId="03175009" w14:textId="77777777" w:rsidTr="007211E3">
        <w:trPr>
          <w:trHeight w:val="255"/>
        </w:trPr>
        <w:tc>
          <w:tcPr>
            <w:tcW w:w="6353" w:type="dxa"/>
            <w:tcBorders>
              <w:top w:val="nil"/>
              <w:left w:val="nil"/>
              <w:bottom w:val="nil"/>
              <w:right w:val="nil"/>
            </w:tcBorders>
            <w:shd w:val="clear" w:color="FFFFFF" w:fill="FFFFFF"/>
            <w:noWrap/>
            <w:vAlign w:val="bottom"/>
            <w:hideMark/>
          </w:tcPr>
          <w:p w14:paraId="71364814" w14:textId="77777777" w:rsidR="00A43992" w:rsidRDefault="00A43992" w:rsidP="007211E3">
            <w:pPr>
              <w:rPr>
                <w:rFonts w:ascii="Arial" w:hAnsi="Arial" w:cs="Arial"/>
                <w:b/>
                <w:bCs/>
                <w:sz w:val="18"/>
                <w:szCs w:val="18"/>
                <w:u w:val="single"/>
              </w:rPr>
            </w:pPr>
            <w:r>
              <w:rPr>
                <w:rFonts w:ascii="Arial" w:hAnsi="Arial" w:cs="Arial"/>
                <w:b/>
                <w:bCs/>
                <w:sz w:val="18"/>
                <w:szCs w:val="18"/>
                <w:u w:val="single"/>
              </w:rPr>
              <w:t>Note 1.2B: Interest</w:t>
            </w:r>
          </w:p>
        </w:tc>
        <w:tc>
          <w:tcPr>
            <w:tcW w:w="1249" w:type="dxa"/>
            <w:tcBorders>
              <w:top w:val="nil"/>
              <w:left w:val="nil"/>
              <w:bottom w:val="nil"/>
              <w:right w:val="nil"/>
            </w:tcBorders>
            <w:shd w:val="clear" w:color="FFFFFF" w:fill="FFFFFF"/>
            <w:noWrap/>
            <w:vAlign w:val="bottom"/>
            <w:hideMark/>
          </w:tcPr>
          <w:p w14:paraId="4A7811BD" w14:textId="77777777" w:rsidR="00A43992" w:rsidRDefault="00A43992" w:rsidP="007211E3">
            <w:pPr>
              <w:rPr>
                <w:rFonts w:ascii="Arial" w:hAnsi="Arial" w:cs="Arial"/>
                <w:sz w:val="18"/>
                <w:szCs w:val="18"/>
              </w:rPr>
            </w:pPr>
            <w:r>
              <w:rPr>
                <w:rFonts w:ascii="Arial" w:hAnsi="Arial" w:cs="Arial"/>
                <w:sz w:val="18"/>
                <w:szCs w:val="18"/>
              </w:rPr>
              <w:t> </w:t>
            </w:r>
          </w:p>
        </w:tc>
        <w:tc>
          <w:tcPr>
            <w:tcW w:w="236" w:type="dxa"/>
            <w:tcBorders>
              <w:top w:val="nil"/>
              <w:left w:val="nil"/>
              <w:bottom w:val="nil"/>
              <w:right w:val="nil"/>
            </w:tcBorders>
            <w:shd w:val="clear" w:color="FFFFFF" w:fill="FFFFFF"/>
            <w:noWrap/>
            <w:vAlign w:val="bottom"/>
            <w:hideMark/>
          </w:tcPr>
          <w:p w14:paraId="7B4D5DD7" w14:textId="77777777" w:rsidR="00A43992" w:rsidRDefault="00A43992" w:rsidP="007211E3">
            <w:pPr>
              <w:rPr>
                <w:rFonts w:ascii="Arial" w:hAnsi="Arial" w:cs="Arial"/>
                <w:sz w:val="18"/>
                <w:szCs w:val="18"/>
              </w:rPr>
            </w:pPr>
            <w:r>
              <w:rPr>
                <w:rFonts w:ascii="Arial" w:hAnsi="Arial" w:cs="Arial"/>
                <w:sz w:val="18"/>
                <w:szCs w:val="18"/>
              </w:rPr>
              <w:t> </w:t>
            </w:r>
          </w:p>
        </w:tc>
        <w:tc>
          <w:tcPr>
            <w:tcW w:w="1249" w:type="dxa"/>
            <w:tcBorders>
              <w:top w:val="nil"/>
              <w:left w:val="nil"/>
              <w:bottom w:val="nil"/>
              <w:right w:val="nil"/>
            </w:tcBorders>
            <w:shd w:val="clear" w:color="FFFFFF" w:fill="FFFFFF"/>
            <w:noWrap/>
            <w:vAlign w:val="bottom"/>
            <w:hideMark/>
          </w:tcPr>
          <w:p w14:paraId="62160DAB" w14:textId="77777777" w:rsidR="00A43992" w:rsidRDefault="00A43992" w:rsidP="007211E3">
            <w:pPr>
              <w:rPr>
                <w:rFonts w:ascii="Arial" w:hAnsi="Arial" w:cs="Arial"/>
                <w:sz w:val="18"/>
                <w:szCs w:val="18"/>
              </w:rPr>
            </w:pPr>
            <w:r>
              <w:rPr>
                <w:rFonts w:ascii="Arial" w:hAnsi="Arial" w:cs="Arial"/>
                <w:sz w:val="18"/>
                <w:szCs w:val="18"/>
              </w:rPr>
              <w:t> </w:t>
            </w:r>
          </w:p>
        </w:tc>
      </w:tr>
      <w:tr w:rsidR="00A43992" w14:paraId="55E52EE1" w14:textId="77777777" w:rsidTr="007211E3">
        <w:trPr>
          <w:trHeight w:val="255"/>
        </w:trPr>
        <w:tc>
          <w:tcPr>
            <w:tcW w:w="6353" w:type="dxa"/>
            <w:tcBorders>
              <w:top w:val="nil"/>
              <w:left w:val="nil"/>
              <w:bottom w:val="nil"/>
              <w:right w:val="nil"/>
            </w:tcBorders>
            <w:shd w:val="clear" w:color="FFFFFF" w:fill="FFFFFF"/>
            <w:vAlign w:val="bottom"/>
            <w:hideMark/>
          </w:tcPr>
          <w:p w14:paraId="306626DD" w14:textId="77777777" w:rsidR="00A43992" w:rsidRDefault="00A43992" w:rsidP="007211E3">
            <w:pPr>
              <w:rPr>
                <w:rFonts w:ascii="Arial" w:hAnsi="Arial" w:cs="Arial"/>
                <w:sz w:val="18"/>
                <w:szCs w:val="18"/>
              </w:rPr>
            </w:pPr>
            <w:r>
              <w:rPr>
                <w:rFonts w:ascii="Arial" w:hAnsi="Arial" w:cs="Arial"/>
                <w:sz w:val="18"/>
                <w:szCs w:val="18"/>
              </w:rPr>
              <w:t>Cash and Deposits</w:t>
            </w:r>
          </w:p>
        </w:tc>
        <w:tc>
          <w:tcPr>
            <w:tcW w:w="1249" w:type="dxa"/>
            <w:tcBorders>
              <w:top w:val="nil"/>
              <w:left w:val="nil"/>
              <w:bottom w:val="nil"/>
              <w:right w:val="nil"/>
            </w:tcBorders>
            <w:shd w:val="clear" w:color="FFFFFF" w:fill="FFFFFF"/>
            <w:noWrap/>
            <w:vAlign w:val="bottom"/>
            <w:hideMark/>
          </w:tcPr>
          <w:p w14:paraId="59EDAB9A" w14:textId="77777777" w:rsidR="00A43992" w:rsidRDefault="00A43992" w:rsidP="007211E3">
            <w:pPr>
              <w:jc w:val="right"/>
              <w:rPr>
                <w:rFonts w:ascii="Arial" w:hAnsi="Arial" w:cs="Arial"/>
                <w:b/>
                <w:bCs/>
                <w:sz w:val="18"/>
                <w:szCs w:val="18"/>
              </w:rPr>
            </w:pPr>
            <w:r>
              <w:rPr>
                <w:rFonts w:ascii="Arial" w:hAnsi="Arial" w:cs="Arial"/>
                <w:b/>
                <w:bCs/>
                <w:sz w:val="18"/>
                <w:szCs w:val="18"/>
              </w:rPr>
              <w:t>6,219</w:t>
            </w:r>
          </w:p>
        </w:tc>
        <w:tc>
          <w:tcPr>
            <w:tcW w:w="236" w:type="dxa"/>
            <w:tcBorders>
              <w:top w:val="nil"/>
              <w:left w:val="nil"/>
              <w:bottom w:val="nil"/>
              <w:right w:val="nil"/>
            </w:tcBorders>
            <w:shd w:val="clear" w:color="FFFFFF" w:fill="FFFFFF"/>
            <w:noWrap/>
            <w:vAlign w:val="bottom"/>
            <w:hideMark/>
          </w:tcPr>
          <w:p w14:paraId="0DDD1016" w14:textId="77777777" w:rsidR="00A43992" w:rsidRDefault="00A43992" w:rsidP="007211E3">
            <w:pPr>
              <w:rPr>
                <w:rFonts w:ascii="Arial" w:hAnsi="Arial" w:cs="Arial"/>
                <w:sz w:val="18"/>
                <w:szCs w:val="18"/>
              </w:rPr>
            </w:pPr>
            <w:r>
              <w:rPr>
                <w:rFonts w:ascii="Arial" w:hAnsi="Arial" w:cs="Arial"/>
                <w:sz w:val="18"/>
                <w:szCs w:val="18"/>
              </w:rPr>
              <w:t> </w:t>
            </w:r>
          </w:p>
        </w:tc>
        <w:tc>
          <w:tcPr>
            <w:tcW w:w="1249" w:type="dxa"/>
            <w:tcBorders>
              <w:top w:val="nil"/>
              <w:left w:val="nil"/>
              <w:bottom w:val="nil"/>
              <w:right w:val="nil"/>
            </w:tcBorders>
            <w:shd w:val="clear" w:color="FFFFFF" w:fill="FFFFFF"/>
            <w:noWrap/>
            <w:vAlign w:val="bottom"/>
            <w:hideMark/>
          </w:tcPr>
          <w:p w14:paraId="74BEC700" w14:textId="77777777" w:rsidR="00A43992" w:rsidRDefault="00A43992" w:rsidP="007211E3">
            <w:pPr>
              <w:jc w:val="right"/>
              <w:rPr>
                <w:rFonts w:ascii="Arial" w:hAnsi="Arial" w:cs="Arial"/>
                <w:sz w:val="18"/>
                <w:szCs w:val="18"/>
              </w:rPr>
            </w:pPr>
            <w:r>
              <w:rPr>
                <w:rFonts w:ascii="Arial" w:hAnsi="Arial" w:cs="Arial"/>
                <w:sz w:val="18"/>
                <w:szCs w:val="18"/>
              </w:rPr>
              <w:t>4,705</w:t>
            </w:r>
          </w:p>
        </w:tc>
      </w:tr>
      <w:tr w:rsidR="00A43992" w14:paraId="36D6D0E1" w14:textId="77777777" w:rsidTr="007211E3">
        <w:trPr>
          <w:trHeight w:val="255"/>
        </w:trPr>
        <w:tc>
          <w:tcPr>
            <w:tcW w:w="6353" w:type="dxa"/>
            <w:tcBorders>
              <w:top w:val="nil"/>
              <w:left w:val="nil"/>
              <w:bottom w:val="nil"/>
              <w:right w:val="nil"/>
            </w:tcBorders>
            <w:shd w:val="clear" w:color="FFFFFF" w:fill="FFFFFF"/>
            <w:vAlign w:val="bottom"/>
            <w:hideMark/>
          </w:tcPr>
          <w:p w14:paraId="54444C86" w14:textId="77777777" w:rsidR="00A43992" w:rsidRDefault="00A43992" w:rsidP="007211E3">
            <w:pPr>
              <w:rPr>
                <w:rFonts w:ascii="Arial" w:hAnsi="Arial" w:cs="Arial"/>
                <w:b/>
                <w:bCs/>
                <w:sz w:val="18"/>
                <w:szCs w:val="18"/>
              </w:rPr>
            </w:pPr>
            <w:r>
              <w:rPr>
                <w:rFonts w:ascii="Arial" w:hAnsi="Arial" w:cs="Arial"/>
                <w:b/>
                <w:bCs/>
                <w:sz w:val="18"/>
                <w:szCs w:val="18"/>
              </w:rPr>
              <w:t>Total interest</w:t>
            </w:r>
          </w:p>
        </w:tc>
        <w:tc>
          <w:tcPr>
            <w:tcW w:w="1249" w:type="dxa"/>
            <w:tcBorders>
              <w:top w:val="single" w:sz="4" w:space="0" w:color="auto"/>
              <w:left w:val="nil"/>
              <w:bottom w:val="single" w:sz="4" w:space="0" w:color="auto"/>
              <w:right w:val="nil"/>
            </w:tcBorders>
            <w:shd w:val="clear" w:color="FFFFFF" w:fill="FFFFFF"/>
            <w:noWrap/>
            <w:vAlign w:val="bottom"/>
            <w:hideMark/>
          </w:tcPr>
          <w:p w14:paraId="5B3881E7" w14:textId="77777777" w:rsidR="00A43992" w:rsidRDefault="00A43992" w:rsidP="007211E3">
            <w:pPr>
              <w:jc w:val="right"/>
              <w:rPr>
                <w:rFonts w:ascii="Arial" w:hAnsi="Arial" w:cs="Arial"/>
                <w:b/>
                <w:bCs/>
                <w:sz w:val="18"/>
                <w:szCs w:val="18"/>
              </w:rPr>
            </w:pPr>
            <w:r>
              <w:rPr>
                <w:rFonts w:ascii="Arial" w:hAnsi="Arial" w:cs="Arial"/>
                <w:b/>
                <w:bCs/>
                <w:sz w:val="18"/>
                <w:szCs w:val="18"/>
              </w:rPr>
              <w:t>6,219</w:t>
            </w:r>
          </w:p>
        </w:tc>
        <w:tc>
          <w:tcPr>
            <w:tcW w:w="236" w:type="dxa"/>
            <w:tcBorders>
              <w:top w:val="nil"/>
              <w:left w:val="nil"/>
              <w:bottom w:val="nil"/>
              <w:right w:val="nil"/>
            </w:tcBorders>
            <w:shd w:val="clear" w:color="FFFFFF" w:fill="FFFFFF"/>
            <w:noWrap/>
            <w:vAlign w:val="bottom"/>
            <w:hideMark/>
          </w:tcPr>
          <w:p w14:paraId="21DC50DD" w14:textId="77777777" w:rsidR="00A43992" w:rsidRDefault="00A43992" w:rsidP="007211E3">
            <w:pPr>
              <w:rPr>
                <w:rFonts w:ascii="Arial" w:hAnsi="Arial" w:cs="Arial"/>
                <w:sz w:val="18"/>
                <w:szCs w:val="18"/>
              </w:rPr>
            </w:pPr>
            <w:r>
              <w:rPr>
                <w:rFonts w:ascii="Arial" w:hAnsi="Arial" w:cs="Arial"/>
                <w:sz w:val="18"/>
                <w:szCs w:val="18"/>
              </w:rPr>
              <w:t> </w:t>
            </w:r>
          </w:p>
        </w:tc>
        <w:tc>
          <w:tcPr>
            <w:tcW w:w="1249" w:type="dxa"/>
            <w:tcBorders>
              <w:top w:val="single" w:sz="4" w:space="0" w:color="auto"/>
              <w:left w:val="nil"/>
              <w:bottom w:val="single" w:sz="4" w:space="0" w:color="auto"/>
              <w:right w:val="nil"/>
            </w:tcBorders>
            <w:shd w:val="clear" w:color="FFFFFF" w:fill="FFFFFF"/>
            <w:noWrap/>
            <w:vAlign w:val="bottom"/>
            <w:hideMark/>
          </w:tcPr>
          <w:p w14:paraId="1C16EEE0" w14:textId="77777777" w:rsidR="00A43992" w:rsidRDefault="00A43992" w:rsidP="007211E3">
            <w:pPr>
              <w:jc w:val="right"/>
              <w:rPr>
                <w:rFonts w:ascii="Arial" w:hAnsi="Arial" w:cs="Arial"/>
                <w:sz w:val="18"/>
                <w:szCs w:val="18"/>
              </w:rPr>
            </w:pPr>
            <w:r>
              <w:rPr>
                <w:rFonts w:ascii="Arial" w:hAnsi="Arial" w:cs="Arial"/>
                <w:sz w:val="18"/>
                <w:szCs w:val="18"/>
              </w:rPr>
              <w:t>4,705</w:t>
            </w:r>
          </w:p>
        </w:tc>
      </w:tr>
    </w:tbl>
    <w:p w14:paraId="6A1828D8" w14:textId="77777777" w:rsidR="00A43992" w:rsidRDefault="00A43992" w:rsidP="00A43992">
      <w:pPr>
        <w:pStyle w:val="ContinuedNotesHeading-Level1"/>
      </w:pPr>
      <w:bookmarkStart w:id="204" w:name="RANGE!D7:G9"/>
      <w:bookmarkStart w:id="205" w:name="RANGE!D7:G12"/>
      <w:bookmarkStart w:id="206" w:name="RANGE!D6:D12"/>
      <w:bookmarkStart w:id="207" w:name="RANGE!D6:G12"/>
      <w:bookmarkEnd w:id="204"/>
      <w:bookmarkEnd w:id="205"/>
      <w:bookmarkEnd w:id="206"/>
      <w:bookmarkEnd w:id="207"/>
    </w:p>
    <w:p w14:paraId="3BE3CFE5" w14:textId="2E4D4D41" w:rsidR="00A43992" w:rsidRPr="00902FDC" w:rsidRDefault="00A43992" w:rsidP="00A43992">
      <w:pPr>
        <w:pStyle w:val="PolicytextDept"/>
        <w:outlineLvl w:val="0"/>
        <w:rPr>
          <w:b/>
        </w:rPr>
      </w:pPr>
      <w:r w:rsidRPr="00902FDC">
        <w:rPr>
          <w:b/>
        </w:rPr>
        <w:t>Accounting Policy</w:t>
      </w:r>
    </w:p>
    <w:p w14:paraId="2DAB4D79" w14:textId="77777777" w:rsidR="00A43992" w:rsidRPr="005E5430" w:rsidRDefault="00A43992" w:rsidP="00A43992">
      <w:pPr>
        <w:pStyle w:val="PolicytextDept"/>
      </w:pPr>
      <w:r w:rsidRPr="00902FDC">
        <w:t xml:space="preserve">Interest revenue is recognised using the effective interest method as set out in AASB 139 </w:t>
      </w:r>
      <w:r w:rsidRPr="00C9033B">
        <w:rPr>
          <w:i/>
        </w:rPr>
        <w:t>Financial Instruments: Recognition and Measurement.</w:t>
      </w:r>
    </w:p>
    <w:tbl>
      <w:tblPr>
        <w:tblW w:w="9087" w:type="dxa"/>
        <w:tblInd w:w="80" w:type="dxa"/>
        <w:tblLayout w:type="fixed"/>
        <w:tblLook w:val="04A0" w:firstRow="1" w:lastRow="0" w:firstColumn="1" w:lastColumn="0" w:noHBand="0" w:noVBand="1"/>
      </w:tblPr>
      <w:tblGrid>
        <w:gridCol w:w="6353"/>
        <w:gridCol w:w="1249"/>
        <w:gridCol w:w="236"/>
        <w:gridCol w:w="1249"/>
      </w:tblGrid>
      <w:tr w:rsidR="00A43992" w14:paraId="6F382016" w14:textId="77777777" w:rsidTr="007211E3">
        <w:trPr>
          <w:trHeight w:val="255"/>
        </w:trPr>
        <w:tc>
          <w:tcPr>
            <w:tcW w:w="6353" w:type="dxa"/>
            <w:tcBorders>
              <w:top w:val="nil"/>
              <w:left w:val="nil"/>
              <w:bottom w:val="nil"/>
              <w:right w:val="nil"/>
            </w:tcBorders>
            <w:shd w:val="clear" w:color="FFFFFF" w:fill="FFFFFF"/>
            <w:noWrap/>
            <w:vAlign w:val="bottom"/>
            <w:hideMark/>
          </w:tcPr>
          <w:p w14:paraId="1FC7E729" w14:textId="77777777" w:rsidR="00A43992" w:rsidRDefault="00A43992" w:rsidP="007211E3">
            <w:pPr>
              <w:rPr>
                <w:rFonts w:ascii="Arial" w:hAnsi="Arial" w:cs="Arial"/>
                <w:b/>
                <w:bCs/>
                <w:sz w:val="18"/>
                <w:szCs w:val="18"/>
                <w:u w:val="single"/>
              </w:rPr>
            </w:pPr>
            <w:bookmarkStart w:id="208" w:name="Note_ORVTABLE1" w:colFirst="0" w:colLast="0"/>
            <w:r>
              <w:rPr>
                <w:rFonts w:ascii="Arial" w:hAnsi="Arial" w:cs="Arial"/>
                <w:b/>
                <w:bCs/>
                <w:sz w:val="18"/>
                <w:szCs w:val="18"/>
                <w:u w:val="single"/>
              </w:rPr>
              <w:t>Note 1.2C: Other revenue</w:t>
            </w:r>
          </w:p>
        </w:tc>
        <w:tc>
          <w:tcPr>
            <w:tcW w:w="1249" w:type="dxa"/>
            <w:tcBorders>
              <w:top w:val="nil"/>
              <w:left w:val="nil"/>
              <w:bottom w:val="nil"/>
              <w:right w:val="nil"/>
            </w:tcBorders>
            <w:shd w:val="clear" w:color="FFFFFF" w:fill="FFFFFF"/>
            <w:noWrap/>
            <w:vAlign w:val="bottom"/>
            <w:hideMark/>
          </w:tcPr>
          <w:p w14:paraId="52FBDF51" w14:textId="77777777" w:rsidR="00A43992" w:rsidRDefault="00A43992" w:rsidP="007211E3">
            <w:pPr>
              <w:rPr>
                <w:rFonts w:ascii="Arial" w:hAnsi="Arial" w:cs="Arial"/>
                <w:sz w:val="18"/>
                <w:szCs w:val="18"/>
              </w:rPr>
            </w:pPr>
            <w:r>
              <w:rPr>
                <w:rFonts w:ascii="Arial" w:hAnsi="Arial" w:cs="Arial"/>
                <w:sz w:val="18"/>
                <w:szCs w:val="18"/>
              </w:rPr>
              <w:t> </w:t>
            </w:r>
          </w:p>
        </w:tc>
        <w:tc>
          <w:tcPr>
            <w:tcW w:w="236" w:type="dxa"/>
            <w:tcBorders>
              <w:top w:val="nil"/>
              <w:left w:val="nil"/>
              <w:bottom w:val="nil"/>
              <w:right w:val="nil"/>
            </w:tcBorders>
            <w:shd w:val="clear" w:color="FFFFFF" w:fill="FFFFFF"/>
            <w:noWrap/>
            <w:vAlign w:val="bottom"/>
            <w:hideMark/>
          </w:tcPr>
          <w:p w14:paraId="23B314F2" w14:textId="77777777" w:rsidR="00A43992" w:rsidRDefault="00A43992" w:rsidP="007211E3">
            <w:pPr>
              <w:rPr>
                <w:rFonts w:ascii="Arial" w:hAnsi="Arial" w:cs="Arial"/>
                <w:sz w:val="18"/>
                <w:szCs w:val="18"/>
              </w:rPr>
            </w:pPr>
            <w:r>
              <w:rPr>
                <w:rFonts w:ascii="Arial" w:hAnsi="Arial" w:cs="Arial"/>
                <w:sz w:val="18"/>
                <w:szCs w:val="18"/>
              </w:rPr>
              <w:t> </w:t>
            </w:r>
          </w:p>
        </w:tc>
        <w:tc>
          <w:tcPr>
            <w:tcW w:w="1249" w:type="dxa"/>
            <w:tcBorders>
              <w:top w:val="nil"/>
              <w:left w:val="nil"/>
              <w:bottom w:val="nil"/>
              <w:right w:val="nil"/>
            </w:tcBorders>
            <w:shd w:val="clear" w:color="FFFFFF" w:fill="FFFFFF"/>
            <w:noWrap/>
            <w:vAlign w:val="bottom"/>
            <w:hideMark/>
          </w:tcPr>
          <w:p w14:paraId="28375EAF" w14:textId="77777777" w:rsidR="00A43992" w:rsidRDefault="00A43992" w:rsidP="007211E3">
            <w:pPr>
              <w:rPr>
                <w:rFonts w:ascii="Arial" w:hAnsi="Arial" w:cs="Arial"/>
                <w:sz w:val="18"/>
                <w:szCs w:val="18"/>
              </w:rPr>
            </w:pPr>
            <w:r>
              <w:rPr>
                <w:rFonts w:ascii="Arial" w:hAnsi="Arial" w:cs="Arial"/>
                <w:sz w:val="18"/>
                <w:szCs w:val="18"/>
              </w:rPr>
              <w:t> </w:t>
            </w:r>
          </w:p>
        </w:tc>
      </w:tr>
      <w:bookmarkEnd w:id="208"/>
      <w:tr w:rsidR="00A43992" w14:paraId="77A05D80" w14:textId="77777777" w:rsidTr="007211E3">
        <w:trPr>
          <w:trHeight w:val="270"/>
        </w:trPr>
        <w:tc>
          <w:tcPr>
            <w:tcW w:w="6353" w:type="dxa"/>
            <w:tcBorders>
              <w:top w:val="nil"/>
              <w:left w:val="nil"/>
              <w:bottom w:val="nil"/>
              <w:right w:val="nil"/>
            </w:tcBorders>
            <w:shd w:val="clear" w:color="FFFFFF" w:fill="FFFFFF"/>
            <w:vAlign w:val="bottom"/>
            <w:hideMark/>
          </w:tcPr>
          <w:p w14:paraId="5733D4E4" w14:textId="77777777" w:rsidR="00A43992" w:rsidRDefault="00A43992" w:rsidP="007211E3">
            <w:pPr>
              <w:rPr>
                <w:rFonts w:ascii="Arial" w:hAnsi="Arial" w:cs="Arial"/>
                <w:sz w:val="18"/>
                <w:szCs w:val="18"/>
              </w:rPr>
            </w:pPr>
            <w:r>
              <w:rPr>
                <w:rFonts w:ascii="Arial" w:hAnsi="Arial" w:cs="Arial"/>
                <w:sz w:val="18"/>
                <w:szCs w:val="18"/>
              </w:rPr>
              <w:t>Contribution by Victorian Government</w:t>
            </w:r>
            <w:r>
              <w:rPr>
                <w:rFonts w:ascii="Arial" w:hAnsi="Arial" w:cs="Arial"/>
                <w:sz w:val="18"/>
                <w:szCs w:val="18"/>
                <w:vertAlign w:val="superscript"/>
              </w:rPr>
              <w:t>1</w:t>
            </w:r>
          </w:p>
        </w:tc>
        <w:tc>
          <w:tcPr>
            <w:tcW w:w="1249" w:type="dxa"/>
            <w:tcBorders>
              <w:top w:val="nil"/>
              <w:left w:val="nil"/>
              <w:bottom w:val="nil"/>
              <w:right w:val="nil"/>
            </w:tcBorders>
            <w:shd w:val="clear" w:color="FFFFFF" w:fill="FFFFFF"/>
            <w:noWrap/>
            <w:vAlign w:val="bottom"/>
            <w:hideMark/>
          </w:tcPr>
          <w:p w14:paraId="7A7B140E" w14:textId="77777777" w:rsidR="00A43992" w:rsidRDefault="00A43992" w:rsidP="007211E3">
            <w:pPr>
              <w:jc w:val="right"/>
              <w:rPr>
                <w:rFonts w:ascii="Arial" w:hAnsi="Arial" w:cs="Arial"/>
                <w:b/>
                <w:bCs/>
                <w:sz w:val="18"/>
                <w:szCs w:val="18"/>
              </w:rPr>
            </w:pPr>
            <w:r>
              <w:rPr>
                <w:rFonts w:ascii="Arial" w:hAnsi="Arial" w:cs="Arial"/>
                <w:b/>
                <w:bCs/>
                <w:sz w:val="18"/>
                <w:szCs w:val="18"/>
              </w:rPr>
              <w:t>13,500</w:t>
            </w:r>
          </w:p>
        </w:tc>
        <w:tc>
          <w:tcPr>
            <w:tcW w:w="236" w:type="dxa"/>
            <w:tcBorders>
              <w:top w:val="nil"/>
              <w:left w:val="nil"/>
              <w:bottom w:val="nil"/>
              <w:right w:val="nil"/>
            </w:tcBorders>
            <w:shd w:val="clear" w:color="FFFFFF" w:fill="FFFFFF"/>
            <w:noWrap/>
            <w:vAlign w:val="bottom"/>
            <w:hideMark/>
          </w:tcPr>
          <w:p w14:paraId="5EBD4622" w14:textId="77777777" w:rsidR="00A43992" w:rsidRDefault="00A43992" w:rsidP="007211E3">
            <w:pPr>
              <w:rPr>
                <w:rFonts w:ascii="Arial" w:hAnsi="Arial" w:cs="Arial"/>
                <w:sz w:val="18"/>
                <w:szCs w:val="18"/>
              </w:rPr>
            </w:pPr>
            <w:r>
              <w:rPr>
                <w:rFonts w:ascii="Arial" w:hAnsi="Arial" w:cs="Arial"/>
                <w:sz w:val="18"/>
                <w:szCs w:val="18"/>
              </w:rPr>
              <w:t> </w:t>
            </w:r>
          </w:p>
        </w:tc>
        <w:tc>
          <w:tcPr>
            <w:tcW w:w="1249" w:type="dxa"/>
            <w:tcBorders>
              <w:top w:val="nil"/>
              <w:left w:val="nil"/>
              <w:bottom w:val="nil"/>
              <w:right w:val="nil"/>
            </w:tcBorders>
            <w:shd w:val="clear" w:color="FFFFFF" w:fill="FFFFFF"/>
            <w:noWrap/>
            <w:vAlign w:val="bottom"/>
            <w:hideMark/>
          </w:tcPr>
          <w:p w14:paraId="1E3879AB" w14:textId="77777777" w:rsidR="00A43992" w:rsidRDefault="00A43992" w:rsidP="007211E3">
            <w:pPr>
              <w:jc w:val="right"/>
              <w:rPr>
                <w:rFonts w:ascii="Arial" w:hAnsi="Arial" w:cs="Arial"/>
                <w:sz w:val="18"/>
                <w:szCs w:val="18"/>
              </w:rPr>
            </w:pPr>
            <w:r>
              <w:rPr>
                <w:rFonts w:ascii="Arial" w:hAnsi="Arial" w:cs="Arial"/>
                <w:sz w:val="18"/>
                <w:szCs w:val="18"/>
              </w:rPr>
              <w:t>7,500</w:t>
            </w:r>
          </w:p>
        </w:tc>
      </w:tr>
      <w:tr w:rsidR="00A43992" w14:paraId="6DCCC1D2" w14:textId="77777777" w:rsidTr="007211E3">
        <w:trPr>
          <w:trHeight w:val="255"/>
        </w:trPr>
        <w:tc>
          <w:tcPr>
            <w:tcW w:w="6353" w:type="dxa"/>
            <w:tcBorders>
              <w:top w:val="nil"/>
              <w:left w:val="nil"/>
              <w:bottom w:val="nil"/>
              <w:right w:val="nil"/>
            </w:tcBorders>
            <w:shd w:val="clear" w:color="FFFFFF" w:fill="FFFFFF"/>
            <w:vAlign w:val="bottom"/>
            <w:hideMark/>
          </w:tcPr>
          <w:p w14:paraId="5E2FE32C" w14:textId="77777777" w:rsidR="00A43992" w:rsidRDefault="00A43992" w:rsidP="007211E3">
            <w:pPr>
              <w:rPr>
                <w:rFonts w:ascii="Arial" w:hAnsi="Arial" w:cs="Arial"/>
                <w:sz w:val="18"/>
                <w:szCs w:val="18"/>
              </w:rPr>
            </w:pPr>
            <w:r>
              <w:rPr>
                <w:rFonts w:ascii="Arial" w:hAnsi="Arial" w:cs="Arial"/>
                <w:sz w:val="18"/>
                <w:szCs w:val="18"/>
              </w:rPr>
              <w:t xml:space="preserve">Additional Scheme contributions (Note 2.1B)                          </w:t>
            </w:r>
          </w:p>
        </w:tc>
        <w:tc>
          <w:tcPr>
            <w:tcW w:w="1249" w:type="dxa"/>
            <w:tcBorders>
              <w:top w:val="nil"/>
              <w:left w:val="nil"/>
              <w:bottom w:val="nil"/>
              <w:right w:val="nil"/>
            </w:tcBorders>
            <w:shd w:val="clear" w:color="FFFFFF" w:fill="FFFFFF"/>
            <w:noWrap/>
            <w:vAlign w:val="bottom"/>
            <w:hideMark/>
          </w:tcPr>
          <w:p w14:paraId="6E2AE992" w14:textId="77777777" w:rsidR="00A43992" w:rsidRDefault="00A43992" w:rsidP="007211E3">
            <w:pPr>
              <w:jc w:val="right"/>
              <w:rPr>
                <w:rFonts w:ascii="Arial" w:hAnsi="Arial" w:cs="Arial"/>
                <w:b/>
                <w:bCs/>
                <w:sz w:val="18"/>
                <w:szCs w:val="18"/>
              </w:rPr>
            </w:pPr>
            <w:r>
              <w:rPr>
                <w:rFonts w:ascii="Arial" w:hAnsi="Arial" w:cs="Arial"/>
                <w:b/>
                <w:bCs/>
                <w:sz w:val="18"/>
                <w:szCs w:val="18"/>
              </w:rPr>
              <w:t>-</w:t>
            </w:r>
          </w:p>
        </w:tc>
        <w:tc>
          <w:tcPr>
            <w:tcW w:w="236" w:type="dxa"/>
            <w:tcBorders>
              <w:top w:val="nil"/>
              <w:left w:val="nil"/>
              <w:bottom w:val="nil"/>
              <w:right w:val="nil"/>
            </w:tcBorders>
            <w:shd w:val="clear" w:color="FFFFFF" w:fill="FFFFFF"/>
            <w:noWrap/>
            <w:vAlign w:val="bottom"/>
            <w:hideMark/>
          </w:tcPr>
          <w:p w14:paraId="7F4F7707" w14:textId="77777777" w:rsidR="00A43992" w:rsidRDefault="00A43992" w:rsidP="007211E3">
            <w:pPr>
              <w:rPr>
                <w:rFonts w:ascii="Arial" w:hAnsi="Arial" w:cs="Arial"/>
                <w:sz w:val="18"/>
                <w:szCs w:val="18"/>
              </w:rPr>
            </w:pPr>
            <w:r>
              <w:rPr>
                <w:rFonts w:ascii="Arial" w:hAnsi="Arial" w:cs="Arial"/>
                <w:sz w:val="18"/>
                <w:szCs w:val="18"/>
              </w:rPr>
              <w:t> </w:t>
            </w:r>
          </w:p>
        </w:tc>
        <w:tc>
          <w:tcPr>
            <w:tcW w:w="1249" w:type="dxa"/>
            <w:tcBorders>
              <w:top w:val="nil"/>
              <w:left w:val="nil"/>
              <w:bottom w:val="nil"/>
              <w:right w:val="nil"/>
            </w:tcBorders>
            <w:shd w:val="clear" w:color="FFFFFF" w:fill="FFFFFF"/>
            <w:noWrap/>
            <w:vAlign w:val="bottom"/>
            <w:hideMark/>
          </w:tcPr>
          <w:p w14:paraId="26964473" w14:textId="77777777" w:rsidR="00A43992" w:rsidRDefault="00A43992" w:rsidP="007211E3">
            <w:pPr>
              <w:jc w:val="right"/>
              <w:rPr>
                <w:rFonts w:ascii="Arial" w:hAnsi="Arial" w:cs="Arial"/>
                <w:sz w:val="18"/>
                <w:szCs w:val="18"/>
              </w:rPr>
            </w:pPr>
            <w:r>
              <w:rPr>
                <w:rFonts w:ascii="Arial" w:hAnsi="Arial" w:cs="Arial"/>
                <w:sz w:val="18"/>
                <w:szCs w:val="18"/>
              </w:rPr>
              <w:t>47,327</w:t>
            </w:r>
          </w:p>
        </w:tc>
      </w:tr>
      <w:tr w:rsidR="00A43992" w14:paraId="2C79D628" w14:textId="77777777" w:rsidTr="007211E3">
        <w:trPr>
          <w:trHeight w:val="255"/>
        </w:trPr>
        <w:tc>
          <w:tcPr>
            <w:tcW w:w="6353" w:type="dxa"/>
            <w:tcBorders>
              <w:top w:val="nil"/>
              <w:left w:val="nil"/>
              <w:bottom w:val="nil"/>
              <w:right w:val="nil"/>
            </w:tcBorders>
            <w:shd w:val="clear" w:color="FFFFFF" w:fill="FFFFFF"/>
            <w:vAlign w:val="bottom"/>
            <w:hideMark/>
          </w:tcPr>
          <w:p w14:paraId="63349185" w14:textId="77777777" w:rsidR="00A43992" w:rsidRDefault="00A43992" w:rsidP="007211E3">
            <w:pPr>
              <w:rPr>
                <w:rFonts w:ascii="Arial" w:hAnsi="Arial" w:cs="Arial"/>
                <w:sz w:val="18"/>
                <w:szCs w:val="18"/>
              </w:rPr>
            </w:pPr>
            <w:r>
              <w:rPr>
                <w:rFonts w:ascii="Arial" w:hAnsi="Arial" w:cs="Arial"/>
                <w:sz w:val="18"/>
                <w:szCs w:val="18"/>
              </w:rPr>
              <w:t>Other</w:t>
            </w:r>
          </w:p>
        </w:tc>
        <w:tc>
          <w:tcPr>
            <w:tcW w:w="1249" w:type="dxa"/>
            <w:tcBorders>
              <w:top w:val="nil"/>
              <w:left w:val="nil"/>
              <w:bottom w:val="nil"/>
              <w:right w:val="nil"/>
            </w:tcBorders>
            <w:shd w:val="clear" w:color="FFFFFF" w:fill="FFFFFF"/>
            <w:noWrap/>
            <w:vAlign w:val="bottom"/>
            <w:hideMark/>
          </w:tcPr>
          <w:p w14:paraId="72BF7B72" w14:textId="77777777" w:rsidR="00A43992" w:rsidRDefault="00A43992" w:rsidP="007211E3">
            <w:pPr>
              <w:jc w:val="right"/>
              <w:rPr>
                <w:rFonts w:ascii="Arial" w:hAnsi="Arial" w:cs="Arial"/>
                <w:b/>
                <w:bCs/>
                <w:sz w:val="18"/>
                <w:szCs w:val="18"/>
              </w:rPr>
            </w:pPr>
            <w:r>
              <w:rPr>
                <w:rFonts w:ascii="Arial" w:hAnsi="Arial" w:cs="Arial"/>
                <w:b/>
                <w:bCs/>
                <w:sz w:val="18"/>
                <w:szCs w:val="18"/>
              </w:rPr>
              <w:t>4,815</w:t>
            </w:r>
          </w:p>
        </w:tc>
        <w:tc>
          <w:tcPr>
            <w:tcW w:w="236" w:type="dxa"/>
            <w:tcBorders>
              <w:top w:val="nil"/>
              <w:left w:val="nil"/>
              <w:bottom w:val="nil"/>
              <w:right w:val="nil"/>
            </w:tcBorders>
            <w:shd w:val="clear" w:color="FFFFFF" w:fill="FFFFFF"/>
            <w:noWrap/>
            <w:vAlign w:val="bottom"/>
            <w:hideMark/>
          </w:tcPr>
          <w:p w14:paraId="36EFC657" w14:textId="77777777" w:rsidR="00A43992" w:rsidRDefault="00A43992" w:rsidP="007211E3">
            <w:pPr>
              <w:rPr>
                <w:rFonts w:ascii="Arial" w:hAnsi="Arial" w:cs="Arial"/>
                <w:sz w:val="18"/>
                <w:szCs w:val="18"/>
              </w:rPr>
            </w:pPr>
            <w:r>
              <w:rPr>
                <w:rFonts w:ascii="Arial" w:hAnsi="Arial" w:cs="Arial"/>
                <w:sz w:val="18"/>
                <w:szCs w:val="18"/>
              </w:rPr>
              <w:t> </w:t>
            </w:r>
          </w:p>
        </w:tc>
        <w:tc>
          <w:tcPr>
            <w:tcW w:w="1249" w:type="dxa"/>
            <w:tcBorders>
              <w:top w:val="nil"/>
              <w:left w:val="nil"/>
              <w:bottom w:val="nil"/>
              <w:right w:val="nil"/>
            </w:tcBorders>
            <w:shd w:val="clear" w:color="FFFFFF" w:fill="FFFFFF"/>
            <w:noWrap/>
            <w:vAlign w:val="bottom"/>
            <w:hideMark/>
          </w:tcPr>
          <w:p w14:paraId="2798D03F" w14:textId="77777777" w:rsidR="00A43992" w:rsidRDefault="00A43992" w:rsidP="007211E3">
            <w:pPr>
              <w:jc w:val="right"/>
              <w:rPr>
                <w:rFonts w:ascii="Arial" w:hAnsi="Arial" w:cs="Arial"/>
                <w:sz w:val="18"/>
                <w:szCs w:val="18"/>
              </w:rPr>
            </w:pPr>
            <w:r>
              <w:rPr>
                <w:rFonts w:ascii="Arial" w:hAnsi="Arial" w:cs="Arial"/>
                <w:sz w:val="18"/>
                <w:szCs w:val="18"/>
              </w:rPr>
              <w:t>248</w:t>
            </w:r>
          </w:p>
        </w:tc>
      </w:tr>
      <w:tr w:rsidR="00A43992" w14:paraId="2ADA19E9" w14:textId="77777777" w:rsidTr="007211E3">
        <w:trPr>
          <w:trHeight w:val="255"/>
        </w:trPr>
        <w:tc>
          <w:tcPr>
            <w:tcW w:w="6353" w:type="dxa"/>
            <w:tcBorders>
              <w:top w:val="nil"/>
              <w:left w:val="nil"/>
              <w:bottom w:val="nil"/>
              <w:right w:val="nil"/>
            </w:tcBorders>
            <w:shd w:val="clear" w:color="FFFFFF" w:fill="FFFFFF"/>
            <w:vAlign w:val="bottom"/>
            <w:hideMark/>
          </w:tcPr>
          <w:p w14:paraId="59198B21" w14:textId="77777777" w:rsidR="00A43992" w:rsidRDefault="00A43992" w:rsidP="007211E3">
            <w:pPr>
              <w:rPr>
                <w:rFonts w:ascii="Arial" w:hAnsi="Arial" w:cs="Arial"/>
                <w:b/>
                <w:bCs/>
                <w:sz w:val="18"/>
                <w:szCs w:val="18"/>
              </w:rPr>
            </w:pPr>
            <w:r>
              <w:rPr>
                <w:rFonts w:ascii="Arial" w:hAnsi="Arial" w:cs="Arial"/>
                <w:b/>
                <w:bCs/>
                <w:sz w:val="18"/>
                <w:szCs w:val="18"/>
              </w:rPr>
              <w:t>Total other revenue</w:t>
            </w:r>
          </w:p>
        </w:tc>
        <w:tc>
          <w:tcPr>
            <w:tcW w:w="1249" w:type="dxa"/>
            <w:tcBorders>
              <w:top w:val="single" w:sz="4" w:space="0" w:color="auto"/>
              <w:left w:val="nil"/>
              <w:bottom w:val="single" w:sz="4" w:space="0" w:color="auto"/>
              <w:right w:val="nil"/>
            </w:tcBorders>
            <w:shd w:val="clear" w:color="FFFFFF" w:fill="FFFFFF"/>
            <w:noWrap/>
            <w:vAlign w:val="bottom"/>
            <w:hideMark/>
          </w:tcPr>
          <w:p w14:paraId="43FB5F95" w14:textId="77777777" w:rsidR="00A43992" w:rsidRDefault="00A43992" w:rsidP="007211E3">
            <w:pPr>
              <w:jc w:val="right"/>
              <w:rPr>
                <w:rFonts w:ascii="Arial" w:hAnsi="Arial" w:cs="Arial"/>
                <w:b/>
                <w:bCs/>
                <w:sz w:val="18"/>
                <w:szCs w:val="18"/>
              </w:rPr>
            </w:pPr>
            <w:r>
              <w:rPr>
                <w:rFonts w:ascii="Arial" w:hAnsi="Arial" w:cs="Arial"/>
                <w:b/>
                <w:bCs/>
                <w:sz w:val="18"/>
                <w:szCs w:val="18"/>
              </w:rPr>
              <w:t>18,315</w:t>
            </w:r>
          </w:p>
        </w:tc>
        <w:tc>
          <w:tcPr>
            <w:tcW w:w="236" w:type="dxa"/>
            <w:tcBorders>
              <w:top w:val="nil"/>
              <w:left w:val="nil"/>
              <w:bottom w:val="nil"/>
              <w:right w:val="nil"/>
            </w:tcBorders>
            <w:shd w:val="clear" w:color="FFFFFF" w:fill="FFFFFF"/>
            <w:noWrap/>
            <w:vAlign w:val="bottom"/>
            <w:hideMark/>
          </w:tcPr>
          <w:p w14:paraId="1D8EB4DE" w14:textId="77777777" w:rsidR="00A43992" w:rsidRDefault="00A43992" w:rsidP="007211E3">
            <w:pPr>
              <w:rPr>
                <w:rFonts w:ascii="Arial" w:hAnsi="Arial" w:cs="Arial"/>
                <w:sz w:val="18"/>
                <w:szCs w:val="18"/>
              </w:rPr>
            </w:pPr>
            <w:r>
              <w:rPr>
                <w:rFonts w:ascii="Arial" w:hAnsi="Arial" w:cs="Arial"/>
                <w:sz w:val="18"/>
                <w:szCs w:val="18"/>
              </w:rPr>
              <w:t> </w:t>
            </w:r>
          </w:p>
        </w:tc>
        <w:tc>
          <w:tcPr>
            <w:tcW w:w="1249" w:type="dxa"/>
            <w:tcBorders>
              <w:top w:val="single" w:sz="4" w:space="0" w:color="auto"/>
              <w:left w:val="nil"/>
              <w:bottom w:val="single" w:sz="4" w:space="0" w:color="auto"/>
              <w:right w:val="nil"/>
            </w:tcBorders>
            <w:shd w:val="clear" w:color="FFFFFF" w:fill="FFFFFF"/>
            <w:noWrap/>
            <w:vAlign w:val="bottom"/>
            <w:hideMark/>
          </w:tcPr>
          <w:p w14:paraId="06BD650B" w14:textId="77777777" w:rsidR="00A43992" w:rsidRDefault="00A43992" w:rsidP="007211E3">
            <w:pPr>
              <w:jc w:val="right"/>
              <w:rPr>
                <w:rFonts w:ascii="Arial" w:hAnsi="Arial" w:cs="Arial"/>
                <w:sz w:val="18"/>
                <w:szCs w:val="18"/>
              </w:rPr>
            </w:pPr>
            <w:r>
              <w:rPr>
                <w:rFonts w:ascii="Arial" w:hAnsi="Arial" w:cs="Arial"/>
                <w:sz w:val="18"/>
                <w:szCs w:val="18"/>
              </w:rPr>
              <w:t>55,075</w:t>
            </w:r>
          </w:p>
        </w:tc>
      </w:tr>
    </w:tbl>
    <w:p w14:paraId="0C20BAFE" w14:textId="77777777" w:rsidR="00A43992" w:rsidRDefault="00A43992" w:rsidP="00A43992">
      <w:pPr>
        <w:rPr>
          <w:rFonts w:ascii="Arial" w:eastAsia="Calibri" w:hAnsi="Arial" w:cs="Arial"/>
          <w:sz w:val="18"/>
          <w:szCs w:val="18"/>
          <w:vertAlign w:val="superscript"/>
        </w:rPr>
      </w:pPr>
      <w:bookmarkStart w:id="209" w:name="RANGE!D9:G14"/>
      <w:bookmarkEnd w:id="209"/>
    </w:p>
    <w:p w14:paraId="5EB2505A" w14:textId="77777777" w:rsidR="00A43992" w:rsidRDefault="00A43992" w:rsidP="00A43992">
      <w:pPr>
        <w:rPr>
          <w:rFonts w:ascii="Arial" w:eastAsia="Calibri" w:hAnsi="Arial" w:cs="Arial"/>
          <w:sz w:val="18"/>
          <w:szCs w:val="18"/>
        </w:rPr>
      </w:pPr>
      <w:r>
        <w:rPr>
          <w:rFonts w:ascii="Arial" w:eastAsia="Calibri" w:hAnsi="Arial" w:cs="Arial"/>
          <w:sz w:val="18"/>
          <w:szCs w:val="18"/>
          <w:vertAlign w:val="superscript"/>
        </w:rPr>
        <w:t xml:space="preserve">1 </w:t>
      </w:r>
      <w:r w:rsidRPr="007F5CAE">
        <w:rPr>
          <w:rFonts w:ascii="Arial" w:hAnsi="Arial" w:cs="Arial"/>
          <w:bCs/>
          <w:sz w:val="18"/>
          <w:szCs w:val="18"/>
        </w:rPr>
        <w:t xml:space="preserve">The Victorian Government has contributed an amount to fund the </w:t>
      </w:r>
      <w:r>
        <w:rPr>
          <w:rFonts w:ascii="Arial" w:hAnsi="Arial" w:cs="Arial"/>
          <w:bCs/>
          <w:sz w:val="18"/>
          <w:szCs w:val="18"/>
        </w:rPr>
        <w:t>establishment</w:t>
      </w:r>
      <w:r w:rsidRPr="007F5CAE">
        <w:rPr>
          <w:rFonts w:ascii="Arial" w:hAnsi="Arial" w:cs="Arial"/>
          <w:bCs/>
          <w:sz w:val="18"/>
          <w:szCs w:val="18"/>
        </w:rPr>
        <w:t xml:space="preserve"> costs of the Agency’s National Office located in Geelong under an agreement with the Commonwealth Government.</w:t>
      </w:r>
      <w:r>
        <w:rPr>
          <w:rFonts w:ascii="Arial" w:eastAsia="Calibri" w:hAnsi="Arial" w:cs="Arial"/>
          <w:sz w:val="18"/>
          <w:szCs w:val="18"/>
        </w:rPr>
        <w:t xml:space="preserve"> </w:t>
      </w:r>
    </w:p>
    <w:p w14:paraId="79C181BB" w14:textId="77777777" w:rsidR="00A43992" w:rsidRDefault="00A43992" w:rsidP="00A43992">
      <w:pPr>
        <w:rPr>
          <w:rFonts w:ascii="Arial" w:eastAsia="Calibri" w:hAnsi="Arial" w:cs="Arial"/>
          <w:sz w:val="18"/>
          <w:szCs w:val="18"/>
        </w:rPr>
      </w:pPr>
    </w:p>
    <w:p w14:paraId="0F9AD880" w14:textId="3C2155F6" w:rsidR="00A43992" w:rsidRPr="00906893" w:rsidRDefault="00A43992" w:rsidP="00A43992">
      <w:pPr>
        <w:pStyle w:val="PolicytextDept"/>
        <w:outlineLvl w:val="0"/>
        <w:rPr>
          <w:b/>
        </w:rPr>
      </w:pPr>
      <w:r w:rsidRPr="00906893">
        <w:rPr>
          <w:b/>
        </w:rPr>
        <w:t>Key judgements and estimates</w:t>
      </w:r>
    </w:p>
    <w:p w14:paraId="427059D3" w14:textId="4A3E3ED5" w:rsidR="00A43992" w:rsidRPr="002E1161" w:rsidRDefault="00A43992" w:rsidP="00A43992">
      <w:pPr>
        <w:pStyle w:val="PolicytextDept"/>
        <w:outlineLvl w:val="0"/>
        <w:rPr>
          <w:i/>
          <w:u w:val="single"/>
        </w:rPr>
      </w:pPr>
      <w:r w:rsidRPr="002E1161">
        <w:rPr>
          <w:i/>
          <w:u w:val="single"/>
        </w:rPr>
        <w:t>Additional Scheme contributions</w:t>
      </w:r>
    </w:p>
    <w:p w14:paraId="6B32DDC0" w14:textId="77777777" w:rsidR="00A43992" w:rsidRDefault="00A43992" w:rsidP="00A43992">
      <w:pPr>
        <w:pStyle w:val="PolicytextDept"/>
      </w:pPr>
      <w:r w:rsidRPr="001D5907">
        <w:t xml:space="preserve">The Agency recognises additional Scheme contributions receivable from Commonwealth, state and territory governments in respect of differences between the amount of agreed in-kind contributions and the actual in-kind services provided during the year where it is probable that the future economic benefits will flow to the Agency and the amount can be measured reliably.  These amounts are disclosed in Note 2.1B and reflect the Agency’s expectation that these additional contributions will be required to fund reasonable care and support for </w:t>
      </w:r>
      <w:r w:rsidRPr="001D5907">
        <w:lastRenderedPageBreak/>
        <w:t xml:space="preserve">participants as outlined above.  </w:t>
      </w:r>
      <w:r w:rsidRPr="00EE4FBB">
        <w:t>At 30 June 2016, the Agency has not recognised any additional Scheme contributions receivable.</w:t>
      </w:r>
      <w:r>
        <w:t xml:space="preserve"> </w:t>
      </w:r>
      <w:r w:rsidRPr="001D5907">
        <w:t>Any amounts recognised as a receivable in future periods will be reviewed in future periods in line with Agency estimates of the participant plan provision.</w:t>
      </w:r>
    </w:p>
    <w:p w14:paraId="1971F062" w14:textId="77777777" w:rsidR="00A43992" w:rsidRPr="001D5907" w:rsidRDefault="00A43992" w:rsidP="00A43992">
      <w:pPr>
        <w:pStyle w:val="PolicytextDept"/>
      </w:pPr>
      <w:r>
        <w:t>Given that only limited historical information is available in relation to participant claims history and the fact the Scheme is not yet available to all areas of Australia, estimates of the additional Scheme contributions may require material adjustment in future accounting periods.</w:t>
      </w:r>
    </w:p>
    <w:p w14:paraId="431FAD27" w14:textId="77777777" w:rsidR="00A43992" w:rsidRDefault="00A43992" w:rsidP="00A43992">
      <w:pPr>
        <w:pStyle w:val="PolicytextDept"/>
      </w:pPr>
      <w:r w:rsidRPr="00906893">
        <w:t>No other accounting assumptions or estimates have been identified that have a significant risk of causing a material adjustment to the carrying amounts of assets and liabilities within the next twelve months.</w:t>
      </w:r>
    </w:p>
    <w:p w14:paraId="31428AEF" w14:textId="77777777" w:rsidR="00A43992" w:rsidRDefault="00A43992" w:rsidP="00A43992">
      <w:pPr>
        <w:spacing w:line="240" w:lineRule="auto"/>
        <w:rPr>
          <w:rFonts w:ascii="Arial" w:hAnsi="Arial" w:cs="Arial"/>
          <w:bCs/>
          <w:sz w:val="18"/>
          <w:szCs w:val="18"/>
        </w:rPr>
      </w:pPr>
      <w:r>
        <w:br w:type="page"/>
      </w:r>
    </w:p>
    <w:tbl>
      <w:tblPr>
        <w:tblW w:w="9087" w:type="dxa"/>
        <w:tblInd w:w="80" w:type="dxa"/>
        <w:tblLayout w:type="fixed"/>
        <w:tblLook w:val="04A0" w:firstRow="1" w:lastRow="0" w:firstColumn="1" w:lastColumn="0" w:noHBand="0" w:noVBand="1"/>
      </w:tblPr>
      <w:tblGrid>
        <w:gridCol w:w="6424"/>
        <w:gridCol w:w="1198"/>
        <w:gridCol w:w="267"/>
        <w:gridCol w:w="1198"/>
      </w:tblGrid>
      <w:tr w:rsidR="00A43992" w14:paraId="0B04BAE6" w14:textId="77777777" w:rsidTr="007211E3">
        <w:trPr>
          <w:trHeight w:val="240"/>
        </w:trPr>
        <w:tc>
          <w:tcPr>
            <w:tcW w:w="6416" w:type="dxa"/>
            <w:tcBorders>
              <w:top w:val="nil"/>
              <w:left w:val="nil"/>
              <w:bottom w:val="nil"/>
              <w:right w:val="nil"/>
            </w:tcBorders>
            <w:shd w:val="clear" w:color="FFFFFF" w:fill="FFFFFF"/>
            <w:noWrap/>
            <w:vAlign w:val="bottom"/>
            <w:hideMark/>
          </w:tcPr>
          <w:p w14:paraId="60D8BD87" w14:textId="77777777" w:rsidR="00A43992" w:rsidRDefault="00A43992" w:rsidP="007211E3">
            <w:pPr>
              <w:rPr>
                <w:rFonts w:ascii="Arial" w:hAnsi="Arial" w:cs="Arial"/>
                <w:sz w:val="18"/>
                <w:szCs w:val="18"/>
              </w:rPr>
            </w:pPr>
            <w:bookmarkStart w:id="210" w:name="Note_RFCTABLE1" w:colFirst="0" w:colLast="0"/>
            <w:r>
              <w:rPr>
                <w:rFonts w:ascii="Arial" w:hAnsi="Arial" w:cs="Arial"/>
                <w:sz w:val="18"/>
                <w:szCs w:val="18"/>
              </w:rPr>
              <w:lastRenderedPageBreak/>
              <w:t> </w:t>
            </w:r>
          </w:p>
        </w:tc>
        <w:tc>
          <w:tcPr>
            <w:tcW w:w="1196" w:type="dxa"/>
            <w:tcBorders>
              <w:top w:val="nil"/>
              <w:left w:val="nil"/>
              <w:bottom w:val="nil"/>
              <w:right w:val="nil"/>
            </w:tcBorders>
            <w:shd w:val="clear" w:color="FFFFFF" w:fill="FFFFFF"/>
            <w:noWrap/>
            <w:vAlign w:val="bottom"/>
            <w:hideMark/>
          </w:tcPr>
          <w:p w14:paraId="75EBC18D" w14:textId="77777777" w:rsidR="00A43992" w:rsidRDefault="00A43992" w:rsidP="007211E3">
            <w:pPr>
              <w:jc w:val="right"/>
              <w:rPr>
                <w:rFonts w:ascii="Arial" w:hAnsi="Arial" w:cs="Arial"/>
                <w:b/>
                <w:bCs/>
                <w:sz w:val="18"/>
                <w:szCs w:val="18"/>
              </w:rPr>
            </w:pPr>
            <w:r>
              <w:rPr>
                <w:rFonts w:ascii="Arial" w:hAnsi="Arial" w:cs="Arial"/>
                <w:b/>
                <w:bCs/>
                <w:sz w:val="18"/>
                <w:szCs w:val="18"/>
              </w:rPr>
              <w:t>2016</w:t>
            </w:r>
          </w:p>
        </w:tc>
        <w:tc>
          <w:tcPr>
            <w:tcW w:w="267" w:type="dxa"/>
            <w:tcBorders>
              <w:top w:val="nil"/>
              <w:left w:val="nil"/>
              <w:bottom w:val="nil"/>
              <w:right w:val="nil"/>
            </w:tcBorders>
            <w:shd w:val="clear" w:color="FFFFFF" w:fill="FFFFFF"/>
            <w:noWrap/>
            <w:vAlign w:val="bottom"/>
            <w:hideMark/>
          </w:tcPr>
          <w:p w14:paraId="706D326F" w14:textId="77777777" w:rsidR="00A43992" w:rsidRDefault="00A43992" w:rsidP="007211E3">
            <w:pPr>
              <w:jc w:val="right"/>
              <w:rPr>
                <w:rFonts w:ascii="Arial" w:hAnsi="Arial" w:cs="Arial"/>
                <w:sz w:val="18"/>
                <w:szCs w:val="18"/>
              </w:rPr>
            </w:pPr>
            <w:r>
              <w:rPr>
                <w:rFonts w:ascii="Arial" w:hAnsi="Arial" w:cs="Arial"/>
                <w:sz w:val="18"/>
                <w:szCs w:val="18"/>
              </w:rPr>
              <w:t> </w:t>
            </w:r>
          </w:p>
        </w:tc>
        <w:tc>
          <w:tcPr>
            <w:tcW w:w="1196" w:type="dxa"/>
            <w:tcBorders>
              <w:top w:val="nil"/>
              <w:left w:val="nil"/>
              <w:bottom w:val="nil"/>
              <w:right w:val="nil"/>
            </w:tcBorders>
            <w:shd w:val="clear" w:color="FFFFFF" w:fill="FFFFFF"/>
            <w:noWrap/>
            <w:vAlign w:val="bottom"/>
            <w:hideMark/>
          </w:tcPr>
          <w:p w14:paraId="2834C20A" w14:textId="77777777" w:rsidR="00A43992" w:rsidRDefault="00A43992" w:rsidP="007211E3">
            <w:pPr>
              <w:jc w:val="right"/>
              <w:rPr>
                <w:rFonts w:ascii="Arial" w:hAnsi="Arial" w:cs="Arial"/>
                <w:sz w:val="18"/>
                <w:szCs w:val="18"/>
              </w:rPr>
            </w:pPr>
            <w:r>
              <w:rPr>
                <w:rFonts w:ascii="Arial" w:hAnsi="Arial" w:cs="Arial"/>
                <w:sz w:val="18"/>
                <w:szCs w:val="18"/>
              </w:rPr>
              <w:t>2015</w:t>
            </w:r>
          </w:p>
        </w:tc>
      </w:tr>
      <w:bookmarkEnd w:id="210"/>
      <w:tr w:rsidR="00A43992" w14:paraId="4E58DEB6" w14:textId="77777777" w:rsidTr="007211E3">
        <w:trPr>
          <w:trHeight w:val="240"/>
        </w:trPr>
        <w:tc>
          <w:tcPr>
            <w:tcW w:w="6416" w:type="dxa"/>
            <w:tcBorders>
              <w:top w:val="nil"/>
              <w:left w:val="nil"/>
              <w:bottom w:val="nil"/>
              <w:right w:val="nil"/>
            </w:tcBorders>
            <w:shd w:val="clear" w:color="FFFFFF" w:fill="FFFFFF"/>
            <w:noWrap/>
            <w:vAlign w:val="bottom"/>
            <w:hideMark/>
          </w:tcPr>
          <w:p w14:paraId="4F82C50C" w14:textId="77777777" w:rsidR="00A43992" w:rsidRDefault="00A43992" w:rsidP="007211E3">
            <w:pPr>
              <w:rPr>
                <w:rFonts w:ascii="Arial" w:hAnsi="Arial" w:cs="Arial"/>
                <w:sz w:val="18"/>
                <w:szCs w:val="18"/>
              </w:rPr>
            </w:pPr>
            <w:r>
              <w:rPr>
                <w:rFonts w:ascii="Arial" w:hAnsi="Arial" w:cs="Arial"/>
                <w:sz w:val="18"/>
                <w:szCs w:val="18"/>
              </w:rPr>
              <w:t> </w:t>
            </w:r>
          </w:p>
        </w:tc>
        <w:tc>
          <w:tcPr>
            <w:tcW w:w="1196" w:type="dxa"/>
            <w:tcBorders>
              <w:top w:val="nil"/>
              <w:left w:val="nil"/>
              <w:bottom w:val="nil"/>
              <w:right w:val="nil"/>
            </w:tcBorders>
            <w:shd w:val="clear" w:color="FFFFFF" w:fill="FFFFFF"/>
            <w:noWrap/>
            <w:vAlign w:val="bottom"/>
            <w:hideMark/>
          </w:tcPr>
          <w:p w14:paraId="66CE3FBD" w14:textId="77777777" w:rsidR="00A43992" w:rsidRDefault="00A43992" w:rsidP="007211E3">
            <w:pPr>
              <w:jc w:val="right"/>
              <w:rPr>
                <w:rFonts w:ascii="Arial" w:hAnsi="Arial" w:cs="Arial"/>
                <w:b/>
                <w:bCs/>
                <w:sz w:val="18"/>
                <w:szCs w:val="18"/>
              </w:rPr>
            </w:pPr>
            <w:r>
              <w:rPr>
                <w:rFonts w:ascii="Arial" w:hAnsi="Arial" w:cs="Arial"/>
                <w:b/>
                <w:bCs/>
                <w:sz w:val="18"/>
                <w:szCs w:val="18"/>
              </w:rPr>
              <w:t>$'000</w:t>
            </w:r>
          </w:p>
        </w:tc>
        <w:tc>
          <w:tcPr>
            <w:tcW w:w="267" w:type="dxa"/>
            <w:tcBorders>
              <w:top w:val="nil"/>
              <w:left w:val="nil"/>
              <w:bottom w:val="nil"/>
              <w:right w:val="nil"/>
            </w:tcBorders>
            <w:shd w:val="clear" w:color="FFFFFF" w:fill="FFFFFF"/>
            <w:noWrap/>
            <w:vAlign w:val="bottom"/>
            <w:hideMark/>
          </w:tcPr>
          <w:p w14:paraId="11702276" w14:textId="77777777" w:rsidR="00A43992" w:rsidRDefault="00A43992" w:rsidP="007211E3">
            <w:pPr>
              <w:jc w:val="right"/>
              <w:rPr>
                <w:rFonts w:ascii="Arial" w:hAnsi="Arial" w:cs="Arial"/>
                <w:sz w:val="18"/>
                <w:szCs w:val="18"/>
              </w:rPr>
            </w:pPr>
            <w:r>
              <w:rPr>
                <w:rFonts w:ascii="Arial" w:hAnsi="Arial" w:cs="Arial"/>
                <w:sz w:val="18"/>
                <w:szCs w:val="18"/>
              </w:rPr>
              <w:t> </w:t>
            </w:r>
          </w:p>
        </w:tc>
        <w:tc>
          <w:tcPr>
            <w:tcW w:w="1196" w:type="dxa"/>
            <w:tcBorders>
              <w:top w:val="nil"/>
              <w:left w:val="nil"/>
              <w:bottom w:val="nil"/>
              <w:right w:val="nil"/>
            </w:tcBorders>
            <w:shd w:val="clear" w:color="FFFFFF" w:fill="FFFFFF"/>
            <w:noWrap/>
            <w:vAlign w:val="bottom"/>
            <w:hideMark/>
          </w:tcPr>
          <w:p w14:paraId="15E6B275" w14:textId="77777777" w:rsidR="00A43992" w:rsidRDefault="00A43992" w:rsidP="007211E3">
            <w:pPr>
              <w:jc w:val="right"/>
              <w:rPr>
                <w:rFonts w:ascii="Arial" w:hAnsi="Arial" w:cs="Arial"/>
                <w:sz w:val="18"/>
                <w:szCs w:val="18"/>
              </w:rPr>
            </w:pPr>
            <w:r>
              <w:rPr>
                <w:rFonts w:ascii="Arial" w:hAnsi="Arial" w:cs="Arial"/>
                <w:sz w:val="18"/>
                <w:szCs w:val="18"/>
              </w:rPr>
              <w:t>$'000</w:t>
            </w:r>
          </w:p>
        </w:tc>
      </w:tr>
      <w:tr w:rsidR="00A43992" w14:paraId="4B67D873" w14:textId="77777777" w:rsidTr="007211E3">
        <w:trPr>
          <w:trHeight w:val="240"/>
        </w:trPr>
        <w:tc>
          <w:tcPr>
            <w:tcW w:w="6416" w:type="dxa"/>
            <w:tcBorders>
              <w:top w:val="nil"/>
              <w:left w:val="nil"/>
              <w:bottom w:val="nil"/>
              <w:right w:val="nil"/>
            </w:tcBorders>
            <w:shd w:val="clear" w:color="FFFFFF" w:fill="FFFFFF"/>
            <w:noWrap/>
            <w:vAlign w:val="bottom"/>
            <w:hideMark/>
          </w:tcPr>
          <w:p w14:paraId="4264CC66" w14:textId="77777777" w:rsidR="00A43992" w:rsidRDefault="00A43992" w:rsidP="007211E3">
            <w:pPr>
              <w:rPr>
                <w:rFonts w:ascii="Arial" w:hAnsi="Arial" w:cs="Arial"/>
                <w:b/>
                <w:bCs/>
                <w:sz w:val="18"/>
                <w:szCs w:val="18"/>
                <w:u w:val="single"/>
              </w:rPr>
            </w:pPr>
            <w:r>
              <w:rPr>
                <w:rFonts w:ascii="Arial" w:hAnsi="Arial" w:cs="Arial"/>
                <w:b/>
                <w:bCs/>
                <w:sz w:val="18"/>
                <w:szCs w:val="18"/>
                <w:u w:val="single"/>
              </w:rPr>
              <w:t>Note 1.2D: Other gains</w:t>
            </w:r>
          </w:p>
        </w:tc>
        <w:tc>
          <w:tcPr>
            <w:tcW w:w="1196" w:type="dxa"/>
            <w:tcBorders>
              <w:top w:val="nil"/>
              <w:left w:val="nil"/>
              <w:bottom w:val="nil"/>
              <w:right w:val="nil"/>
            </w:tcBorders>
            <w:shd w:val="clear" w:color="FFFFFF" w:fill="FFFFFF"/>
            <w:noWrap/>
            <w:vAlign w:val="bottom"/>
            <w:hideMark/>
          </w:tcPr>
          <w:p w14:paraId="30024E8E" w14:textId="77777777" w:rsidR="00A43992" w:rsidRDefault="00A43992" w:rsidP="007211E3">
            <w:pPr>
              <w:rPr>
                <w:rFonts w:ascii="Arial" w:hAnsi="Arial" w:cs="Arial"/>
                <w:sz w:val="18"/>
                <w:szCs w:val="18"/>
              </w:rPr>
            </w:pPr>
            <w:r>
              <w:rPr>
                <w:rFonts w:ascii="Arial" w:hAnsi="Arial" w:cs="Arial"/>
                <w:sz w:val="18"/>
                <w:szCs w:val="18"/>
              </w:rPr>
              <w:t> </w:t>
            </w:r>
          </w:p>
        </w:tc>
        <w:tc>
          <w:tcPr>
            <w:tcW w:w="267" w:type="dxa"/>
            <w:tcBorders>
              <w:top w:val="nil"/>
              <w:left w:val="nil"/>
              <w:bottom w:val="nil"/>
              <w:right w:val="nil"/>
            </w:tcBorders>
            <w:shd w:val="clear" w:color="FFFFFF" w:fill="FFFFFF"/>
            <w:noWrap/>
            <w:vAlign w:val="bottom"/>
            <w:hideMark/>
          </w:tcPr>
          <w:p w14:paraId="638C6DD5" w14:textId="77777777" w:rsidR="00A43992" w:rsidRDefault="00A43992" w:rsidP="007211E3">
            <w:pPr>
              <w:rPr>
                <w:rFonts w:ascii="Arial" w:hAnsi="Arial" w:cs="Arial"/>
                <w:sz w:val="18"/>
                <w:szCs w:val="18"/>
              </w:rPr>
            </w:pPr>
            <w:r>
              <w:rPr>
                <w:rFonts w:ascii="Arial" w:hAnsi="Arial" w:cs="Arial"/>
                <w:sz w:val="18"/>
                <w:szCs w:val="18"/>
              </w:rPr>
              <w:t> </w:t>
            </w:r>
          </w:p>
        </w:tc>
        <w:tc>
          <w:tcPr>
            <w:tcW w:w="1196" w:type="dxa"/>
            <w:tcBorders>
              <w:top w:val="nil"/>
              <w:left w:val="nil"/>
              <w:bottom w:val="nil"/>
              <w:right w:val="nil"/>
            </w:tcBorders>
            <w:shd w:val="clear" w:color="FFFFFF" w:fill="FFFFFF"/>
            <w:noWrap/>
            <w:vAlign w:val="bottom"/>
            <w:hideMark/>
          </w:tcPr>
          <w:p w14:paraId="1D5E72D3" w14:textId="77777777" w:rsidR="00A43992" w:rsidRDefault="00A43992" w:rsidP="007211E3">
            <w:pPr>
              <w:rPr>
                <w:rFonts w:ascii="Arial" w:hAnsi="Arial" w:cs="Arial"/>
                <w:sz w:val="18"/>
                <w:szCs w:val="18"/>
              </w:rPr>
            </w:pPr>
            <w:r>
              <w:rPr>
                <w:rFonts w:ascii="Arial" w:hAnsi="Arial" w:cs="Arial"/>
                <w:sz w:val="18"/>
                <w:szCs w:val="18"/>
              </w:rPr>
              <w:t> </w:t>
            </w:r>
          </w:p>
        </w:tc>
      </w:tr>
      <w:tr w:rsidR="00A43992" w14:paraId="00FFE5EF" w14:textId="77777777" w:rsidTr="007211E3">
        <w:trPr>
          <w:trHeight w:val="240"/>
        </w:trPr>
        <w:tc>
          <w:tcPr>
            <w:tcW w:w="6416" w:type="dxa"/>
            <w:tcBorders>
              <w:top w:val="nil"/>
              <w:left w:val="nil"/>
              <w:bottom w:val="nil"/>
              <w:right w:val="nil"/>
            </w:tcBorders>
            <w:shd w:val="clear" w:color="FFFFFF" w:fill="FFFFFF"/>
            <w:vAlign w:val="bottom"/>
            <w:hideMark/>
          </w:tcPr>
          <w:p w14:paraId="69E79EC6" w14:textId="77777777" w:rsidR="00A43992" w:rsidRDefault="00A43992" w:rsidP="007211E3">
            <w:pPr>
              <w:rPr>
                <w:rFonts w:ascii="Arial" w:hAnsi="Arial" w:cs="Arial"/>
                <w:sz w:val="18"/>
                <w:szCs w:val="18"/>
              </w:rPr>
            </w:pPr>
            <w:r>
              <w:rPr>
                <w:rFonts w:ascii="Arial" w:hAnsi="Arial" w:cs="Arial"/>
                <w:sz w:val="18"/>
                <w:szCs w:val="18"/>
              </w:rPr>
              <w:t>Contributions in-kind from Commonwealth, state and territory governments</w:t>
            </w:r>
          </w:p>
        </w:tc>
        <w:tc>
          <w:tcPr>
            <w:tcW w:w="1196" w:type="dxa"/>
            <w:tcBorders>
              <w:top w:val="nil"/>
              <w:left w:val="nil"/>
              <w:bottom w:val="nil"/>
              <w:right w:val="nil"/>
            </w:tcBorders>
            <w:shd w:val="clear" w:color="FFFFFF" w:fill="FFFFFF"/>
            <w:noWrap/>
            <w:vAlign w:val="bottom"/>
            <w:hideMark/>
          </w:tcPr>
          <w:p w14:paraId="75C2FA74" w14:textId="77777777" w:rsidR="00A43992" w:rsidRPr="00267088" w:rsidRDefault="00A43992" w:rsidP="007211E3">
            <w:pPr>
              <w:jc w:val="right"/>
              <w:rPr>
                <w:rFonts w:ascii="Arial" w:hAnsi="Arial" w:cs="Arial"/>
                <w:b/>
                <w:bCs/>
                <w:sz w:val="18"/>
                <w:szCs w:val="18"/>
              </w:rPr>
            </w:pPr>
            <w:r w:rsidRPr="00267088">
              <w:rPr>
                <w:rFonts w:ascii="Arial" w:hAnsi="Arial" w:cs="Arial"/>
                <w:b/>
                <w:bCs/>
                <w:sz w:val="18"/>
                <w:szCs w:val="18"/>
              </w:rPr>
              <w:t>197,364</w:t>
            </w:r>
          </w:p>
        </w:tc>
        <w:tc>
          <w:tcPr>
            <w:tcW w:w="267" w:type="dxa"/>
            <w:tcBorders>
              <w:top w:val="nil"/>
              <w:left w:val="nil"/>
              <w:bottom w:val="nil"/>
              <w:right w:val="nil"/>
            </w:tcBorders>
            <w:shd w:val="clear" w:color="FFFFFF" w:fill="FFFFFF"/>
            <w:noWrap/>
            <w:vAlign w:val="bottom"/>
            <w:hideMark/>
          </w:tcPr>
          <w:p w14:paraId="540F1CE4" w14:textId="77777777" w:rsidR="00A43992" w:rsidRDefault="00A43992" w:rsidP="007211E3">
            <w:pPr>
              <w:rPr>
                <w:rFonts w:ascii="Arial" w:hAnsi="Arial" w:cs="Arial"/>
                <w:sz w:val="18"/>
                <w:szCs w:val="18"/>
              </w:rPr>
            </w:pPr>
            <w:r>
              <w:rPr>
                <w:rFonts w:ascii="Arial" w:hAnsi="Arial" w:cs="Arial"/>
                <w:sz w:val="18"/>
                <w:szCs w:val="18"/>
              </w:rPr>
              <w:t> </w:t>
            </w:r>
          </w:p>
        </w:tc>
        <w:tc>
          <w:tcPr>
            <w:tcW w:w="1196" w:type="dxa"/>
            <w:tcBorders>
              <w:top w:val="nil"/>
              <w:left w:val="nil"/>
              <w:bottom w:val="nil"/>
              <w:right w:val="nil"/>
            </w:tcBorders>
            <w:shd w:val="clear" w:color="FFFFFF" w:fill="FFFFFF"/>
            <w:noWrap/>
            <w:vAlign w:val="bottom"/>
            <w:hideMark/>
          </w:tcPr>
          <w:p w14:paraId="62D42E45" w14:textId="77777777" w:rsidR="00A43992" w:rsidRDefault="00A43992" w:rsidP="007211E3">
            <w:pPr>
              <w:jc w:val="right"/>
              <w:rPr>
                <w:rFonts w:ascii="Arial" w:hAnsi="Arial" w:cs="Arial"/>
                <w:sz w:val="18"/>
                <w:szCs w:val="18"/>
              </w:rPr>
            </w:pPr>
            <w:r>
              <w:rPr>
                <w:rFonts w:ascii="Arial" w:hAnsi="Arial" w:cs="Arial"/>
                <w:sz w:val="18"/>
                <w:szCs w:val="18"/>
              </w:rPr>
              <w:t>126,378</w:t>
            </w:r>
          </w:p>
        </w:tc>
      </w:tr>
      <w:tr w:rsidR="00A43992" w14:paraId="3AB1672A" w14:textId="77777777" w:rsidTr="007211E3">
        <w:trPr>
          <w:trHeight w:val="240"/>
        </w:trPr>
        <w:tc>
          <w:tcPr>
            <w:tcW w:w="6416" w:type="dxa"/>
            <w:tcBorders>
              <w:top w:val="nil"/>
              <w:left w:val="nil"/>
              <w:bottom w:val="nil"/>
              <w:right w:val="nil"/>
            </w:tcBorders>
            <w:shd w:val="clear" w:color="FFFFFF" w:fill="FFFFFF"/>
            <w:vAlign w:val="bottom"/>
            <w:hideMark/>
          </w:tcPr>
          <w:p w14:paraId="7424C5A2" w14:textId="77777777" w:rsidR="00A43992" w:rsidRDefault="00A43992" w:rsidP="007211E3">
            <w:pPr>
              <w:rPr>
                <w:rFonts w:ascii="Arial" w:hAnsi="Arial" w:cs="Arial"/>
                <w:sz w:val="18"/>
                <w:szCs w:val="18"/>
              </w:rPr>
            </w:pPr>
            <w:r>
              <w:rPr>
                <w:rFonts w:ascii="Arial" w:hAnsi="Arial" w:cs="Arial"/>
                <w:sz w:val="18"/>
                <w:szCs w:val="18"/>
              </w:rPr>
              <w:t>Assets first found</w:t>
            </w:r>
          </w:p>
        </w:tc>
        <w:tc>
          <w:tcPr>
            <w:tcW w:w="1196" w:type="dxa"/>
            <w:tcBorders>
              <w:top w:val="nil"/>
              <w:left w:val="nil"/>
              <w:bottom w:val="nil"/>
              <w:right w:val="nil"/>
            </w:tcBorders>
            <w:shd w:val="clear" w:color="FFFFFF" w:fill="FFFFFF"/>
            <w:noWrap/>
            <w:vAlign w:val="bottom"/>
            <w:hideMark/>
          </w:tcPr>
          <w:p w14:paraId="41BEC074" w14:textId="77777777" w:rsidR="00A43992" w:rsidRPr="00267088" w:rsidRDefault="00A43992" w:rsidP="007211E3">
            <w:pPr>
              <w:jc w:val="right"/>
              <w:rPr>
                <w:rFonts w:ascii="Arial" w:hAnsi="Arial" w:cs="Arial"/>
                <w:b/>
                <w:bCs/>
                <w:sz w:val="18"/>
                <w:szCs w:val="18"/>
              </w:rPr>
            </w:pPr>
            <w:r w:rsidRPr="00267088">
              <w:rPr>
                <w:rFonts w:ascii="Arial" w:hAnsi="Arial" w:cs="Arial"/>
                <w:b/>
                <w:bCs/>
                <w:sz w:val="18"/>
                <w:szCs w:val="18"/>
              </w:rPr>
              <w:t>143</w:t>
            </w:r>
          </w:p>
        </w:tc>
        <w:tc>
          <w:tcPr>
            <w:tcW w:w="267" w:type="dxa"/>
            <w:tcBorders>
              <w:top w:val="nil"/>
              <w:left w:val="nil"/>
              <w:bottom w:val="nil"/>
              <w:right w:val="nil"/>
            </w:tcBorders>
            <w:shd w:val="clear" w:color="FFFFFF" w:fill="FFFFFF"/>
            <w:noWrap/>
            <w:vAlign w:val="bottom"/>
            <w:hideMark/>
          </w:tcPr>
          <w:p w14:paraId="4DE9F709" w14:textId="77777777" w:rsidR="00A43992" w:rsidRDefault="00A43992" w:rsidP="007211E3">
            <w:pPr>
              <w:rPr>
                <w:rFonts w:ascii="Arial" w:hAnsi="Arial" w:cs="Arial"/>
                <w:sz w:val="18"/>
                <w:szCs w:val="18"/>
              </w:rPr>
            </w:pPr>
            <w:r>
              <w:rPr>
                <w:rFonts w:ascii="Arial" w:hAnsi="Arial" w:cs="Arial"/>
                <w:sz w:val="18"/>
                <w:szCs w:val="18"/>
              </w:rPr>
              <w:t> </w:t>
            </w:r>
          </w:p>
        </w:tc>
        <w:tc>
          <w:tcPr>
            <w:tcW w:w="1196" w:type="dxa"/>
            <w:tcBorders>
              <w:top w:val="nil"/>
              <w:left w:val="nil"/>
              <w:bottom w:val="nil"/>
              <w:right w:val="nil"/>
            </w:tcBorders>
            <w:shd w:val="clear" w:color="FFFFFF" w:fill="FFFFFF"/>
            <w:noWrap/>
            <w:vAlign w:val="bottom"/>
            <w:hideMark/>
          </w:tcPr>
          <w:p w14:paraId="23B6E665" w14:textId="77777777" w:rsidR="00A43992" w:rsidRDefault="00A43992" w:rsidP="007211E3">
            <w:pPr>
              <w:jc w:val="right"/>
              <w:rPr>
                <w:rFonts w:ascii="Arial" w:hAnsi="Arial" w:cs="Arial"/>
                <w:sz w:val="18"/>
                <w:szCs w:val="18"/>
              </w:rPr>
            </w:pPr>
            <w:r>
              <w:rPr>
                <w:rFonts w:ascii="Arial" w:hAnsi="Arial" w:cs="Arial"/>
                <w:sz w:val="18"/>
                <w:szCs w:val="18"/>
              </w:rPr>
              <w:t>206</w:t>
            </w:r>
          </w:p>
        </w:tc>
      </w:tr>
      <w:tr w:rsidR="00A43992" w14:paraId="4959B912" w14:textId="77777777" w:rsidTr="007211E3">
        <w:trPr>
          <w:trHeight w:val="240"/>
        </w:trPr>
        <w:tc>
          <w:tcPr>
            <w:tcW w:w="6416" w:type="dxa"/>
            <w:tcBorders>
              <w:top w:val="nil"/>
              <w:left w:val="nil"/>
              <w:bottom w:val="nil"/>
              <w:right w:val="nil"/>
            </w:tcBorders>
            <w:shd w:val="clear" w:color="FFFFFF" w:fill="FFFFFF"/>
            <w:vAlign w:val="bottom"/>
            <w:hideMark/>
          </w:tcPr>
          <w:p w14:paraId="42CF921F" w14:textId="77777777" w:rsidR="00A43992" w:rsidRDefault="00A43992" w:rsidP="007211E3">
            <w:pPr>
              <w:rPr>
                <w:rFonts w:ascii="Arial" w:hAnsi="Arial" w:cs="Arial"/>
                <w:b/>
                <w:bCs/>
                <w:sz w:val="18"/>
                <w:szCs w:val="18"/>
              </w:rPr>
            </w:pPr>
            <w:r>
              <w:rPr>
                <w:rFonts w:ascii="Arial" w:hAnsi="Arial" w:cs="Arial"/>
                <w:b/>
                <w:bCs/>
                <w:sz w:val="18"/>
                <w:szCs w:val="18"/>
              </w:rPr>
              <w:t>Total gains</w:t>
            </w:r>
          </w:p>
        </w:tc>
        <w:tc>
          <w:tcPr>
            <w:tcW w:w="1196" w:type="dxa"/>
            <w:tcBorders>
              <w:top w:val="single" w:sz="4" w:space="0" w:color="auto"/>
              <w:left w:val="nil"/>
              <w:bottom w:val="single" w:sz="4" w:space="0" w:color="auto"/>
              <w:right w:val="nil"/>
            </w:tcBorders>
            <w:shd w:val="clear" w:color="FFFFFF" w:fill="FFFFFF"/>
            <w:noWrap/>
            <w:vAlign w:val="bottom"/>
            <w:hideMark/>
          </w:tcPr>
          <w:p w14:paraId="30257D43" w14:textId="77777777" w:rsidR="00A43992" w:rsidRPr="00267088" w:rsidRDefault="00A43992" w:rsidP="007211E3">
            <w:pPr>
              <w:jc w:val="right"/>
              <w:rPr>
                <w:rFonts w:ascii="Arial" w:hAnsi="Arial" w:cs="Arial"/>
                <w:b/>
                <w:bCs/>
                <w:sz w:val="18"/>
                <w:szCs w:val="18"/>
              </w:rPr>
            </w:pPr>
            <w:r w:rsidRPr="00267088">
              <w:rPr>
                <w:rFonts w:ascii="Arial" w:hAnsi="Arial" w:cs="Arial"/>
                <w:b/>
                <w:bCs/>
                <w:sz w:val="18"/>
                <w:szCs w:val="18"/>
              </w:rPr>
              <w:t>197,507</w:t>
            </w:r>
          </w:p>
        </w:tc>
        <w:tc>
          <w:tcPr>
            <w:tcW w:w="267" w:type="dxa"/>
            <w:tcBorders>
              <w:top w:val="nil"/>
              <w:left w:val="nil"/>
              <w:bottom w:val="nil"/>
              <w:right w:val="nil"/>
            </w:tcBorders>
            <w:shd w:val="clear" w:color="FFFFFF" w:fill="FFFFFF"/>
            <w:noWrap/>
            <w:vAlign w:val="bottom"/>
            <w:hideMark/>
          </w:tcPr>
          <w:p w14:paraId="2943508D" w14:textId="77777777" w:rsidR="00A43992" w:rsidRDefault="00A43992" w:rsidP="007211E3">
            <w:pPr>
              <w:rPr>
                <w:rFonts w:ascii="Arial" w:hAnsi="Arial" w:cs="Arial"/>
                <w:sz w:val="18"/>
                <w:szCs w:val="18"/>
              </w:rPr>
            </w:pPr>
            <w:r>
              <w:rPr>
                <w:rFonts w:ascii="Arial" w:hAnsi="Arial" w:cs="Arial"/>
                <w:sz w:val="18"/>
                <w:szCs w:val="18"/>
              </w:rPr>
              <w:t> </w:t>
            </w:r>
          </w:p>
        </w:tc>
        <w:tc>
          <w:tcPr>
            <w:tcW w:w="1196" w:type="dxa"/>
            <w:tcBorders>
              <w:top w:val="single" w:sz="4" w:space="0" w:color="auto"/>
              <w:left w:val="nil"/>
              <w:bottom w:val="single" w:sz="4" w:space="0" w:color="auto"/>
              <w:right w:val="nil"/>
            </w:tcBorders>
            <w:shd w:val="clear" w:color="FFFFFF" w:fill="FFFFFF"/>
            <w:noWrap/>
            <w:vAlign w:val="bottom"/>
            <w:hideMark/>
          </w:tcPr>
          <w:p w14:paraId="16760991" w14:textId="77777777" w:rsidR="00A43992" w:rsidRDefault="00A43992" w:rsidP="007211E3">
            <w:pPr>
              <w:jc w:val="right"/>
              <w:rPr>
                <w:rFonts w:ascii="Arial" w:hAnsi="Arial" w:cs="Arial"/>
                <w:sz w:val="18"/>
                <w:szCs w:val="18"/>
              </w:rPr>
            </w:pPr>
            <w:r>
              <w:rPr>
                <w:rFonts w:ascii="Arial" w:hAnsi="Arial" w:cs="Arial"/>
                <w:sz w:val="18"/>
                <w:szCs w:val="18"/>
              </w:rPr>
              <w:t>126,584</w:t>
            </w:r>
          </w:p>
        </w:tc>
      </w:tr>
    </w:tbl>
    <w:p w14:paraId="121DC6A0" w14:textId="77777777" w:rsidR="00A43992" w:rsidRDefault="00A43992" w:rsidP="00A43992"/>
    <w:p w14:paraId="1B59AEDC" w14:textId="04E48FC0" w:rsidR="00A43992" w:rsidRPr="00382E66" w:rsidRDefault="00A43992" w:rsidP="00A43992">
      <w:pPr>
        <w:pBdr>
          <w:top w:val="single" w:sz="4" w:space="1" w:color="6B2976"/>
          <w:left w:val="single" w:sz="4" w:space="0" w:color="6B2976"/>
          <w:bottom w:val="single" w:sz="4" w:space="1" w:color="6B2976"/>
          <w:right w:val="single" w:sz="4" w:space="0" w:color="6B2976"/>
        </w:pBdr>
        <w:spacing w:line="120" w:lineRule="atLeast"/>
        <w:outlineLvl w:val="0"/>
        <w:rPr>
          <w:rFonts w:ascii="Arial" w:hAnsi="Arial" w:cs="Arial"/>
          <w:b/>
          <w:bCs/>
          <w:sz w:val="18"/>
          <w:szCs w:val="18"/>
        </w:rPr>
      </w:pPr>
      <w:r w:rsidRPr="00382E66">
        <w:rPr>
          <w:rFonts w:ascii="Arial" w:hAnsi="Arial" w:cs="Arial"/>
          <w:b/>
          <w:bCs/>
          <w:sz w:val="18"/>
          <w:szCs w:val="18"/>
        </w:rPr>
        <w:t>Accounting Policy</w:t>
      </w:r>
    </w:p>
    <w:p w14:paraId="5A95F361" w14:textId="3AF92B73" w:rsidR="00A43992" w:rsidRPr="009A0009" w:rsidRDefault="00A43992" w:rsidP="00A43992">
      <w:pPr>
        <w:pStyle w:val="PolicytextDept"/>
        <w:outlineLvl w:val="0"/>
        <w:rPr>
          <w:i/>
          <w:iCs/>
          <w:u w:val="single"/>
        </w:rPr>
      </w:pPr>
      <w:r w:rsidRPr="009A0009">
        <w:rPr>
          <w:i/>
          <w:u w:val="single"/>
        </w:rPr>
        <w:t>In-kind contributions</w:t>
      </w:r>
    </w:p>
    <w:p w14:paraId="45A6B8B0" w14:textId="77777777" w:rsidR="00A43992" w:rsidRDefault="00A43992" w:rsidP="00A43992">
      <w:pPr>
        <w:pStyle w:val="PolicytextDept"/>
      </w:pPr>
      <w:r w:rsidRPr="009A0009">
        <w:t>Prior to the commencement of the Scheme, the Commonwealth and each state and territory government had committed to provide (directly or by engaging service providers) items such as disability services, health, family support, education, employment, transport and/or housing to people with a disability. The provision of these services on behalf of the Agency is regarded as an in-kind contribution under Australian Accounting Standards and is accounted for as income from the contribution of services at the date when the services are provided.  The fair value of these contributions is the notional unit value provided by the jurisdiction which is based on what the jurisdiction has paid under its funding arrangements with the provider.</w:t>
      </w:r>
    </w:p>
    <w:p w14:paraId="280819B9" w14:textId="3DEE5456" w:rsidR="00A43992" w:rsidRPr="00382E66" w:rsidRDefault="00A43992" w:rsidP="00A43992">
      <w:pPr>
        <w:pBdr>
          <w:top w:val="single" w:sz="4" w:space="1" w:color="6B2976"/>
          <w:left w:val="single" w:sz="4" w:space="0" w:color="6B2976"/>
          <w:bottom w:val="single" w:sz="4" w:space="1" w:color="6B2976"/>
          <w:right w:val="single" w:sz="4" w:space="0" w:color="6B2976"/>
        </w:pBdr>
        <w:spacing w:line="120" w:lineRule="atLeast"/>
        <w:outlineLvl w:val="0"/>
        <w:rPr>
          <w:rFonts w:ascii="Arial" w:hAnsi="Arial" w:cs="Arial"/>
          <w:bCs/>
          <w:i/>
          <w:sz w:val="18"/>
          <w:szCs w:val="18"/>
          <w:u w:val="single"/>
        </w:rPr>
      </w:pPr>
      <w:r w:rsidRPr="00382E66">
        <w:rPr>
          <w:rFonts w:ascii="Arial" w:hAnsi="Arial" w:cs="Arial"/>
          <w:bCs/>
          <w:i/>
          <w:sz w:val="18"/>
          <w:szCs w:val="18"/>
          <w:u w:val="single"/>
        </w:rPr>
        <w:t>Resources Received Free of Charge</w:t>
      </w:r>
      <w:r>
        <w:rPr>
          <w:rFonts w:ascii="Arial" w:hAnsi="Arial" w:cs="Arial"/>
          <w:bCs/>
          <w:i/>
          <w:sz w:val="18"/>
          <w:szCs w:val="18"/>
          <w:u w:val="single"/>
        </w:rPr>
        <w:t xml:space="preserve"> (</w:t>
      </w:r>
      <w:r w:rsidRPr="002E1161">
        <w:rPr>
          <w:rFonts w:ascii="Arial" w:hAnsi="Arial" w:cs="Arial"/>
          <w:bCs/>
          <w:i/>
          <w:sz w:val="18"/>
          <w:szCs w:val="18"/>
          <w:u w:val="single"/>
        </w:rPr>
        <w:t>Contributions in-kind from Commonwealth, state and territory governments</w:t>
      </w:r>
      <w:r>
        <w:rPr>
          <w:rFonts w:ascii="Arial" w:hAnsi="Arial" w:cs="Arial"/>
          <w:bCs/>
          <w:i/>
          <w:sz w:val="18"/>
          <w:szCs w:val="18"/>
          <w:u w:val="single"/>
        </w:rPr>
        <w:t>)</w:t>
      </w:r>
    </w:p>
    <w:p w14:paraId="59CF8341" w14:textId="77777777" w:rsidR="00A43992" w:rsidRPr="009E0391" w:rsidRDefault="00A43992" w:rsidP="00A43992">
      <w:pPr>
        <w:pBdr>
          <w:top w:val="single" w:sz="4" w:space="1" w:color="6B2976"/>
          <w:left w:val="single" w:sz="4" w:space="0" w:color="6B2976"/>
          <w:bottom w:val="single" w:sz="4" w:space="1" w:color="6B2976"/>
          <w:right w:val="single" w:sz="4" w:space="0" w:color="6B2976"/>
        </w:pBdr>
        <w:spacing w:line="120" w:lineRule="atLeast"/>
        <w:rPr>
          <w:rFonts w:ascii="Arial" w:hAnsi="Arial" w:cs="Arial"/>
          <w:bCs/>
          <w:sz w:val="18"/>
          <w:szCs w:val="18"/>
        </w:rPr>
      </w:pPr>
      <w:r w:rsidRPr="009E0391">
        <w:rPr>
          <w:rFonts w:ascii="Arial" w:hAnsi="Arial" w:cs="Arial"/>
          <w:bCs/>
          <w:sz w:val="18"/>
          <w:szCs w:val="18"/>
        </w:rPr>
        <w:t xml:space="preserve">Resources received free of charge are </w:t>
      </w:r>
      <w:proofErr w:type="spellStart"/>
      <w:r w:rsidRPr="009E0391">
        <w:rPr>
          <w:rFonts w:ascii="Arial" w:hAnsi="Arial" w:cs="Arial"/>
          <w:bCs/>
          <w:sz w:val="18"/>
          <w:szCs w:val="18"/>
        </w:rPr>
        <w:t>recognised</w:t>
      </w:r>
      <w:proofErr w:type="spellEnd"/>
      <w:r w:rsidRPr="009E0391">
        <w:rPr>
          <w:rFonts w:ascii="Arial" w:hAnsi="Arial" w:cs="Arial"/>
          <w:bCs/>
          <w:sz w:val="18"/>
          <w:szCs w:val="18"/>
        </w:rPr>
        <w:t xml:space="preserve"> as revenue when, and only when, a fair value can be reliably determined and the services would have been purchased if they had not been contributed.  Use of those resources is </w:t>
      </w:r>
      <w:proofErr w:type="spellStart"/>
      <w:r w:rsidRPr="009E0391">
        <w:rPr>
          <w:rFonts w:ascii="Arial" w:hAnsi="Arial" w:cs="Arial"/>
          <w:bCs/>
          <w:sz w:val="18"/>
          <w:szCs w:val="18"/>
        </w:rPr>
        <w:t>recognised</w:t>
      </w:r>
      <w:proofErr w:type="spellEnd"/>
      <w:r w:rsidRPr="009E0391">
        <w:rPr>
          <w:rFonts w:ascii="Arial" w:hAnsi="Arial" w:cs="Arial"/>
          <w:bCs/>
          <w:sz w:val="18"/>
          <w:szCs w:val="18"/>
        </w:rPr>
        <w:t xml:space="preserve"> as an expense.  Resources received free of charge are recorded as either revenue or gains depending on their nature.</w:t>
      </w:r>
    </w:p>
    <w:p w14:paraId="08EB4589" w14:textId="77777777" w:rsidR="00A43992" w:rsidRDefault="00A43992" w:rsidP="00A43992">
      <w:pPr>
        <w:pBdr>
          <w:top w:val="single" w:sz="4" w:space="1" w:color="6B2976"/>
          <w:left w:val="single" w:sz="4" w:space="0" w:color="6B2976"/>
          <w:bottom w:val="single" w:sz="4" w:space="1" w:color="6B2976"/>
          <w:right w:val="single" w:sz="4" w:space="0" w:color="6B2976"/>
        </w:pBdr>
        <w:spacing w:line="120" w:lineRule="atLeast"/>
        <w:rPr>
          <w:rFonts w:ascii="Arial" w:hAnsi="Arial" w:cs="Arial"/>
          <w:bCs/>
          <w:sz w:val="18"/>
          <w:szCs w:val="18"/>
        </w:rPr>
      </w:pPr>
      <w:r w:rsidRPr="009E0391">
        <w:rPr>
          <w:rFonts w:ascii="Arial" w:hAnsi="Arial" w:cs="Arial"/>
          <w:bCs/>
          <w:sz w:val="18"/>
          <w:szCs w:val="18"/>
        </w:rPr>
        <w:t xml:space="preserve">Contributions of assets at no cost of acquisition or for nominal consideration are </w:t>
      </w:r>
      <w:proofErr w:type="spellStart"/>
      <w:r w:rsidRPr="009E0391">
        <w:rPr>
          <w:rFonts w:ascii="Arial" w:hAnsi="Arial" w:cs="Arial"/>
          <w:bCs/>
          <w:sz w:val="18"/>
          <w:szCs w:val="18"/>
        </w:rPr>
        <w:t>recognised</w:t>
      </w:r>
      <w:proofErr w:type="spellEnd"/>
      <w:r w:rsidRPr="009E0391">
        <w:rPr>
          <w:rFonts w:ascii="Arial" w:hAnsi="Arial" w:cs="Arial"/>
          <w:bCs/>
          <w:sz w:val="18"/>
          <w:szCs w:val="18"/>
        </w:rPr>
        <w:t xml:space="preserve"> as gains at their fair value when the asset qualifies for recognition, unless received from another Government entity as a consequence of a restructuring of administrative arrangements. </w:t>
      </w:r>
    </w:p>
    <w:p w14:paraId="44D741FB" w14:textId="5C0D410A" w:rsidR="00A43992" w:rsidRPr="00AD7F9C" w:rsidRDefault="00A43992" w:rsidP="00A43992">
      <w:pPr>
        <w:pBdr>
          <w:top w:val="single" w:sz="4" w:space="1" w:color="6B2976"/>
          <w:left w:val="single" w:sz="4" w:space="0" w:color="6B2976"/>
          <w:bottom w:val="single" w:sz="4" w:space="1" w:color="6B2976"/>
          <w:right w:val="single" w:sz="4" w:space="0" w:color="6B2976"/>
        </w:pBdr>
        <w:spacing w:line="120" w:lineRule="atLeast"/>
        <w:outlineLvl w:val="0"/>
        <w:rPr>
          <w:rFonts w:ascii="Arial" w:hAnsi="Arial" w:cs="Arial"/>
          <w:bCs/>
          <w:i/>
          <w:sz w:val="18"/>
          <w:szCs w:val="18"/>
          <w:u w:val="single"/>
        </w:rPr>
      </w:pPr>
      <w:r>
        <w:rPr>
          <w:rFonts w:ascii="Arial" w:hAnsi="Arial" w:cs="Arial"/>
          <w:bCs/>
          <w:i/>
          <w:sz w:val="18"/>
          <w:szCs w:val="18"/>
          <w:u w:val="single"/>
        </w:rPr>
        <w:t xml:space="preserve">Gains and Losses from Disposal </w:t>
      </w:r>
      <w:r w:rsidRPr="00AD7F9C">
        <w:rPr>
          <w:rFonts w:ascii="Arial" w:hAnsi="Arial" w:cs="Arial"/>
          <w:bCs/>
          <w:i/>
          <w:sz w:val="18"/>
          <w:szCs w:val="18"/>
          <w:u w:val="single"/>
        </w:rPr>
        <w:t>of Assets</w:t>
      </w:r>
    </w:p>
    <w:p w14:paraId="110B1048" w14:textId="77777777" w:rsidR="00A43992" w:rsidRDefault="00A43992" w:rsidP="00A43992">
      <w:pPr>
        <w:pBdr>
          <w:top w:val="single" w:sz="4" w:space="1" w:color="6B2976"/>
          <w:left w:val="single" w:sz="4" w:space="0" w:color="6B2976"/>
          <w:bottom w:val="single" w:sz="4" w:space="1" w:color="6B2976"/>
          <w:right w:val="single" w:sz="4" w:space="0" w:color="6B2976"/>
        </w:pBdr>
        <w:spacing w:line="120" w:lineRule="atLeast"/>
        <w:rPr>
          <w:rFonts w:ascii="Arial" w:hAnsi="Arial" w:cs="Arial"/>
          <w:bCs/>
          <w:sz w:val="18"/>
          <w:szCs w:val="18"/>
        </w:rPr>
      </w:pPr>
      <w:r w:rsidRPr="00AD7F9C">
        <w:rPr>
          <w:rFonts w:ascii="Arial" w:hAnsi="Arial" w:cs="Arial"/>
          <w:bCs/>
          <w:sz w:val="18"/>
          <w:szCs w:val="18"/>
        </w:rPr>
        <w:t xml:space="preserve">Gains and losses from the disposal of assets are </w:t>
      </w:r>
      <w:proofErr w:type="spellStart"/>
      <w:r w:rsidRPr="00AD7F9C">
        <w:rPr>
          <w:rFonts w:ascii="Arial" w:hAnsi="Arial" w:cs="Arial"/>
          <w:bCs/>
          <w:sz w:val="18"/>
          <w:szCs w:val="18"/>
        </w:rPr>
        <w:t>recognised</w:t>
      </w:r>
      <w:proofErr w:type="spellEnd"/>
      <w:r w:rsidRPr="00AD7F9C">
        <w:rPr>
          <w:rFonts w:ascii="Arial" w:hAnsi="Arial" w:cs="Arial"/>
          <w:bCs/>
          <w:sz w:val="18"/>
          <w:szCs w:val="18"/>
        </w:rPr>
        <w:t xml:space="preserve"> when control of the asset has passed to the buyer</w:t>
      </w:r>
      <w:r>
        <w:rPr>
          <w:rFonts w:ascii="Arial" w:hAnsi="Arial" w:cs="Arial"/>
          <w:bCs/>
          <w:sz w:val="18"/>
          <w:szCs w:val="18"/>
        </w:rPr>
        <w:t>.</w:t>
      </w:r>
    </w:p>
    <w:p w14:paraId="707C4251" w14:textId="29E3793B" w:rsidR="00A43992" w:rsidRPr="00906893" w:rsidRDefault="00A43992" w:rsidP="00A43992">
      <w:pPr>
        <w:pStyle w:val="PolicytextDept"/>
        <w:outlineLvl w:val="0"/>
        <w:rPr>
          <w:b/>
        </w:rPr>
      </w:pPr>
      <w:r w:rsidRPr="00906893">
        <w:rPr>
          <w:b/>
        </w:rPr>
        <w:t>Key judgements and estimates</w:t>
      </w:r>
    </w:p>
    <w:p w14:paraId="6A09050D" w14:textId="262272E7" w:rsidR="00A43992" w:rsidRPr="009A0009" w:rsidRDefault="00A43992" w:rsidP="00A43992">
      <w:pPr>
        <w:pStyle w:val="PolicytextDept"/>
        <w:outlineLvl w:val="0"/>
        <w:rPr>
          <w:i/>
          <w:iCs/>
          <w:u w:val="single"/>
        </w:rPr>
      </w:pPr>
      <w:r w:rsidRPr="009A0009">
        <w:rPr>
          <w:i/>
          <w:u w:val="single"/>
        </w:rPr>
        <w:t>In-kind contributions</w:t>
      </w:r>
    </w:p>
    <w:p w14:paraId="7713A5A7" w14:textId="77777777" w:rsidR="00A43992" w:rsidRDefault="00A43992" w:rsidP="00A43992">
      <w:pPr>
        <w:pStyle w:val="PolicytextDept"/>
      </w:pPr>
      <w:r w:rsidRPr="00906893">
        <w:t>The Agency records income in relation to non-cash or in-kind contributions from Commonwealth, state and territory governments at the time when the services are provided to participants</w:t>
      </w:r>
      <w:r>
        <w:t>.</w:t>
      </w:r>
      <w:r w:rsidRPr="00906893">
        <w:t xml:space="preserve"> In some cases, the Agency may not have been formally notified that the Commonwealth or a state or territory government has provided or funded a contribution to a participant and in this case the Agency makes an estimate of the amount of in-kind contributions provided to participants during the period but not yet notified to the Agency based on available evidence.</w:t>
      </w:r>
    </w:p>
    <w:p w14:paraId="47C6E104" w14:textId="77777777" w:rsidR="00A43992" w:rsidRPr="001D5907" w:rsidRDefault="00A43992" w:rsidP="00A43992">
      <w:pPr>
        <w:pStyle w:val="PolicytextDept"/>
      </w:pPr>
      <w:r>
        <w:t>Given that only limited historical information is available in relation to participant claims history and the fact the Scheme is not yet available to all areas of Australia, estimates of the in-kind contributions may require material adjustment in future accounting periods.</w:t>
      </w:r>
    </w:p>
    <w:p w14:paraId="33B33F47" w14:textId="77777777" w:rsidR="00A43992" w:rsidRPr="005E5430" w:rsidRDefault="00A43992" w:rsidP="00A43992">
      <w:pPr>
        <w:rPr>
          <w:rFonts w:ascii="Arial" w:hAnsi="Arial" w:cs="Arial"/>
          <w:b/>
          <w:bCs/>
          <w:sz w:val="18"/>
          <w:szCs w:val="18"/>
        </w:rPr>
      </w:pPr>
      <w:bookmarkStart w:id="211" w:name="RANGE!D7:G13"/>
      <w:bookmarkStart w:id="212" w:name="RANGE!D6:D14"/>
      <w:bookmarkStart w:id="213" w:name="RANGE!D6:G14"/>
      <w:bookmarkEnd w:id="211"/>
      <w:bookmarkEnd w:id="212"/>
      <w:bookmarkEnd w:id="213"/>
    </w:p>
    <w:p w14:paraId="7E8F650D" w14:textId="0F995D49" w:rsidR="00A43992" w:rsidRPr="009C036E" w:rsidRDefault="00A43992" w:rsidP="00A43992">
      <w:pPr>
        <w:pStyle w:val="PolicyheadingDept"/>
        <w:outlineLvl w:val="0"/>
      </w:pPr>
      <w:r w:rsidRPr="009C036E">
        <w:t>Accounting Policy</w:t>
      </w:r>
    </w:p>
    <w:p w14:paraId="5E2490E4" w14:textId="42A2E562" w:rsidR="00A43992" w:rsidRDefault="00A43992" w:rsidP="00A43992">
      <w:pPr>
        <w:pStyle w:val="PolicytextDept"/>
        <w:outlineLvl w:val="0"/>
        <w:rPr>
          <w:i/>
          <w:iCs/>
          <w:u w:val="single"/>
        </w:rPr>
      </w:pPr>
      <w:r w:rsidRPr="009C036E">
        <w:rPr>
          <w:i/>
          <w:iCs/>
          <w:u w:val="single"/>
        </w:rPr>
        <w:t xml:space="preserve">Revenue from Government </w:t>
      </w:r>
    </w:p>
    <w:p w14:paraId="3BD76DB2" w14:textId="77777777" w:rsidR="00A43992" w:rsidRPr="009E0391" w:rsidRDefault="00A43992" w:rsidP="00A43992">
      <w:pPr>
        <w:pStyle w:val="PolicytextDept"/>
        <w:rPr>
          <w:iCs/>
        </w:rPr>
      </w:pPr>
      <w:r w:rsidRPr="009E0391">
        <w:rPr>
          <w:iCs/>
        </w:rPr>
        <w:t xml:space="preserve">Funding received from </w:t>
      </w:r>
      <w:r>
        <w:rPr>
          <w:iCs/>
        </w:rPr>
        <w:t>the Department of Social Services</w:t>
      </w:r>
      <w:r w:rsidRPr="009E0391">
        <w:rPr>
          <w:iCs/>
        </w:rPr>
        <w:t xml:space="preserve"> (received by the Agency as a Corporate Commonwealth entity payment item) is recognised as Revenue from Government unless the funding is in the nature of an equity injection or a loan. </w:t>
      </w:r>
    </w:p>
    <w:p w14:paraId="52980A99" w14:textId="77777777" w:rsidR="00A43992" w:rsidRPr="005E5430" w:rsidRDefault="00A43992" w:rsidP="00A43992">
      <w:pPr>
        <w:rPr>
          <w:rFonts w:ascii="Arial" w:hAnsi="Arial" w:cs="Arial"/>
          <w:b/>
          <w:bCs/>
          <w:sz w:val="18"/>
          <w:szCs w:val="18"/>
        </w:rPr>
      </w:pPr>
    </w:p>
    <w:p w14:paraId="2DDB6D9E" w14:textId="77777777" w:rsidR="00A43992" w:rsidRPr="005E5430" w:rsidRDefault="00A43992" w:rsidP="00A43992">
      <w:pPr>
        <w:rPr>
          <w:rFonts w:ascii="Arial" w:hAnsi="Arial" w:cs="Arial"/>
          <w:b/>
          <w:bCs/>
          <w:sz w:val="18"/>
          <w:szCs w:val="18"/>
        </w:rPr>
      </w:pPr>
    </w:p>
    <w:p w14:paraId="56091EAA" w14:textId="77777777" w:rsidR="00A43992" w:rsidRPr="005E5430" w:rsidRDefault="00A43992" w:rsidP="00A43992">
      <w:pPr>
        <w:pStyle w:val="NotesHeading-Level1"/>
        <w:sectPr w:rsidR="00A43992" w:rsidRPr="005E5430" w:rsidSect="007211E3">
          <w:pgSz w:w="11906" w:h="16838" w:code="9"/>
          <w:pgMar w:top="1134" w:right="1700" w:bottom="1134" w:left="1134" w:header="958" w:footer="737" w:gutter="0"/>
          <w:cols w:space="708"/>
          <w:docGrid w:linePitch="360"/>
        </w:sectPr>
      </w:pPr>
    </w:p>
    <w:p w14:paraId="36EA388C" w14:textId="77777777" w:rsidR="00A43992" w:rsidRDefault="00A43992" w:rsidP="00A43992">
      <w:pPr>
        <w:pStyle w:val="SectionHeading"/>
      </w:pPr>
      <w:bookmarkStart w:id="214" w:name="_Toc443469528"/>
      <w:bookmarkStart w:id="215" w:name="_Toc444065778"/>
      <w:bookmarkStart w:id="216" w:name="_Toc444077338"/>
      <w:bookmarkStart w:id="217" w:name="_Toc447030538"/>
      <w:bookmarkStart w:id="218" w:name="_Toc447030690"/>
      <w:bookmarkStart w:id="219" w:name="_Toc447030783"/>
      <w:bookmarkStart w:id="220" w:name="_Toc456865056"/>
      <w:bookmarkStart w:id="221" w:name="_Toc464482133"/>
      <w:bookmarkStart w:id="222" w:name="_Toc444065779"/>
      <w:r>
        <w:lastRenderedPageBreak/>
        <w:t xml:space="preserve">Financial </w:t>
      </w:r>
      <w:r w:rsidRPr="009E424E">
        <w:t>Position</w:t>
      </w:r>
      <w:bookmarkEnd w:id="214"/>
      <w:bookmarkEnd w:id="215"/>
      <w:bookmarkEnd w:id="216"/>
      <w:bookmarkEnd w:id="217"/>
      <w:bookmarkEnd w:id="218"/>
      <w:bookmarkEnd w:id="219"/>
      <w:bookmarkEnd w:id="220"/>
      <w:bookmarkEnd w:id="221"/>
    </w:p>
    <w:p w14:paraId="52883610" w14:textId="243334F1" w:rsidR="00A43992" w:rsidRPr="00BE05B2" w:rsidRDefault="00A43992" w:rsidP="00A43992">
      <w:pPr>
        <w:pStyle w:val="SectionHeadingDescription"/>
      </w:pPr>
      <w:r w:rsidRPr="00BE05B2">
        <w:t>This section analyses the</w:t>
      </w:r>
      <w:r>
        <w:t xml:space="preserve"> Agency’s </w:t>
      </w:r>
      <w:r w:rsidRPr="00BE05B2">
        <w:t xml:space="preserve">assets used to </w:t>
      </w:r>
      <w:r>
        <w:t>conduct its operations</w:t>
      </w:r>
      <w:r w:rsidRPr="00BE05B2">
        <w:t xml:space="preserve"> and the operating liabilities incurred as a result.</w:t>
      </w:r>
      <w:bookmarkEnd w:id="222"/>
    </w:p>
    <w:p w14:paraId="4E8EF088" w14:textId="77777777" w:rsidR="00A43992" w:rsidRPr="00BE05B2" w:rsidRDefault="00A43992" w:rsidP="00A43992">
      <w:pPr>
        <w:pStyle w:val="SectionHeadingDescription"/>
      </w:pPr>
      <w:bookmarkStart w:id="223" w:name="_Toc444065780"/>
      <w:r w:rsidRPr="00BE05B2">
        <w:t xml:space="preserve">Employee related information is disclosed in the </w:t>
      </w:r>
      <w:r>
        <w:t>Governance, Employees</w:t>
      </w:r>
      <w:r w:rsidRPr="00BE05B2">
        <w:t xml:space="preserve"> and Relationships section.</w:t>
      </w:r>
      <w:bookmarkEnd w:id="223"/>
    </w:p>
    <w:p w14:paraId="5CAE80C0" w14:textId="77777777" w:rsidR="00A43992" w:rsidRPr="00714F4A" w:rsidRDefault="00A43992" w:rsidP="00A43992">
      <w:pPr>
        <w:pStyle w:val="ListParagraph"/>
        <w:numPr>
          <w:ilvl w:val="0"/>
          <w:numId w:val="16"/>
        </w:numPr>
        <w:shd w:val="clear" w:color="auto" w:fill="000000" w:themeFill="text1"/>
        <w:spacing w:after="0" w:line="260" w:lineRule="atLeast"/>
        <w:contextualSpacing w:val="0"/>
        <w:outlineLvl w:val="1"/>
        <w:rPr>
          <w:rFonts w:eastAsia="Times New Roman" w:cs="Arial"/>
          <w:b/>
          <w:vanish/>
          <w:color w:val="FFFFFF" w:themeColor="background1"/>
          <w:sz w:val="20"/>
          <w:szCs w:val="20"/>
        </w:rPr>
      </w:pPr>
      <w:bookmarkStart w:id="224" w:name="_Toc447116444"/>
      <w:bookmarkStart w:id="225" w:name="_Toc447542878"/>
      <w:bookmarkStart w:id="226" w:name="_Toc447787253"/>
      <w:bookmarkStart w:id="227" w:name="_Toc448415753"/>
      <w:bookmarkStart w:id="228" w:name="_Toc448500678"/>
      <w:bookmarkStart w:id="229" w:name="_Toc449452840"/>
      <w:bookmarkStart w:id="230" w:name="_Toc456185882"/>
      <w:bookmarkStart w:id="231" w:name="_Toc456185939"/>
      <w:bookmarkStart w:id="232" w:name="_Toc456256300"/>
      <w:bookmarkStart w:id="233" w:name="_Toc456865057"/>
      <w:bookmarkStart w:id="234" w:name="_Toc464481597"/>
      <w:bookmarkStart w:id="235" w:name="_Toc443469529"/>
      <w:bookmarkStart w:id="236" w:name="_Toc444065781"/>
      <w:bookmarkStart w:id="237" w:name="_Toc444077339"/>
      <w:bookmarkStart w:id="238" w:name="_Toc447030539"/>
      <w:bookmarkStart w:id="239" w:name="_Toc447030691"/>
      <w:bookmarkStart w:id="240" w:name="_Toc447030784"/>
      <w:bookmarkEnd w:id="224"/>
      <w:bookmarkEnd w:id="225"/>
      <w:bookmarkEnd w:id="226"/>
      <w:bookmarkEnd w:id="227"/>
      <w:bookmarkEnd w:id="228"/>
      <w:bookmarkEnd w:id="229"/>
      <w:bookmarkEnd w:id="230"/>
      <w:bookmarkEnd w:id="231"/>
      <w:bookmarkEnd w:id="232"/>
      <w:bookmarkEnd w:id="233"/>
      <w:bookmarkEnd w:id="234"/>
    </w:p>
    <w:p w14:paraId="2D8E1C72" w14:textId="794DDAE2" w:rsidR="00A43992" w:rsidRPr="009C036E" w:rsidRDefault="00A43992" w:rsidP="00A43992">
      <w:pPr>
        <w:pStyle w:val="SubHeading"/>
        <w:numPr>
          <w:ilvl w:val="1"/>
          <w:numId w:val="16"/>
        </w:numPr>
        <w:ind w:left="426" w:hanging="426"/>
      </w:pPr>
      <w:bookmarkStart w:id="241" w:name="_Toc456865058"/>
      <w:r w:rsidRPr="00714F4A">
        <w:t>Fin</w:t>
      </w:r>
      <w:r w:rsidRPr="009C036E">
        <w:t>ancial Assets</w:t>
      </w:r>
      <w:bookmarkEnd w:id="235"/>
      <w:bookmarkEnd w:id="236"/>
      <w:bookmarkEnd w:id="237"/>
      <w:bookmarkEnd w:id="238"/>
      <w:bookmarkEnd w:id="239"/>
      <w:bookmarkEnd w:id="240"/>
      <w:bookmarkEnd w:id="241"/>
    </w:p>
    <w:tbl>
      <w:tblPr>
        <w:tblW w:w="9087" w:type="dxa"/>
        <w:tblInd w:w="80" w:type="dxa"/>
        <w:tblLayout w:type="fixed"/>
        <w:tblLook w:val="04A0" w:firstRow="1" w:lastRow="0" w:firstColumn="1" w:lastColumn="0" w:noHBand="0" w:noVBand="1"/>
      </w:tblPr>
      <w:tblGrid>
        <w:gridCol w:w="6353"/>
        <w:gridCol w:w="1249"/>
        <w:gridCol w:w="236"/>
        <w:gridCol w:w="1249"/>
      </w:tblGrid>
      <w:tr w:rsidR="00A43992" w14:paraId="5802DD78" w14:textId="77777777" w:rsidTr="007211E3">
        <w:trPr>
          <w:trHeight w:val="255"/>
        </w:trPr>
        <w:tc>
          <w:tcPr>
            <w:tcW w:w="6353" w:type="dxa"/>
            <w:tcBorders>
              <w:top w:val="nil"/>
              <w:left w:val="nil"/>
              <w:bottom w:val="nil"/>
              <w:right w:val="nil"/>
            </w:tcBorders>
            <w:shd w:val="clear" w:color="FFFFFF" w:fill="FFFFFF"/>
            <w:noWrap/>
            <w:vAlign w:val="bottom"/>
            <w:hideMark/>
          </w:tcPr>
          <w:p w14:paraId="3FE5FAF6" w14:textId="77777777" w:rsidR="00A43992" w:rsidRDefault="00A43992" w:rsidP="007211E3">
            <w:pPr>
              <w:rPr>
                <w:rFonts w:ascii="Arial" w:hAnsi="Arial" w:cs="Arial"/>
                <w:sz w:val="18"/>
                <w:szCs w:val="18"/>
              </w:rPr>
            </w:pPr>
            <w:bookmarkStart w:id="242" w:name="Note_CSHTABLE1" w:colFirst="0" w:colLast="0"/>
            <w:r>
              <w:rPr>
                <w:rFonts w:ascii="Arial" w:hAnsi="Arial" w:cs="Arial"/>
                <w:sz w:val="18"/>
                <w:szCs w:val="18"/>
              </w:rPr>
              <w:t> </w:t>
            </w:r>
          </w:p>
        </w:tc>
        <w:tc>
          <w:tcPr>
            <w:tcW w:w="1249" w:type="dxa"/>
            <w:tcBorders>
              <w:top w:val="nil"/>
              <w:left w:val="nil"/>
              <w:bottom w:val="nil"/>
              <w:right w:val="nil"/>
            </w:tcBorders>
            <w:shd w:val="clear" w:color="FFFFFF" w:fill="FFFFFF"/>
            <w:noWrap/>
            <w:vAlign w:val="bottom"/>
            <w:hideMark/>
          </w:tcPr>
          <w:p w14:paraId="74D97606" w14:textId="77777777" w:rsidR="00A43992" w:rsidRDefault="00A43992" w:rsidP="007211E3">
            <w:pPr>
              <w:jc w:val="right"/>
              <w:rPr>
                <w:rFonts w:ascii="Arial" w:hAnsi="Arial" w:cs="Arial"/>
                <w:b/>
                <w:bCs/>
                <w:sz w:val="18"/>
                <w:szCs w:val="18"/>
              </w:rPr>
            </w:pPr>
            <w:r>
              <w:rPr>
                <w:rFonts w:ascii="Arial" w:hAnsi="Arial" w:cs="Arial"/>
                <w:b/>
                <w:bCs/>
                <w:sz w:val="18"/>
                <w:szCs w:val="18"/>
              </w:rPr>
              <w:t>2016</w:t>
            </w:r>
          </w:p>
        </w:tc>
        <w:tc>
          <w:tcPr>
            <w:tcW w:w="236" w:type="dxa"/>
            <w:tcBorders>
              <w:top w:val="nil"/>
              <w:left w:val="nil"/>
              <w:bottom w:val="nil"/>
              <w:right w:val="nil"/>
            </w:tcBorders>
            <w:shd w:val="clear" w:color="FFFFFF" w:fill="FFFFFF"/>
            <w:noWrap/>
            <w:vAlign w:val="bottom"/>
            <w:hideMark/>
          </w:tcPr>
          <w:p w14:paraId="5591A908" w14:textId="77777777" w:rsidR="00A43992" w:rsidRDefault="00A43992" w:rsidP="007211E3">
            <w:pPr>
              <w:rPr>
                <w:rFonts w:ascii="Arial" w:hAnsi="Arial" w:cs="Arial"/>
                <w:sz w:val="18"/>
                <w:szCs w:val="18"/>
              </w:rPr>
            </w:pPr>
            <w:r>
              <w:rPr>
                <w:rFonts w:ascii="Arial" w:hAnsi="Arial" w:cs="Arial"/>
                <w:sz w:val="18"/>
                <w:szCs w:val="18"/>
              </w:rPr>
              <w:t> </w:t>
            </w:r>
          </w:p>
        </w:tc>
        <w:tc>
          <w:tcPr>
            <w:tcW w:w="1249" w:type="dxa"/>
            <w:tcBorders>
              <w:top w:val="nil"/>
              <w:left w:val="nil"/>
              <w:bottom w:val="nil"/>
              <w:right w:val="nil"/>
            </w:tcBorders>
            <w:shd w:val="clear" w:color="FFFFFF" w:fill="FFFFFF"/>
            <w:noWrap/>
            <w:vAlign w:val="bottom"/>
            <w:hideMark/>
          </w:tcPr>
          <w:p w14:paraId="500E84A0" w14:textId="77777777" w:rsidR="00A43992" w:rsidRDefault="00A43992" w:rsidP="007211E3">
            <w:pPr>
              <w:jc w:val="right"/>
              <w:rPr>
                <w:rFonts w:ascii="Arial" w:hAnsi="Arial" w:cs="Arial"/>
                <w:sz w:val="18"/>
                <w:szCs w:val="18"/>
              </w:rPr>
            </w:pPr>
            <w:r>
              <w:rPr>
                <w:rFonts w:ascii="Arial" w:hAnsi="Arial" w:cs="Arial"/>
                <w:sz w:val="18"/>
                <w:szCs w:val="18"/>
              </w:rPr>
              <w:t>2015</w:t>
            </w:r>
          </w:p>
        </w:tc>
      </w:tr>
      <w:bookmarkEnd w:id="242"/>
      <w:tr w:rsidR="00A43992" w14:paraId="3008B6EF" w14:textId="77777777" w:rsidTr="007211E3">
        <w:trPr>
          <w:trHeight w:val="255"/>
        </w:trPr>
        <w:tc>
          <w:tcPr>
            <w:tcW w:w="6353" w:type="dxa"/>
            <w:tcBorders>
              <w:top w:val="nil"/>
              <w:left w:val="nil"/>
              <w:bottom w:val="nil"/>
              <w:right w:val="nil"/>
            </w:tcBorders>
            <w:shd w:val="clear" w:color="FFFFFF" w:fill="FFFFFF"/>
            <w:noWrap/>
            <w:vAlign w:val="bottom"/>
            <w:hideMark/>
          </w:tcPr>
          <w:p w14:paraId="00F71B4A" w14:textId="77777777" w:rsidR="00A43992" w:rsidRDefault="00A43992" w:rsidP="007211E3">
            <w:pPr>
              <w:rPr>
                <w:rFonts w:ascii="Arial" w:hAnsi="Arial" w:cs="Arial"/>
                <w:sz w:val="18"/>
                <w:szCs w:val="18"/>
              </w:rPr>
            </w:pPr>
            <w:r>
              <w:rPr>
                <w:rFonts w:ascii="Arial" w:hAnsi="Arial" w:cs="Arial"/>
                <w:sz w:val="18"/>
                <w:szCs w:val="18"/>
              </w:rPr>
              <w:t> </w:t>
            </w:r>
          </w:p>
        </w:tc>
        <w:tc>
          <w:tcPr>
            <w:tcW w:w="1249" w:type="dxa"/>
            <w:tcBorders>
              <w:top w:val="nil"/>
              <w:left w:val="nil"/>
              <w:bottom w:val="nil"/>
              <w:right w:val="nil"/>
            </w:tcBorders>
            <w:shd w:val="clear" w:color="FFFFFF" w:fill="FFFFFF"/>
            <w:noWrap/>
            <w:vAlign w:val="bottom"/>
            <w:hideMark/>
          </w:tcPr>
          <w:p w14:paraId="22DE9F6E" w14:textId="77777777" w:rsidR="00A43992" w:rsidRDefault="00A43992" w:rsidP="007211E3">
            <w:pPr>
              <w:jc w:val="right"/>
              <w:rPr>
                <w:rFonts w:ascii="Arial" w:hAnsi="Arial" w:cs="Arial"/>
                <w:b/>
                <w:bCs/>
                <w:sz w:val="18"/>
                <w:szCs w:val="18"/>
              </w:rPr>
            </w:pPr>
            <w:r>
              <w:rPr>
                <w:rFonts w:ascii="Arial" w:hAnsi="Arial" w:cs="Arial"/>
                <w:b/>
                <w:bCs/>
                <w:sz w:val="18"/>
                <w:szCs w:val="18"/>
              </w:rPr>
              <w:t>$'000</w:t>
            </w:r>
          </w:p>
        </w:tc>
        <w:tc>
          <w:tcPr>
            <w:tcW w:w="236" w:type="dxa"/>
            <w:tcBorders>
              <w:top w:val="nil"/>
              <w:left w:val="nil"/>
              <w:bottom w:val="nil"/>
              <w:right w:val="nil"/>
            </w:tcBorders>
            <w:shd w:val="clear" w:color="FFFFFF" w:fill="FFFFFF"/>
            <w:noWrap/>
            <w:vAlign w:val="bottom"/>
            <w:hideMark/>
          </w:tcPr>
          <w:p w14:paraId="5197059E" w14:textId="77777777" w:rsidR="00A43992" w:rsidRDefault="00A43992" w:rsidP="007211E3">
            <w:pPr>
              <w:rPr>
                <w:rFonts w:ascii="Arial" w:hAnsi="Arial" w:cs="Arial"/>
                <w:sz w:val="18"/>
                <w:szCs w:val="18"/>
              </w:rPr>
            </w:pPr>
            <w:r>
              <w:rPr>
                <w:rFonts w:ascii="Arial" w:hAnsi="Arial" w:cs="Arial"/>
                <w:sz w:val="18"/>
                <w:szCs w:val="18"/>
              </w:rPr>
              <w:t> </w:t>
            </w:r>
          </w:p>
        </w:tc>
        <w:tc>
          <w:tcPr>
            <w:tcW w:w="1249" w:type="dxa"/>
            <w:tcBorders>
              <w:top w:val="nil"/>
              <w:left w:val="nil"/>
              <w:bottom w:val="nil"/>
              <w:right w:val="nil"/>
            </w:tcBorders>
            <w:shd w:val="clear" w:color="FFFFFF" w:fill="FFFFFF"/>
            <w:noWrap/>
            <w:vAlign w:val="bottom"/>
            <w:hideMark/>
          </w:tcPr>
          <w:p w14:paraId="29BF6EC1" w14:textId="77777777" w:rsidR="00A43992" w:rsidRDefault="00A43992" w:rsidP="007211E3">
            <w:pPr>
              <w:jc w:val="right"/>
              <w:rPr>
                <w:rFonts w:ascii="Arial" w:hAnsi="Arial" w:cs="Arial"/>
                <w:sz w:val="18"/>
                <w:szCs w:val="18"/>
              </w:rPr>
            </w:pPr>
            <w:r>
              <w:rPr>
                <w:rFonts w:ascii="Arial" w:hAnsi="Arial" w:cs="Arial"/>
                <w:sz w:val="18"/>
                <w:szCs w:val="18"/>
              </w:rPr>
              <w:t>$'000</w:t>
            </w:r>
          </w:p>
        </w:tc>
      </w:tr>
      <w:tr w:rsidR="00A43992" w14:paraId="008DA32B" w14:textId="77777777" w:rsidTr="007211E3">
        <w:trPr>
          <w:trHeight w:val="255"/>
        </w:trPr>
        <w:tc>
          <w:tcPr>
            <w:tcW w:w="6353" w:type="dxa"/>
            <w:tcBorders>
              <w:top w:val="nil"/>
              <w:left w:val="nil"/>
              <w:bottom w:val="nil"/>
              <w:right w:val="nil"/>
            </w:tcBorders>
            <w:shd w:val="clear" w:color="FFFFFF" w:fill="FFFFFF"/>
            <w:noWrap/>
            <w:vAlign w:val="bottom"/>
            <w:hideMark/>
          </w:tcPr>
          <w:p w14:paraId="595EB9FA" w14:textId="77777777" w:rsidR="00A43992" w:rsidRDefault="00A43992" w:rsidP="007211E3">
            <w:pPr>
              <w:rPr>
                <w:rFonts w:ascii="Arial" w:hAnsi="Arial" w:cs="Arial"/>
                <w:b/>
                <w:bCs/>
                <w:sz w:val="18"/>
                <w:szCs w:val="18"/>
                <w:u w:val="single"/>
              </w:rPr>
            </w:pPr>
            <w:r>
              <w:rPr>
                <w:rFonts w:ascii="Arial" w:hAnsi="Arial" w:cs="Arial"/>
                <w:b/>
                <w:bCs/>
                <w:sz w:val="18"/>
                <w:szCs w:val="18"/>
                <w:u w:val="single"/>
              </w:rPr>
              <w:t>Note 2.1A: Cash and cash equivalents</w:t>
            </w:r>
          </w:p>
        </w:tc>
        <w:tc>
          <w:tcPr>
            <w:tcW w:w="1249" w:type="dxa"/>
            <w:tcBorders>
              <w:top w:val="nil"/>
              <w:left w:val="nil"/>
              <w:bottom w:val="nil"/>
              <w:right w:val="nil"/>
            </w:tcBorders>
            <w:shd w:val="clear" w:color="FFFFFF" w:fill="FFFFFF"/>
            <w:noWrap/>
            <w:vAlign w:val="bottom"/>
            <w:hideMark/>
          </w:tcPr>
          <w:p w14:paraId="22118CC8" w14:textId="77777777" w:rsidR="00A43992" w:rsidRDefault="00A43992" w:rsidP="007211E3">
            <w:pPr>
              <w:rPr>
                <w:rFonts w:ascii="Arial" w:hAnsi="Arial" w:cs="Arial"/>
                <w:sz w:val="18"/>
                <w:szCs w:val="18"/>
              </w:rPr>
            </w:pPr>
            <w:r>
              <w:rPr>
                <w:rFonts w:ascii="Arial" w:hAnsi="Arial" w:cs="Arial"/>
                <w:sz w:val="18"/>
                <w:szCs w:val="18"/>
              </w:rPr>
              <w:t> </w:t>
            </w:r>
          </w:p>
        </w:tc>
        <w:tc>
          <w:tcPr>
            <w:tcW w:w="236" w:type="dxa"/>
            <w:tcBorders>
              <w:top w:val="nil"/>
              <w:left w:val="nil"/>
              <w:bottom w:val="nil"/>
              <w:right w:val="nil"/>
            </w:tcBorders>
            <w:shd w:val="clear" w:color="FFFFFF" w:fill="FFFFFF"/>
            <w:noWrap/>
            <w:vAlign w:val="bottom"/>
            <w:hideMark/>
          </w:tcPr>
          <w:p w14:paraId="165289C9" w14:textId="77777777" w:rsidR="00A43992" w:rsidRDefault="00A43992" w:rsidP="007211E3">
            <w:pPr>
              <w:rPr>
                <w:rFonts w:ascii="Arial" w:hAnsi="Arial" w:cs="Arial"/>
                <w:sz w:val="18"/>
                <w:szCs w:val="18"/>
              </w:rPr>
            </w:pPr>
            <w:r>
              <w:rPr>
                <w:rFonts w:ascii="Arial" w:hAnsi="Arial" w:cs="Arial"/>
                <w:sz w:val="18"/>
                <w:szCs w:val="18"/>
              </w:rPr>
              <w:t> </w:t>
            </w:r>
          </w:p>
        </w:tc>
        <w:tc>
          <w:tcPr>
            <w:tcW w:w="1249" w:type="dxa"/>
            <w:tcBorders>
              <w:top w:val="nil"/>
              <w:left w:val="nil"/>
              <w:bottom w:val="nil"/>
              <w:right w:val="nil"/>
            </w:tcBorders>
            <w:shd w:val="clear" w:color="FFFFFF" w:fill="FFFFFF"/>
            <w:noWrap/>
            <w:vAlign w:val="bottom"/>
            <w:hideMark/>
          </w:tcPr>
          <w:p w14:paraId="777C8F2D" w14:textId="77777777" w:rsidR="00A43992" w:rsidRDefault="00A43992" w:rsidP="007211E3">
            <w:pPr>
              <w:rPr>
                <w:rFonts w:ascii="Arial" w:hAnsi="Arial" w:cs="Arial"/>
                <w:sz w:val="18"/>
                <w:szCs w:val="18"/>
              </w:rPr>
            </w:pPr>
            <w:r>
              <w:rPr>
                <w:rFonts w:ascii="Arial" w:hAnsi="Arial" w:cs="Arial"/>
                <w:sz w:val="18"/>
                <w:szCs w:val="18"/>
              </w:rPr>
              <w:t> </w:t>
            </w:r>
          </w:p>
        </w:tc>
      </w:tr>
      <w:tr w:rsidR="00A43992" w14:paraId="0BC6D339" w14:textId="77777777" w:rsidTr="007211E3">
        <w:trPr>
          <w:trHeight w:val="255"/>
        </w:trPr>
        <w:tc>
          <w:tcPr>
            <w:tcW w:w="6353" w:type="dxa"/>
            <w:tcBorders>
              <w:top w:val="nil"/>
              <w:left w:val="nil"/>
              <w:bottom w:val="nil"/>
              <w:right w:val="nil"/>
            </w:tcBorders>
            <w:shd w:val="clear" w:color="FFFFFF" w:fill="FFFFFF"/>
            <w:vAlign w:val="bottom"/>
            <w:hideMark/>
          </w:tcPr>
          <w:p w14:paraId="54B958CD" w14:textId="77777777" w:rsidR="00A43992" w:rsidRDefault="00A43992" w:rsidP="007211E3">
            <w:pPr>
              <w:rPr>
                <w:rFonts w:ascii="Arial" w:hAnsi="Arial" w:cs="Arial"/>
                <w:sz w:val="18"/>
                <w:szCs w:val="18"/>
              </w:rPr>
            </w:pPr>
            <w:r>
              <w:rPr>
                <w:rFonts w:ascii="Arial" w:hAnsi="Arial" w:cs="Arial"/>
                <w:sz w:val="18"/>
                <w:szCs w:val="18"/>
              </w:rPr>
              <w:t>Cash on hand</w:t>
            </w:r>
          </w:p>
        </w:tc>
        <w:tc>
          <w:tcPr>
            <w:tcW w:w="1249" w:type="dxa"/>
            <w:tcBorders>
              <w:top w:val="nil"/>
              <w:left w:val="nil"/>
              <w:bottom w:val="nil"/>
              <w:right w:val="nil"/>
            </w:tcBorders>
            <w:shd w:val="clear" w:color="FFFFFF" w:fill="FFFFFF"/>
            <w:noWrap/>
            <w:vAlign w:val="bottom"/>
            <w:hideMark/>
          </w:tcPr>
          <w:p w14:paraId="65908272" w14:textId="77777777" w:rsidR="00A43992" w:rsidRDefault="00A43992" w:rsidP="007211E3">
            <w:pPr>
              <w:jc w:val="right"/>
              <w:rPr>
                <w:rFonts w:ascii="Arial" w:hAnsi="Arial" w:cs="Arial"/>
                <w:b/>
                <w:bCs/>
                <w:sz w:val="18"/>
                <w:szCs w:val="18"/>
              </w:rPr>
            </w:pPr>
            <w:r>
              <w:rPr>
                <w:rFonts w:ascii="Arial" w:hAnsi="Arial" w:cs="Arial"/>
                <w:b/>
                <w:bCs/>
                <w:sz w:val="18"/>
                <w:szCs w:val="18"/>
              </w:rPr>
              <w:t>145,294</w:t>
            </w:r>
          </w:p>
        </w:tc>
        <w:tc>
          <w:tcPr>
            <w:tcW w:w="236" w:type="dxa"/>
            <w:tcBorders>
              <w:top w:val="nil"/>
              <w:left w:val="nil"/>
              <w:bottom w:val="nil"/>
              <w:right w:val="nil"/>
            </w:tcBorders>
            <w:shd w:val="clear" w:color="FFFFFF" w:fill="FFFFFF"/>
            <w:noWrap/>
            <w:vAlign w:val="bottom"/>
            <w:hideMark/>
          </w:tcPr>
          <w:p w14:paraId="73E929C6" w14:textId="77777777" w:rsidR="00A43992" w:rsidRDefault="00A43992" w:rsidP="007211E3">
            <w:pPr>
              <w:rPr>
                <w:rFonts w:ascii="Arial" w:hAnsi="Arial" w:cs="Arial"/>
                <w:sz w:val="18"/>
                <w:szCs w:val="18"/>
              </w:rPr>
            </w:pPr>
            <w:r>
              <w:rPr>
                <w:rFonts w:ascii="Arial" w:hAnsi="Arial" w:cs="Arial"/>
                <w:sz w:val="18"/>
                <w:szCs w:val="18"/>
              </w:rPr>
              <w:t> </w:t>
            </w:r>
          </w:p>
        </w:tc>
        <w:tc>
          <w:tcPr>
            <w:tcW w:w="1249" w:type="dxa"/>
            <w:tcBorders>
              <w:top w:val="nil"/>
              <w:left w:val="nil"/>
              <w:bottom w:val="nil"/>
              <w:right w:val="nil"/>
            </w:tcBorders>
            <w:shd w:val="clear" w:color="FFFFFF" w:fill="FFFFFF"/>
            <w:noWrap/>
            <w:vAlign w:val="bottom"/>
            <w:hideMark/>
          </w:tcPr>
          <w:p w14:paraId="52F49361" w14:textId="77777777" w:rsidR="00A43992" w:rsidRDefault="00A43992" w:rsidP="007211E3">
            <w:pPr>
              <w:jc w:val="right"/>
              <w:rPr>
                <w:rFonts w:ascii="Arial" w:hAnsi="Arial" w:cs="Arial"/>
                <w:sz w:val="18"/>
                <w:szCs w:val="18"/>
              </w:rPr>
            </w:pPr>
            <w:r>
              <w:rPr>
                <w:rFonts w:ascii="Arial" w:hAnsi="Arial" w:cs="Arial"/>
                <w:sz w:val="18"/>
                <w:szCs w:val="18"/>
              </w:rPr>
              <w:t>37,482</w:t>
            </w:r>
          </w:p>
        </w:tc>
      </w:tr>
      <w:tr w:rsidR="00A43992" w14:paraId="2F1F9C2F" w14:textId="77777777" w:rsidTr="007211E3">
        <w:trPr>
          <w:trHeight w:val="255"/>
        </w:trPr>
        <w:tc>
          <w:tcPr>
            <w:tcW w:w="6353" w:type="dxa"/>
            <w:tcBorders>
              <w:top w:val="nil"/>
              <w:left w:val="nil"/>
              <w:bottom w:val="nil"/>
              <w:right w:val="nil"/>
            </w:tcBorders>
            <w:shd w:val="clear" w:color="FFFFFF" w:fill="FFFFFF"/>
            <w:vAlign w:val="bottom"/>
            <w:hideMark/>
          </w:tcPr>
          <w:p w14:paraId="65A1E328" w14:textId="77777777" w:rsidR="00A43992" w:rsidRDefault="00A43992" w:rsidP="007211E3">
            <w:pPr>
              <w:rPr>
                <w:rFonts w:ascii="Arial" w:hAnsi="Arial" w:cs="Arial"/>
                <w:sz w:val="18"/>
                <w:szCs w:val="18"/>
              </w:rPr>
            </w:pPr>
            <w:r>
              <w:rPr>
                <w:rFonts w:ascii="Arial" w:hAnsi="Arial" w:cs="Arial"/>
                <w:sz w:val="18"/>
                <w:szCs w:val="18"/>
              </w:rPr>
              <w:t>Term deposits</w:t>
            </w:r>
          </w:p>
        </w:tc>
        <w:tc>
          <w:tcPr>
            <w:tcW w:w="1249" w:type="dxa"/>
            <w:tcBorders>
              <w:top w:val="nil"/>
              <w:left w:val="nil"/>
              <w:bottom w:val="nil"/>
              <w:right w:val="nil"/>
            </w:tcBorders>
            <w:shd w:val="clear" w:color="FFFFFF" w:fill="FFFFFF"/>
            <w:noWrap/>
            <w:vAlign w:val="bottom"/>
            <w:hideMark/>
          </w:tcPr>
          <w:p w14:paraId="0E94713E" w14:textId="77777777" w:rsidR="00A43992" w:rsidRDefault="00A43992" w:rsidP="007211E3">
            <w:pPr>
              <w:jc w:val="right"/>
              <w:rPr>
                <w:rFonts w:ascii="Arial" w:hAnsi="Arial" w:cs="Arial"/>
                <w:b/>
                <w:bCs/>
                <w:sz w:val="18"/>
                <w:szCs w:val="18"/>
              </w:rPr>
            </w:pPr>
            <w:r>
              <w:rPr>
                <w:rFonts w:ascii="Arial" w:hAnsi="Arial" w:cs="Arial"/>
                <w:b/>
                <w:bCs/>
                <w:sz w:val="18"/>
                <w:szCs w:val="18"/>
              </w:rPr>
              <w:t>161,136</w:t>
            </w:r>
          </w:p>
        </w:tc>
        <w:tc>
          <w:tcPr>
            <w:tcW w:w="236" w:type="dxa"/>
            <w:tcBorders>
              <w:top w:val="nil"/>
              <w:left w:val="nil"/>
              <w:bottom w:val="nil"/>
              <w:right w:val="nil"/>
            </w:tcBorders>
            <w:shd w:val="clear" w:color="FFFFFF" w:fill="FFFFFF"/>
            <w:noWrap/>
            <w:vAlign w:val="bottom"/>
            <w:hideMark/>
          </w:tcPr>
          <w:p w14:paraId="6FC906BA" w14:textId="77777777" w:rsidR="00A43992" w:rsidRDefault="00A43992" w:rsidP="007211E3">
            <w:pPr>
              <w:rPr>
                <w:rFonts w:ascii="Arial" w:hAnsi="Arial" w:cs="Arial"/>
                <w:sz w:val="18"/>
                <w:szCs w:val="18"/>
              </w:rPr>
            </w:pPr>
            <w:r>
              <w:rPr>
                <w:rFonts w:ascii="Arial" w:hAnsi="Arial" w:cs="Arial"/>
                <w:sz w:val="18"/>
                <w:szCs w:val="18"/>
              </w:rPr>
              <w:t> </w:t>
            </w:r>
          </w:p>
        </w:tc>
        <w:tc>
          <w:tcPr>
            <w:tcW w:w="1249" w:type="dxa"/>
            <w:tcBorders>
              <w:top w:val="nil"/>
              <w:left w:val="nil"/>
              <w:bottom w:val="nil"/>
              <w:right w:val="nil"/>
            </w:tcBorders>
            <w:shd w:val="clear" w:color="FFFFFF" w:fill="FFFFFF"/>
            <w:noWrap/>
            <w:vAlign w:val="bottom"/>
            <w:hideMark/>
          </w:tcPr>
          <w:p w14:paraId="0E13F80C" w14:textId="77777777" w:rsidR="00A43992" w:rsidRDefault="00A43992" w:rsidP="007211E3">
            <w:pPr>
              <w:jc w:val="right"/>
              <w:rPr>
                <w:rFonts w:ascii="Arial" w:hAnsi="Arial" w:cs="Arial"/>
                <w:sz w:val="18"/>
                <w:szCs w:val="18"/>
              </w:rPr>
            </w:pPr>
            <w:r>
              <w:rPr>
                <w:rFonts w:ascii="Arial" w:hAnsi="Arial" w:cs="Arial"/>
                <w:sz w:val="18"/>
                <w:szCs w:val="18"/>
              </w:rPr>
              <w:t>99,000</w:t>
            </w:r>
          </w:p>
        </w:tc>
      </w:tr>
      <w:tr w:rsidR="00A43992" w14:paraId="21BBD6B3" w14:textId="77777777" w:rsidTr="007211E3">
        <w:trPr>
          <w:trHeight w:val="255"/>
        </w:trPr>
        <w:tc>
          <w:tcPr>
            <w:tcW w:w="6353" w:type="dxa"/>
            <w:tcBorders>
              <w:top w:val="nil"/>
              <w:left w:val="nil"/>
              <w:bottom w:val="nil"/>
              <w:right w:val="nil"/>
            </w:tcBorders>
            <w:shd w:val="clear" w:color="FFFFFF" w:fill="FFFFFF"/>
            <w:vAlign w:val="bottom"/>
            <w:hideMark/>
          </w:tcPr>
          <w:p w14:paraId="6AB776E9" w14:textId="77777777" w:rsidR="00A43992" w:rsidRDefault="00A43992" w:rsidP="007211E3">
            <w:pPr>
              <w:rPr>
                <w:rFonts w:ascii="Arial" w:hAnsi="Arial" w:cs="Arial"/>
                <w:b/>
                <w:bCs/>
                <w:sz w:val="18"/>
                <w:szCs w:val="18"/>
              </w:rPr>
            </w:pPr>
            <w:r>
              <w:rPr>
                <w:rFonts w:ascii="Arial" w:hAnsi="Arial" w:cs="Arial"/>
                <w:b/>
                <w:bCs/>
                <w:sz w:val="18"/>
                <w:szCs w:val="18"/>
              </w:rPr>
              <w:t>Total cash and cash equivalents</w:t>
            </w:r>
          </w:p>
        </w:tc>
        <w:tc>
          <w:tcPr>
            <w:tcW w:w="1249" w:type="dxa"/>
            <w:tcBorders>
              <w:top w:val="single" w:sz="4" w:space="0" w:color="auto"/>
              <w:left w:val="nil"/>
              <w:bottom w:val="single" w:sz="4" w:space="0" w:color="auto"/>
              <w:right w:val="nil"/>
            </w:tcBorders>
            <w:shd w:val="clear" w:color="FFFFFF" w:fill="FFFFFF"/>
            <w:noWrap/>
            <w:vAlign w:val="bottom"/>
            <w:hideMark/>
          </w:tcPr>
          <w:p w14:paraId="1B59BF8F" w14:textId="77777777" w:rsidR="00A43992" w:rsidRDefault="00A43992" w:rsidP="007211E3">
            <w:pPr>
              <w:jc w:val="right"/>
              <w:rPr>
                <w:rFonts w:ascii="Arial" w:hAnsi="Arial" w:cs="Arial"/>
                <w:b/>
                <w:bCs/>
                <w:sz w:val="18"/>
                <w:szCs w:val="18"/>
              </w:rPr>
            </w:pPr>
            <w:r>
              <w:rPr>
                <w:rFonts w:ascii="Arial" w:hAnsi="Arial" w:cs="Arial"/>
                <w:b/>
                <w:bCs/>
                <w:sz w:val="18"/>
                <w:szCs w:val="18"/>
              </w:rPr>
              <w:t>306,430</w:t>
            </w:r>
          </w:p>
        </w:tc>
        <w:tc>
          <w:tcPr>
            <w:tcW w:w="236" w:type="dxa"/>
            <w:tcBorders>
              <w:top w:val="nil"/>
              <w:left w:val="nil"/>
              <w:bottom w:val="nil"/>
              <w:right w:val="nil"/>
            </w:tcBorders>
            <w:shd w:val="clear" w:color="FFFFFF" w:fill="FFFFFF"/>
            <w:noWrap/>
            <w:vAlign w:val="bottom"/>
            <w:hideMark/>
          </w:tcPr>
          <w:p w14:paraId="5D168E8A" w14:textId="77777777" w:rsidR="00A43992" w:rsidRDefault="00A43992" w:rsidP="007211E3">
            <w:pPr>
              <w:rPr>
                <w:rFonts w:ascii="Arial" w:hAnsi="Arial" w:cs="Arial"/>
                <w:sz w:val="18"/>
                <w:szCs w:val="18"/>
              </w:rPr>
            </w:pPr>
            <w:r>
              <w:rPr>
                <w:rFonts w:ascii="Arial" w:hAnsi="Arial" w:cs="Arial"/>
                <w:sz w:val="18"/>
                <w:szCs w:val="18"/>
              </w:rPr>
              <w:t> </w:t>
            </w:r>
          </w:p>
        </w:tc>
        <w:tc>
          <w:tcPr>
            <w:tcW w:w="1249" w:type="dxa"/>
            <w:tcBorders>
              <w:top w:val="single" w:sz="4" w:space="0" w:color="auto"/>
              <w:left w:val="nil"/>
              <w:bottom w:val="single" w:sz="4" w:space="0" w:color="auto"/>
              <w:right w:val="nil"/>
            </w:tcBorders>
            <w:shd w:val="clear" w:color="FFFFFF" w:fill="FFFFFF"/>
            <w:noWrap/>
            <w:vAlign w:val="bottom"/>
            <w:hideMark/>
          </w:tcPr>
          <w:p w14:paraId="456729CF" w14:textId="77777777" w:rsidR="00A43992" w:rsidRDefault="00A43992" w:rsidP="007211E3">
            <w:pPr>
              <w:jc w:val="right"/>
              <w:rPr>
                <w:rFonts w:ascii="Arial" w:hAnsi="Arial" w:cs="Arial"/>
                <w:sz w:val="18"/>
                <w:szCs w:val="18"/>
              </w:rPr>
            </w:pPr>
            <w:r>
              <w:rPr>
                <w:rFonts w:ascii="Arial" w:hAnsi="Arial" w:cs="Arial"/>
                <w:sz w:val="18"/>
                <w:szCs w:val="18"/>
              </w:rPr>
              <w:t>136,482</w:t>
            </w:r>
          </w:p>
        </w:tc>
      </w:tr>
    </w:tbl>
    <w:p w14:paraId="3E28451A" w14:textId="77777777" w:rsidR="00A43992" w:rsidRDefault="00A43992" w:rsidP="00A43992"/>
    <w:p w14:paraId="29EFD981" w14:textId="512F44A1" w:rsidR="00A43992" w:rsidRPr="00F47522" w:rsidRDefault="00A43992" w:rsidP="00A43992">
      <w:pPr>
        <w:pStyle w:val="PolicytextDept"/>
        <w:outlineLvl w:val="0"/>
        <w:rPr>
          <w:b/>
          <w:sz w:val="24"/>
          <w:szCs w:val="24"/>
        </w:rPr>
      </w:pPr>
      <w:r w:rsidRPr="00F47522">
        <w:rPr>
          <w:b/>
        </w:rPr>
        <w:t>Accounting Policy</w:t>
      </w:r>
    </w:p>
    <w:p w14:paraId="7177E248" w14:textId="77777777" w:rsidR="00A43992" w:rsidRDefault="00A43992" w:rsidP="00A43992">
      <w:pPr>
        <w:pStyle w:val="PolicytextDept"/>
      </w:pPr>
      <w:r w:rsidRPr="00F47522">
        <w:t xml:space="preserve">Cash is recognised at its nominal amount and recorded in the Statement of Financial Position. Cash and cash equivalents include cash on hand and term deposits in bank accounts with an original maturity of three months or less that are readily convertible to known amounts of cash and subject to insignificant risk of changes in value. </w:t>
      </w:r>
      <w:r>
        <w:t>Term deposits with original maturity greater than three months are classified as other financial assets (refer to note 2.1C).</w:t>
      </w:r>
    </w:p>
    <w:p w14:paraId="1F30DBBE" w14:textId="77777777" w:rsidR="00A43992" w:rsidRPr="005E5430" w:rsidRDefault="00A43992" w:rsidP="00A43992"/>
    <w:tbl>
      <w:tblPr>
        <w:tblW w:w="9087" w:type="dxa"/>
        <w:tblInd w:w="80" w:type="dxa"/>
        <w:tblLayout w:type="fixed"/>
        <w:tblLook w:val="04A0" w:firstRow="1" w:lastRow="0" w:firstColumn="1" w:lastColumn="0" w:noHBand="0" w:noVBand="1"/>
      </w:tblPr>
      <w:tblGrid>
        <w:gridCol w:w="6353"/>
        <w:gridCol w:w="1249"/>
        <w:gridCol w:w="236"/>
        <w:gridCol w:w="1249"/>
      </w:tblGrid>
      <w:tr w:rsidR="00A43992" w14:paraId="31EADFF0" w14:textId="77777777" w:rsidTr="007211E3">
        <w:trPr>
          <w:trHeight w:val="255"/>
        </w:trPr>
        <w:tc>
          <w:tcPr>
            <w:tcW w:w="6353" w:type="dxa"/>
            <w:tcBorders>
              <w:top w:val="nil"/>
              <w:left w:val="nil"/>
              <w:bottom w:val="nil"/>
              <w:right w:val="nil"/>
            </w:tcBorders>
            <w:shd w:val="clear" w:color="FFFFFF" w:fill="FFFFFF"/>
            <w:noWrap/>
            <w:vAlign w:val="bottom"/>
            <w:hideMark/>
          </w:tcPr>
          <w:p w14:paraId="306ADDF8" w14:textId="77777777" w:rsidR="00A43992" w:rsidRDefault="00A43992" w:rsidP="007211E3">
            <w:pPr>
              <w:rPr>
                <w:rFonts w:ascii="Arial" w:hAnsi="Arial" w:cs="Arial"/>
                <w:b/>
                <w:bCs/>
                <w:sz w:val="18"/>
                <w:szCs w:val="18"/>
                <w:u w:val="single"/>
              </w:rPr>
            </w:pPr>
            <w:bookmarkStart w:id="243" w:name="Note_RECTABLE1" w:colFirst="0" w:colLast="0"/>
            <w:r>
              <w:rPr>
                <w:rFonts w:ascii="Arial" w:hAnsi="Arial" w:cs="Arial"/>
                <w:b/>
                <w:bCs/>
                <w:sz w:val="18"/>
                <w:szCs w:val="18"/>
                <w:u w:val="single"/>
              </w:rPr>
              <w:t>Note 2.1B: Trade and other receivables</w:t>
            </w:r>
          </w:p>
        </w:tc>
        <w:tc>
          <w:tcPr>
            <w:tcW w:w="1249" w:type="dxa"/>
            <w:tcBorders>
              <w:top w:val="nil"/>
              <w:left w:val="nil"/>
              <w:bottom w:val="nil"/>
              <w:right w:val="nil"/>
            </w:tcBorders>
            <w:shd w:val="clear" w:color="FFFFFF" w:fill="FFFFFF"/>
            <w:noWrap/>
            <w:vAlign w:val="bottom"/>
            <w:hideMark/>
          </w:tcPr>
          <w:p w14:paraId="0ED233AF" w14:textId="77777777" w:rsidR="00A43992" w:rsidRDefault="00A43992" w:rsidP="007211E3">
            <w:pPr>
              <w:rPr>
                <w:rFonts w:ascii="Arial" w:hAnsi="Arial" w:cs="Arial"/>
                <w:sz w:val="18"/>
                <w:szCs w:val="18"/>
              </w:rPr>
            </w:pPr>
            <w:r>
              <w:rPr>
                <w:rFonts w:ascii="Arial" w:hAnsi="Arial" w:cs="Arial"/>
                <w:sz w:val="18"/>
                <w:szCs w:val="18"/>
              </w:rPr>
              <w:t> </w:t>
            </w:r>
          </w:p>
        </w:tc>
        <w:tc>
          <w:tcPr>
            <w:tcW w:w="236" w:type="dxa"/>
            <w:tcBorders>
              <w:top w:val="nil"/>
              <w:left w:val="nil"/>
              <w:bottom w:val="nil"/>
              <w:right w:val="nil"/>
            </w:tcBorders>
            <w:shd w:val="clear" w:color="FFFFFF" w:fill="FFFFFF"/>
            <w:noWrap/>
            <w:vAlign w:val="bottom"/>
            <w:hideMark/>
          </w:tcPr>
          <w:p w14:paraId="31158A15" w14:textId="77777777" w:rsidR="00A43992" w:rsidRDefault="00A43992" w:rsidP="007211E3">
            <w:pPr>
              <w:rPr>
                <w:rFonts w:ascii="Arial" w:hAnsi="Arial" w:cs="Arial"/>
                <w:sz w:val="18"/>
                <w:szCs w:val="18"/>
              </w:rPr>
            </w:pPr>
            <w:r>
              <w:rPr>
                <w:rFonts w:ascii="Arial" w:hAnsi="Arial" w:cs="Arial"/>
                <w:sz w:val="18"/>
                <w:szCs w:val="18"/>
              </w:rPr>
              <w:t> </w:t>
            </w:r>
          </w:p>
        </w:tc>
        <w:tc>
          <w:tcPr>
            <w:tcW w:w="1249" w:type="dxa"/>
            <w:tcBorders>
              <w:top w:val="nil"/>
              <w:left w:val="nil"/>
              <w:bottom w:val="nil"/>
              <w:right w:val="nil"/>
            </w:tcBorders>
            <w:shd w:val="clear" w:color="FFFFFF" w:fill="FFFFFF"/>
            <w:noWrap/>
            <w:vAlign w:val="bottom"/>
            <w:hideMark/>
          </w:tcPr>
          <w:p w14:paraId="225F0260" w14:textId="77777777" w:rsidR="00A43992" w:rsidRDefault="00A43992" w:rsidP="007211E3">
            <w:pPr>
              <w:rPr>
                <w:rFonts w:ascii="Arial" w:hAnsi="Arial" w:cs="Arial"/>
                <w:sz w:val="18"/>
                <w:szCs w:val="18"/>
              </w:rPr>
            </w:pPr>
            <w:r>
              <w:rPr>
                <w:rFonts w:ascii="Arial" w:hAnsi="Arial" w:cs="Arial"/>
                <w:sz w:val="18"/>
                <w:szCs w:val="18"/>
              </w:rPr>
              <w:t> </w:t>
            </w:r>
          </w:p>
        </w:tc>
      </w:tr>
      <w:bookmarkEnd w:id="243"/>
      <w:tr w:rsidR="00A43992" w14:paraId="4F034CDD" w14:textId="77777777" w:rsidTr="007211E3">
        <w:trPr>
          <w:trHeight w:val="255"/>
        </w:trPr>
        <w:tc>
          <w:tcPr>
            <w:tcW w:w="6353" w:type="dxa"/>
            <w:tcBorders>
              <w:top w:val="nil"/>
              <w:left w:val="nil"/>
              <w:bottom w:val="nil"/>
              <w:right w:val="nil"/>
            </w:tcBorders>
            <w:shd w:val="clear" w:color="FFFFFF" w:fill="FFFFFF"/>
            <w:vAlign w:val="bottom"/>
            <w:hideMark/>
          </w:tcPr>
          <w:p w14:paraId="1A9DC378" w14:textId="77777777" w:rsidR="00A43992" w:rsidRDefault="00A43992" w:rsidP="007211E3">
            <w:pPr>
              <w:rPr>
                <w:rFonts w:ascii="Arial" w:hAnsi="Arial" w:cs="Arial"/>
                <w:b/>
                <w:bCs/>
                <w:sz w:val="18"/>
                <w:szCs w:val="18"/>
              </w:rPr>
            </w:pPr>
            <w:r>
              <w:rPr>
                <w:rFonts w:ascii="Arial" w:hAnsi="Arial" w:cs="Arial"/>
                <w:b/>
                <w:bCs/>
                <w:sz w:val="18"/>
                <w:szCs w:val="18"/>
              </w:rPr>
              <w:t>Goods and services receivables in connection with</w:t>
            </w:r>
          </w:p>
        </w:tc>
        <w:tc>
          <w:tcPr>
            <w:tcW w:w="1249" w:type="dxa"/>
            <w:tcBorders>
              <w:top w:val="nil"/>
              <w:left w:val="nil"/>
              <w:bottom w:val="nil"/>
              <w:right w:val="nil"/>
            </w:tcBorders>
            <w:shd w:val="clear" w:color="FFFFFF" w:fill="FFFFFF"/>
            <w:noWrap/>
            <w:vAlign w:val="bottom"/>
            <w:hideMark/>
          </w:tcPr>
          <w:p w14:paraId="31609ECC" w14:textId="77777777" w:rsidR="00A43992" w:rsidRDefault="00A43992" w:rsidP="007211E3">
            <w:pPr>
              <w:rPr>
                <w:rFonts w:ascii="Arial" w:hAnsi="Arial" w:cs="Arial"/>
                <w:sz w:val="18"/>
                <w:szCs w:val="18"/>
              </w:rPr>
            </w:pPr>
            <w:r>
              <w:rPr>
                <w:rFonts w:ascii="Arial" w:hAnsi="Arial" w:cs="Arial"/>
                <w:sz w:val="18"/>
                <w:szCs w:val="18"/>
              </w:rPr>
              <w:t> </w:t>
            </w:r>
          </w:p>
        </w:tc>
        <w:tc>
          <w:tcPr>
            <w:tcW w:w="236" w:type="dxa"/>
            <w:tcBorders>
              <w:top w:val="nil"/>
              <w:left w:val="nil"/>
              <w:bottom w:val="nil"/>
              <w:right w:val="nil"/>
            </w:tcBorders>
            <w:shd w:val="clear" w:color="FFFFFF" w:fill="FFFFFF"/>
            <w:noWrap/>
            <w:vAlign w:val="bottom"/>
            <w:hideMark/>
          </w:tcPr>
          <w:p w14:paraId="62B8C788" w14:textId="77777777" w:rsidR="00A43992" w:rsidRDefault="00A43992" w:rsidP="007211E3">
            <w:pPr>
              <w:rPr>
                <w:rFonts w:ascii="Arial" w:hAnsi="Arial" w:cs="Arial"/>
                <w:sz w:val="18"/>
                <w:szCs w:val="18"/>
              </w:rPr>
            </w:pPr>
            <w:r>
              <w:rPr>
                <w:rFonts w:ascii="Arial" w:hAnsi="Arial" w:cs="Arial"/>
                <w:sz w:val="18"/>
                <w:szCs w:val="18"/>
              </w:rPr>
              <w:t> </w:t>
            </w:r>
          </w:p>
        </w:tc>
        <w:tc>
          <w:tcPr>
            <w:tcW w:w="1249" w:type="dxa"/>
            <w:tcBorders>
              <w:top w:val="nil"/>
              <w:left w:val="nil"/>
              <w:bottom w:val="nil"/>
              <w:right w:val="nil"/>
            </w:tcBorders>
            <w:shd w:val="clear" w:color="FFFFFF" w:fill="FFFFFF"/>
            <w:noWrap/>
            <w:vAlign w:val="bottom"/>
            <w:hideMark/>
          </w:tcPr>
          <w:p w14:paraId="65CB9AEC" w14:textId="77777777" w:rsidR="00A43992" w:rsidRDefault="00A43992" w:rsidP="007211E3">
            <w:pPr>
              <w:rPr>
                <w:rFonts w:ascii="Arial" w:hAnsi="Arial" w:cs="Arial"/>
                <w:sz w:val="18"/>
                <w:szCs w:val="18"/>
              </w:rPr>
            </w:pPr>
            <w:r>
              <w:rPr>
                <w:rFonts w:ascii="Arial" w:hAnsi="Arial" w:cs="Arial"/>
                <w:sz w:val="18"/>
                <w:szCs w:val="18"/>
              </w:rPr>
              <w:t> </w:t>
            </w:r>
          </w:p>
        </w:tc>
      </w:tr>
      <w:tr w:rsidR="00A43992" w14:paraId="1EE35EE7" w14:textId="77777777" w:rsidTr="007211E3">
        <w:trPr>
          <w:trHeight w:val="255"/>
        </w:trPr>
        <w:tc>
          <w:tcPr>
            <w:tcW w:w="6353" w:type="dxa"/>
            <w:tcBorders>
              <w:top w:val="nil"/>
              <w:left w:val="nil"/>
              <w:bottom w:val="nil"/>
              <w:right w:val="nil"/>
            </w:tcBorders>
            <w:shd w:val="clear" w:color="FFFFFF" w:fill="FFFFFF"/>
            <w:noWrap/>
            <w:vAlign w:val="bottom"/>
            <w:hideMark/>
          </w:tcPr>
          <w:p w14:paraId="4CA8A129" w14:textId="77777777" w:rsidR="00A43992" w:rsidRDefault="00A43992" w:rsidP="007211E3">
            <w:pPr>
              <w:ind w:firstLineChars="100" w:firstLine="180"/>
              <w:rPr>
                <w:rFonts w:ascii="Arial" w:hAnsi="Arial" w:cs="Arial"/>
                <w:sz w:val="18"/>
                <w:szCs w:val="18"/>
              </w:rPr>
            </w:pPr>
            <w:r>
              <w:rPr>
                <w:rFonts w:ascii="Arial" w:hAnsi="Arial" w:cs="Arial"/>
                <w:sz w:val="18"/>
                <w:szCs w:val="18"/>
              </w:rPr>
              <w:t>Related parties</w:t>
            </w:r>
          </w:p>
        </w:tc>
        <w:tc>
          <w:tcPr>
            <w:tcW w:w="1249" w:type="dxa"/>
            <w:tcBorders>
              <w:top w:val="nil"/>
              <w:left w:val="nil"/>
              <w:bottom w:val="nil"/>
              <w:right w:val="nil"/>
            </w:tcBorders>
            <w:shd w:val="clear" w:color="FFFFFF" w:fill="FFFFFF"/>
            <w:noWrap/>
            <w:vAlign w:val="bottom"/>
            <w:hideMark/>
          </w:tcPr>
          <w:p w14:paraId="7C3B8ACA" w14:textId="77777777" w:rsidR="00A43992" w:rsidRDefault="00A43992" w:rsidP="007211E3">
            <w:pPr>
              <w:jc w:val="right"/>
              <w:rPr>
                <w:rFonts w:ascii="Arial" w:hAnsi="Arial" w:cs="Arial"/>
                <w:b/>
                <w:bCs/>
                <w:sz w:val="18"/>
                <w:szCs w:val="18"/>
              </w:rPr>
            </w:pPr>
            <w:r>
              <w:rPr>
                <w:rFonts w:ascii="Arial" w:hAnsi="Arial" w:cs="Arial"/>
                <w:b/>
                <w:bCs/>
                <w:sz w:val="18"/>
                <w:szCs w:val="18"/>
              </w:rPr>
              <w:t>12,421</w:t>
            </w:r>
          </w:p>
        </w:tc>
        <w:tc>
          <w:tcPr>
            <w:tcW w:w="236" w:type="dxa"/>
            <w:tcBorders>
              <w:top w:val="nil"/>
              <w:left w:val="nil"/>
              <w:bottom w:val="nil"/>
              <w:right w:val="nil"/>
            </w:tcBorders>
            <w:shd w:val="clear" w:color="FFFFFF" w:fill="FFFFFF"/>
            <w:noWrap/>
            <w:vAlign w:val="bottom"/>
            <w:hideMark/>
          </w:tcPr>
          <w:p w14:paraId="134872FA" w14:textId="77777777" w:rsidR="00A43992" w:rsidRDefault="00A43992" w:rsidP="007211E3">
            <w:pPr>
              <w:rPr>
                <w:rFonts w:ascii="Arial" w:hAnsi="Arial" w:cs="Arial"/>
                <w:sz w:val="18"/>
                <w:szCs w:val="18"/>
              </w:rPr>
            </w:pPr>
            <w:r>
              <w:rPr>
                <w:rFonts w:ascii="Arial" w:hAnsi="Arial" w:cs="Arial"/>
                <w:sz w:val="18"/>
                <w:szCs w:val="18"/>
              </w:rPr>
              <w:t> </w:t>
            </w:r>
          </w:p>
        </w:tc>
        <w:tc>
          <w:tcPr>
            <w:tcW w:w="1249" w:type="dxa"/>
            <w:tcBorders>
              <w:top w:val="nil"/>
              <w:left w:val="nil"/>
              <w:bottom w:val="nil"/>
              <w:right w:val="nil"/>
            </w:tcBorders>
            <w:shd w:val="clear" w:color="FFFFFF" w:fill="FFFFFF"/>
            <w:noWrap/>
            <w:vAlign w:val="bottom"/>
            <w:hideMark/>
          </w:tcPr>
          <w:p w14:paraId="5D6FA394" w14:textId="77777777" w:rsidR="00A43992" w:rsidRDefault="00A43992" w:rsidP="007211E3">
            <w:pPr>
              <w:jc w:val="right"/>
              <w:rPr>
                <w:rFonts w:ascii="Arial" w:hAnsi="Arial" w:cs="Arial"/>
                <w:sz w:val="18"/>
                <w:szCs w:val="18"/>
              </w:rPr>
            </w:pPr>
            <w:r>
              <w:rPr>
                <w:rFonts w:ascii="Arial" w:hAnsi="Arial" w:cs="Arial"/>
                <w:sz w:val="18"/>
                <w:szCs w:val="18"/>
              </w:rPr>
              <w:t>2,757</w:t>
            </w:r>
          </w:p>
        </w:tc>
      </w:tr>
      <w:tr w:rsidR="00A43992" w14:paraId="243B632E" w14:textId="77777777" w:rsidTr="007211E3">
        <w:trPr>
          <w:trHeight w:val="255"/>
        </w:trPr>
        <w:tc>
          <w:tcPr>
            <w:tcW w:w="6353" w:type="dxa"/>
            <w:tcBorders>
              <w:top w:val="nil"/>
              <w:left w:val="nil"/>
              <w:bottom w:val="nil"/>
              <w:right w:val="nil"/>
            </w:tcBorders>
            <w:shd w:val="clear" w:color="FFFFFF" w:fill="FFFFFF"/>
            <w:noWrap/>
            <w:vAlign w:val="bottom"/>
            <w:hideMark/>
          </w:tcPr>
          <w:p w14:paraId="13BC7A3E" w14:textId="77777777" w:rsidR="00A43992" w:rsidRDefault="00A43992" w:rsidP="007211E3">
            <w:pPr>
              <w:ind w:firstLineChars="100" w:firstLine="180"/>
              <w:rPr>
                <w:rFonts w:ascii="Arial" w:hAnsi="Arial" w:cs="Arial"/>
                <w:sz w:val="18"/>
                <w:szCs w:val="18"/>
              </w:rPr>
            </w:pPr>
            <w:r>
              <w:rPr>
                <w:rFonts w:ascii="Arial" w:hAnsi="Arial" w:cs="Arial"/>
                <w:sz w:val="18"/>
                <w:szCs w:val="18"/>
              </w:rPr>
              <w:t>External parties</w:t>
            </w:r>
          </w:p>
        </w:tc>
        <w:tc>
          <w:tcPr>
            <w:tcW w:w="1249" w:type="dxa"/>
            <w:tcBorders>
              <w:top w:val="nil"/>
              <w:left w:val="nil"/>
              <w:bottom w:val="nil"/>
              <w:right w:val="nil"/>
            </w:tcBorders>
            <w:shd w:val="clear" w:color="FFFFFF" w:fill="FFFFFF"/>
            <w:noWrap/>
            <w:vAlign w:val="bottom"/>
            <w:hideMark/>
          </w:tcPr>
          <w:p w14:paraId="40AA6A73" w14:textId="77777777" w:rsidR="00A43992" w:rsidRDefault="00A43992" w:rsidP="007211E3">
            <w:pPr>
              <w:jc w:val="right"/>
              <w:rPr>
                <w:rFonts w:ascii="Arial" w:hAnsi="Arial" w:cs="Arial"/>
                <w:b/>
                <w:bCs/>
                <w:sz w:val="18"/>
                <w:szCs w:val="18"/>
              </w:rPr>
            </w:pPr>
            <w:r>
              <w:rPr>
                <w:rFonts w:ascii="Arial" w:hAnsi="Arial" w:cs="Arial"/>
                <w:b/>
                <w:bCs/>
                <w:sz w:val="18"/>
                <w:szCs w:val="18"/>
              </w:rPr>
              <w:t>23,362</w:t>
            </w:r>
          </w:p>
        </w:tc>
        <w:tc>
          <w:tcPr>
            <w:tcW w:w="236" w:type="dxa"/>
            <w:tcBorders>
              <w:top w:val="nil"/>
              <w:left w:val="nil"/>
              <w:bottom w:val="nil"/>
              <w:right w:val="nil"/>
            </w:tcBorders>
            <w:shd w:val="clear" w:color="FFFFFF" w:fill="FFFFFF"/>
            <w:noWrap/>
            <w:vAlign w:val="bottom"/>
            <w:hideMark/>
          </w:tcPr>
          <w:p w14:paraId="64C29405" w14:textId="77777777" w:rsidR="00A43992" w:rsidRDefault="00A43992" w:rsidP="007211E3">
            <w:pPr>
              <w:rPr>
                <w:rFonts w:ascii="Arial" w:hAnsi="Arial" w:cs="Arial"/>
                <w:sz w:val="18"/>
                <w:szCs w:val="18"/>
              </w:rPr>
            </w:pPr>
            <w:r>
              <w:rPr>
                <w:rFonts w:ascii="Arial" w:hAnsi="Arial" w:cs="Arial"/>
                <w:sz w:val="18"/>
                <w:szCs w:val="18"/>
              </w:rPr>
              <w:t> </w:t>
            </w:r>
          </w:p>
        </w:tc>
        <w:tc>
          <w:tcPr>
            <w:tcW w:w="1249" w:type="dxa"/>
            <w:tcBorders>
              <w:top w:val="nil"/>
              <w:left w:val="nil"/>
              <w:bottom w:val="nil"/>
              <w:right w:val="nil"/>
            </w:tcBorders>
            <w:shd w:val="clear" w:color="FFFFFF" w:fill="FFFFFF"/>
            <w:noWrap/>
            <w:vAlign w:val="bottom"/>
            <w:hideMark/>
          </w:tcPr>
          <w:p w14:paraId="17B56048" w14:textId="77777777" w:rsidR="00A43992" w:rsidRDefault="00A43992" w:rsidP="007211E3">
            <w:pPr>
              <w:jc w:val="right"/>
              <w:rPr>
                <w:rFonts w:ascii="Arial" w:hAnsi="Arial" w:cs="Arial"/>
                <w:sz w:val="18"/>
                <w:szCs w:val="18"/>
              </w:rPr>
            </w:pPr>
            <w:r>
              <w:rPr>
                <w:rFonts w:ascii="Arial" w:hAnsi="Arial" w:cs="Arial"/>
                <w:sz w:val="18"/>
                <w:szCs w:val="18"/>
              </w:rPr>
              <w:t>32,814</w:t>
            </w:r>
          </w:p>
        </w:tc>
      </w:tr>
      <w:tr w:rsidR="00A43992" w14:paraId="34C00A10" w14:textId="77777777" w:rsidTr="007211E3">
        <w:trPr>
          <w:trHeight w:val="255"/>
        </w:trPr>
        <w:tc>
          <w:tcPr>
            <w:tcW w:w="6353" w:type="dxa"/>
            <w:tcBorders>
              <w:top w:val="nil"/>
              <w:left w:val="nil"/>
              <w:bottom w:val="nil"/>
              <w:right w:val="nil"/>
            </w:tcBorders>
            <w:shd w:val="clear" w:color="FFFFFF" w:fill="FFFFFF"/>
            <w:vAlign w:val="bottom"/>
            <w:hideMark/>
          </w:tcPr>
          <w:p w14:paraId="155897F5" w14:textId="77777777" w:rsidR="00A43992" w:rsidRDefault="00A43992" w:rsidP="007211E3">
            <w:pPr>
              <w:rPr>
                <w:rFonts w:ascii="Arial" w:hAnsi="Arial" w:cs="Arial"/>
                <w:b/>
                <w:bCs/>
                <w:sz w:val="18"/>
                <w:szCs w:val="18"/>
              </w:rPr>
            </w:pPr>
            <w:r>
              <w:rPr>
                <w:rFonts w:ascii="Arial" w:hAnsi="Arial" w:cs="Arial"/>
                <w:b/>
                <w:bCs/>
                <w:sz w:val="18"/>
                <w:szCs w:val="18"/>
              </w:rPr>
              <w:t>Total goods and services receivables</w:t>
            </w:r>
          </w:p>
        </w:tc>
        <w:tc>
          <w:tcPr>
            <w:tcW w:w="1249" w:type="dxa"/>
            <w:tcBorders>
              <w:top w:val="single" w:sz="4" w:space="0" w:color="auto"/>
              <w:left w:val="nil"/>
              <w:bottom w:val="single" w:sz="4" w:space="0" w:color="auto"/>
              <w:right w:val="nil"/>
            </w:tcBorders>
            <w:shd w:val="clear" w:color="FFFFFF" w:fill="FFFFFF"/>
            <w:noWrap/>
            <w:vAlign w:val="bottom"/>
            <w:hideMark/>
          </w:tcPr>
          <w:p w14:paraId="02CA46FB" w14:textId="77777777" w:rsidR="00A43992" w:rsidRDefault="00A43992" w:rsidP="007211E3">
            <w:pPr>
              <w:jc w:val="right"/>
              <w:rPr>
                <w:rFonts w:ascii="Arial" w:hAnsi="Arial" w:cs="Arial"/>
                <w:b/>
                <w:bCs/>
                <w:sz w:val="18"/>
                <w:szCs w:val="18"/>
              </w:rPr>
            </w:pPr>
            <w:r>
              <w:rPr>
                <w:rFonts w:ascii="Arial" w:hAnsi="Arial" w:cs="Arial"/>
                <w:b/>
                <w:bCs/>
                <w:sz w:val="18"/>
                <w:szCs w:val="18"/>
              </w:rPr>
              <w:t>35,783</w:t>
            </w:r>
          </w:p>
        </w:tc>
        <w:tc>
          <w:tcPr>
            <w:tcW w:w="236" w:type="dxa"/>
            <w:tcBorders>
              <w:top w:val="nil"/>
              <w:left w:val="nil"/>
              <w:bottom w:val="nil"/>
              <w:right w:val="nil"/>
            </w:tcBorders>
            <w:shd w:val="clear" w:color="FFFFFF" w:fill="FFFFFF"/>
            <w:noWrap/>
            <w:vAlign w:val="bottom"/>
            <w:hideMark/>
          </w:tcPr>
          <w:p w14:paraId="2511CEC5" w14:textId="77777777" w:rsidR="00A43992" w:rsidRDefault="00A43992" w:rsidP="007211E3">
            <w:pPr>
              <w:rPr>
                <w:rFonts w:ascii="Arial" w:hAnsi="Arial" w:cs="Arial"/>
                <w:sz w:val="18"/>
                <w:szCs w:val="18"/>
              </w:rPr>
            </w:pPr>
            <w:r>
              <w:rPr>
                <w:rFonts w:ascii="Arial" w:hAnsi="Arial" w:cs="Arial"/>
                <w:sz w:val="18"/>
                <w:szCs w:val="18"/>
              </w:rPr>
              <w:t> </w:t>
            </w:r>
          </w:p>
        </w:tc>
        <w:tc>
          <w:tcPr>
            <w:tcW w:w="1249" w:type="dxa"/>
            <w:tcBorders>
              <w:top w:val="single" w:sz="4" w:space="0" w:color="auto"/>
              <w:left w:val="nil"/>
              <w:bottom w:val="single" w:sz="4" w:space="0" w:color="auto"/>
              <w:right w:val="nil"/>
            </w:tcBorders>
            <w:shd w:val="clear" w:color="FFFFFF" w:fill="FFFFFF"/>
            <w:noWrap/>
            <w:vAlign w:val="bottom"/>
            <w:hideMark/>
          </w:tcPr>
          <w:p w14:paraId="37362F44" w14:textId="77777777" w:rsidR="00A43992" w:rsidRDefault="00A43992" w:rsidP="007211E3">
            <w:pPr>
              <w:jc w:val="right"/>
              <w:rPr>
                <w:rFonts w:ascii="Arial" w:hAnsi="Arial" w:cs="Arial"/>
                <w:sz w:val="18"/>
                <w:szCs w:val="18"/>
              </w:rPr>
            </w:pPr>
            <w:r>
              <w:rPr>
                <w:rFonts w:ascii="Arial" w:hAnsi="Arial" w:cs="Arial"/>
                <w:sz w:val="18"/>
                <w:szCs w:val="18"/>
              </w:rPr>
              <w:t>35,571</w:t>
            </w:r>
          </w:p>
        </w:tc>
      </w:tr>
      <w:tr w:rsidR="00A43992" w14:paraId="20876F17" w14:textId="77777777" w:rsidTr="007211E3">
        <w:trPr>
          <w:trHeight w:val="255"/>
        </w:trPr>
        <w:tc>
          <w:tcPr>
            <w:tcW w:w="6353" w:type="dxa"/>
            <w:tcBorders>
              <w:top w:val="nil"/>
              <w:left w:val="nil"/>
              <w:bottom w:val="nil"/>
              <w:right w:val="nil"/>
            </w:tcBorders>
            <w:shd w:val="clear" w:color="FFFFFF" w:fill="FFFFFF"/>
            <w:vAlign w:val="bottom"/>
            <w:hideMark/>
          </w:tcPr>
          <w:p w14:paraId="464ED0CB" w14:textId="77777777" w:rsidR="00A43992" w:rsidRDefault="00A43992" w:rsidP="007211E3">
            <w:pPr>
              <w:rPr>
                <w:rFonts w:ascii="Arial" w:hAnsi="Arial" w:cs="Arial"/>
                <w:b/>
                <w:bCs/>
                <w:sz w:val="18"/>
                <w:szCs w:val="18"/>
              </w:rPr>
            </w:pPr>
            <w:r>
              <w:rPr>
                <w:rFonts w:ascii="Arial" w:hAnsi="Arial" w:cs="Arial"/>
                <w:b/>
                <w:bCs/>
                <w:sz w:val="18"/>
                <w:szCs w:val="18"/>
              </w:rPr>
              <w:t> </w:t>
            </w:r>
          </w:p>
        </w:tc>
        <w:tc>
          <w:tcPr>
            <w:tcW w:w="1249" w:type="dxa"/>
            <w:tcBorders>
              <w:top w:val="nil"/>
              <w:left w:val="nil"/>
              <w:bottom w:val="nil"/>
              <w:right w:val="nil"/>
            </w:tcBorders>
            <w:shd w:val="clear" w:color="FFFFFF" w:fill="FFFFFF"/>
            <w:noWrap/>
            <w:vAlign w:val="bottom"/>
            <w:hideMark/>
          </w:tcPr>
          <w:p w14:paraId="58ACD270" w14:textId="77777777" w:rsidR="00A43992" w:rsidRDefault="00A43992" w:rsidP="007211E3">
            <w:pPr>
              <w:rPr>
                <w:rFonts w:ascii="Arial" w:hAnsi="Arial" w:cs="Arial"/>
                <w:sz w:val="18"/>
                <w:szCs w:val="18"/>
              </w:rPr>
            </w:pPr>
            <w:r>
              <w:rPr>
                <w:rFonts w:ascii="Arial" w:hAnsi="Arial" w:cs="Arial"/>
                <w:sz w:val="18"/>
                <w:szCs w:val="18"/>
              </w:rPr>
              <w:t> </w:t>
            </w:r>
          </w:p>
        </w:tc>
        <w:tc>
          <w:tcPr>
            <w:tcW w:w="236" w:type="dxa"/>
            <w:tcBorders>
              <w:top w:val="nil"/>
              <w:left w:val="nil"/>
              <w:bottom w:val="nil"/>
              <w:right w:val="nil"/>
            </w:tcBorders>
            <w:shd w:val="clear" w:color="FFFFFF" w:fill="FFFFFF"/>
            <w:noWrap/>
            <w:vAlign w:val="bottom"/>
            <w:hideMark/>
          </w:tcPr>
          <w:p w14:paraId="7911F298" w14:textId="77777777" w:rsidR="00A43992" w:rsidRDefault="00A43992" w:rsidP="007211E3">
            <w:pPr>
              <w:rPr>
                <w:rFonts w:ascii="Arial" w:hAnsi="Arial" w:cs="Arial"/>
                <w:sz w:val="18"/>
                <w:szCs w:val="18"/>
              </w:rPr>
            </w:pPr>
            <w:r>
              <w:rPr>
                <w:rFonts w:ascii="Arial" w:hAnsi="Arial" w:cs="Arial"/>
                <w:sz w:val="18"/>
                <w:szCs w:val="18"/>
              </w:rPr>
              <w:t> </w:t>
            </w:r>
          </w:p>
        </w:tc>
        <w:tc>
          <w:tcPr>
            <w:tcW w:w="1249" w:type="dxa"/>
            <w:tcBorders>
              <w:top w:val="nil"/>
              <w:left w:val="nil"/>
              <w:bottom w:val="nil"/>
              <w:right w:val="nil"/>
            </w:tcBorders>
            <w:shd w:val="clear" w:color="FFFFFF" w:fill="FFFFFF"/>
            <w:noWrap/>
            <w:vAlign w:val="bottom"/>
            <w:hideMark/>
          </w:tcPr>
          <w:p w14:paraId="40949E3D" w14:textId="77777777" w:rsidR="00A43992" w:rsidRDefault="00A43992" w:rsidP="007211E3">
            <w:pPr>
              <w:rPr>
                <w:rFonts w:ascii="Arial" w:hAnsi="Arial" w:cs="Arial"/>
                <w:sz w:val="18"/>
                <w:szCs w:val="18"/>
              </w:rPr>
            </w:pPr>
            <w:r>
              <w:rPr>
                <w:rFonts w:ascii="Arial" w:hAnsi="Arial" w:cs="Arial"/>
                <w:sz w:val="18"/>
                <w:szCs w:val="18"/>
              </w:rPr>
              <w:t> </w:t>
            </w:r>
          </w:p>
        </w:tc>
      </w:tr>
      <w:tr w:rsidR="00A43992" w14:paraId="3B423729" w14:textId="77777777" w:rsidTr="007211E3">
        <w:trPr>
          <w:trHeight w:val="255"/>
        </w:trPr>
        <w:tc>
          <w:tcPr>
            <w:tcW w:w="6353" w:type="dxa"/>
            <w:tcBorders>
              <w:top w:val="nil"/>
              <w:left w:val="nil"/>
              <w:bottom w:val="nil"/>
              <w:right w:val="nil"/>
            </w:tcBorders>
            <w:shd w:val="clear" w:color="FFFFFF" w:fill="FFFFFF"/>
            <w:vAlign w:val="bottom"/>
            <w:hideMark/>
          </w:tcPr>
          <w:p w14:paraId="06BD9289" w14:textId="77777777" w:rsidR="00A43992" w:rsidRDefault="00A43992" w:rsidP="007211E3">
            <w:pPr>
              <w:rPr>
                <w:rFonts w:ascii="Arial" w:hAnsi="Arial" w:cs="Arial"/>
                <w:b/>
                <w:bCs/>
                <w:sz w:val="18"/>
                <w:szCs w:val="18"/>
              </w:rPr>
            </w:pPr>
            <w:r>
              <w:rPr>
                <w:rFonts w:ascii="Arial" w:hAnsi="Arial" w:cs="Arial"/>
                <w:b/>
                <w:bCs/>
                <w:sz w:val="18"/>
                <w:szCs w:val="18"/>
              </w:rPr>
              <w:t>Other receivables</w:t>
            </w:r>
          </w:p>
        </w:tc>
        <w:tc>
          <w:tcPr>
            <w:tcW w:w="1249" w:type="dxa"/>
            <w:tcBorders>
              <w:top w:val="nil"/>
              <w:left w:val="nil"/>
              <w:bottom w:val="nil"/>
              <w:right w:val="nil"/>
            </w:tcBorders>
            <w:shd w:val="clear" w:color="FFFFFF" w:fill="FFFFFF"/>
            <w:noWrap/>
            <w:vAlign w:val="bottom"/>
            <w:hideMark/>
          </w:tcPr>
          <w:p w14:paraId="31AB48B1" w14:textId="77777777" w:rsidR="00A43992" w:rsidRDefault="00A43992" w:rsidP="007211E3">
            <w:pPr>
              <w:rPr>
                <w:rFonts w:ascii="Arial" w:hAnsi="Arial" w:cs="Arial"/>
                <w:sz w:val="18"/>
                <w:szCs w:val="18"/>
              </w:rPr>
            </w:pPr>
            <w:r>
              <w:rPr>
                <w:rFonts w:ascii="Arial" w:hAnsi="Arial" w:cs="Arial"/>
                <w:sz w:val="18"/>
                <w:szCs w:val="18"/>
              </w:rPr>
              <w:t> </w:t>
            </w:r>
          </w:p>
        </w:tc>
        <w:tc>
          <w:tcPr>
            <w:tcW w:w="236" w:type="dxa"/>
            <w:tcBorders>
              <w:top w:val="nil"/>
              <w:left w:val="nil"/>
              <w:bottom w:val="nil"/>
              <w:right w:val="nil"/>
            </w:tcBorders>
            <w:shd w:val="clear" w:color="FFFFFF" w:fill="FFFFFF"/>
            <w:noWrap/>
            <w:vAlign w:val="bottom"/>
            <w:hideMark/>
          </w:tcPr>
          <w:p w14:paraId="13108D9D" w14:textId="77777777" w:rsidR="00A43992" w:rsidRDefault="00A43992" w:rsidP="007211E3">
            <w:pPr>
              <w:rPr>
                <w:rFonts w:ascii="Arial" w:hAnsi="Arial" w:cs="Arial"/>
                <w:sz w:val="18"/>
                <w:szCs w:val="18"/>
              </w:rPr>
            </w:pPr>
            <w:r>
              <w:rPr>
                <w:rFonts w:ascii="Arial" w:hAnsi="Arial" w:cs="Arial"/>
                <w:sz w:val="18"/>
                <w:szCs w:val="18"/>
              </w:rPr>
              <w:t> </w:t>
            </w:r>
          </w:p>
        </w:tc>
        <w:tc>
          <w:tcPr>
            <w:tcW w:w="1249" w:type="dxa"/>
            <w:tcBorders>
              <w:top w:val="nil"/>
              <w:left w:val="nil"/>
              <w:bottom w:val="nil"/>
              <w:right w:val="nil"/>
            </w:tcBorders>
            <w:shd w:val="clear" w:color="FFFFFF" w:fill="FFFFFF"/>
            <w:noWrap/>
            <w:vAlign w:val="bottom"/>
            <w:hideMark/>
          </w:tcPr>
          <w:p w14:paraId="7D15754E" w14:textId="77777777" w:rsidR="00A43992" w:rsidRDefault="00A43992" w:rsidP="007211E3">
            <w:pPr>
              <w:rPr>
                <w:rFonts w:ascii="Arial" w:hAnsi="Arial" w:cs="Arial"/>
                <w:sz w:val="18"/>
                <w:szCs w:val="18"/>
              </w:rPr>
            </w:pPr>
            <w:r>
              <w:rPr>
                <w:rFonts w:ascii="Arial" w:hAnsi="Arial" w:cs="Arial"/>
                <w:sz w:val="18"/>
                <w:szCs w:val="18"/>
              </w:rPr>
              <w:t> </w:t>
            </w:r>
          </w:p>
        </w:tc>
      </w:tr>
      <w:tr w:rsidR="00A43992" w14:paraId="2B954644" w14:textId="77777777" w:rsidTr="007211E3">
        <w:trPr>
          <w:trHeight w:val="255"/>
        </w:trPr>
        <w:tc>
          <w:tcPr>
            <w:tcW w:w="6353" w:type="dxa"/>
            <w:tcBorders>
              <w:top w:val="nil"/>
              <w:left w:val="nil"/>
              <w:bottom w:val="nil"/>
              <w:right w:val="nil"/>
            </w:tcBorders>
            <w:shd w:val="clear" w:color="FFFFFF" w:fill="FFFFFF"/>
            <w:noWrap/>
            <w:vAlign w:val="bottom"/>
            <w:hideMark/>
          </w:tcPr>
          <w:p w14:paraId="764AE341" w14:textId="77777777" w:rsidR="00A43992" w:rsidRDefault="00A43992" w:rsidP="007211E3">
            <w:pPr>
              <w:ind w:firstLineChars="100" w:firstLine="180"/>
              <w:rPr>
                <w:rFonts w:ascii="Arial" w:hAnsi="Arial" w:cs="Arial"/>
                <w:sz w:val="18"/>
                <w:szCs w:val="18"/>
              </w:rPr>
            </w:pPr>
            <w:r>
              <w:rPr>
                <w:rFonts w:ascii="Arial" w:hAnsi="Arial" w:cs="Arial"/>
                <w:sz w:val="18"/>
                <w:szCs w:val="18"/>
              </w:rPr>
              <w:t>Statutory receivables (GST)</w:t>
            </w:r>
          </w:p>
        </w:tc>
        <w:tc>
          <w:tcPr>
            <w:tcW w:w="1249" w:type="dxa"/>
            <w:tcBorders>
              <w:top w:val="nil"/>
              <w:left w:val="nil"/>
              <w:bottom w:val="nil"/>
              <w:right w:val="nil"/>
            </w:tcBorders>
            <w:shd w:val="clear" w:color="FFFFFF" w:fill="FFFFFF"/>
            <w:noWrap/>
            <w:vAlign w:val="bottom"/>
            <w:hideMark/>
          </w:tcPr>
          <w:p w14:paraId="31FD19C5" w14:textId="77777777" w:rsidR="00A43992" w:rsidRDefault="00A43992" w:rsidP="007211E3">
            <w:pPr>
              <w:jc w:val="right"/>
              <w:rPr>
                <w:rFonts w:ascii="Arial" w:hAnsi="Arial" w:cs="Arial"/>
                <w:b/>
                <w:bCs/>
                <w:sz w:val="18"/>
                <w:szCs w:val="18"/>
              </w:rPr>
            </w:pPr>
            <w:r>
              <w:rPr>
                <w:rFonts w:ascii="Arial" w:hAnsi="Arial" w:cs="Arial"/>
                <w:b/>
                <w:bCs/>
                <w:sz w:val="18"/>
                <w:szCs w:val="18"/>
              </w:rPr>
              <w:t>1,317</w:t>
            </w:r>
          </w:p>
        </w:tc>
        <w:tc>
          <w:tcPr>
            <w:tcW w:w="236" w:type="dxa"/>
            <w:tcBorders>
              <w:top w:val="nil"/>
              <w:left w:val="nil"/>
              <w:bottom w:val="nil"/>
              <w:right w:val="nil"/>
            </w:tcBorders>
            <w:shd w:val="clear" w:color="FFFFFF" w:fill="FFFFFF"/>
            <w:noWrap/>
            <w:vAlign w:val="bottom"/>
            <w:hideMark/>
          </w:tcPr>
          <w:p w14:paraId="55D2566F" w14:textId="77777777" w:rsidR="00A43992" w:rsidRDefault="00A43992" w:rsidP="007211E3">
            <w:pPr>
              <w:rPr>
                <w:rFonts w:ascii="Arial" w:hAnsi="Arial" w:cs="Arial"/>
                <w:sz w:val="18"/>
                <w:szCs w:val="18"/>
              </w:rPr>
            </w:pPr>
            <w:r>
              <w:rPr>
                <w:rFonts w:ascii="Arial" w:hAnsi="Arial" w:cs="Arial"/>
                <w:sz w:val="18"/>
                <w:szCs w:val="18"/>
              </w:rPr>
              <w:t> </w:t>
            </w:r>
          </w:p>
        </w:tc>
        <w:tc>
          <w:tcPr>
            <w:tcW w:w="1249" w:type="dxa"/>
            <w:tcBorders>
              <w:top w:val="nil"/>
              <w:left w:val="nil"/>
              <w:bottom w:val="nil"/>
              <w:right w:val="nil"/>
            </w:tcBorders>
            <w:shd w:val="clear" w:color="FFFFFF" w:fill="FFFFFF"/>
            <w:noWrap/>
            <w:vAlign w:val="bottom"/>
            <w:hideMark/>
          </w:tcPr>
          <w:p w14:paraId="014ABF30" w14:textId="77777777" w:rsidR="00A43992" w:rsidRDefault="00A43992" w:rsidP="007211E3">
            <w:pPr>
              <w:jc w:val="right"/>
              <w:rPr>
                <w:rFonts w:ascii="Arial" w:hAnsi="Arial" w:cs="Arial"/>
                <w:sz w:val="18"/>
                <w:szCs w:val="18"/>
              </w:rPr>
            </w:pPr>
            <w:r>
              <w:rPr>
                <w:rFonts w:ascii="Arial" w:hAnsi="Arial" w:cs="Arial"/>
                <w:sz w:val="18"/>
                <w:szCs w:val="18"/>
              </w:rPr>
              <w:t>778</w:t>
            </w:r>
          </w:p>
        </w:tc>
      </w:tr>
      <w:tr w:rsidR="00A43992" w14:paraId="23E3B7DC" w14:textId="77777777" w:rsidTr="007211E3">
        <w:trPr>
          <w:trHeight w:val="270"/>
        </w:trPr>
        <w:tc>
          <w:tcPr>
            <w:tcW w:w="6353" w:type="dxa"/>
            <w:tcBorders>
              <w:top w:val="nil"/>
              <w:left w:val="nil"/>
              <w:bottom w:val="nil"/>
              <w:right w:val="nil"/>
            </w:tcBorders>
            <w:shd w:val="clear" w:color="FFFFFF" w:fill="FFFFFF"/>
            <w:noWrap/>
            <w:vAlign w:val="bottom"/>
            <w:hideMark/>
          </w:tcPr>
          <w:p w14:paraId="18B57087" w14:textId="77777777" w:rsidR="00A43992" w:rsidRDefault="00A43992" w:rsidP="007211E3">
            <w:pPr>
              <w:ind w:firstLineChars="100" w:firstLine="180"/>
              <w:rPr>
                <w:rFonts w:ascii="Arial" w:hAnsi="Arial" w:cs="Arial"/>
                <w:sz w:val="18"/>
                <w:szCs w:val="18"/>
              </w:rPr>
            </w:pPr>
            <w:r>
              <w:rPr>
                <w:rFonts w:ascii="Arial" w:hAnsi="Arial" w:cs="Arial"/>
                <w:sz w:val="18"/>
                <w:szCs w:val="18"/>
              </w:rPr>
              <w:t>Additional Scheme contributions</w:t>
            </w:r>
            <w:r>
              <w:rPr>
                <w:rFonts w:ascii="Arial" w:hAnsi="Arial" w:cs="Arial"/>
                <w:sz w:val="18"/>
                <w:szCs w:val="18"/>
                <w:vertAlign w:val="superscript"/>
              </w:rPr>
              <w:t>1</w:t>
            </w:r>
          </w:p>
        </w:tc>
        <w:tc>
          <w:tcPr>
            <w:tcW w:w="1249" w:type="dxa"/>
            <w:tcBorders>
              <w:top w:val="nil"/>
              <w:left w:val="nil"/>
              <w:bottom w:val="nil"/>
              <w:right w:val="nil"/>
            </w:tcBorders>
            <w:shd w:val="clear" w:color="FFFFFF" w:fill="FFFFFF"/>
            <w:noWrap/>
            <w:vAlign w:val="bottom"/>
            <w:hideMark/>
          </w:tcPr>
          <w:p w14:paraId="03AAB783" w14:textId="77777777" w:rsidR="00A43992" w:rsidRDefault="00A43992" w:rsidP="007211E3">
            <w:pPr>
              <w:jc w:val="right"/>
              <w:rPr>
                <w:rFonts w:ascii="Arial" w:hAnsi="Arial" w:cs="Arial"/>
                <w:b/>
                <w:bCs/>
                <w:sz w:val="18"/>
                <w:szCs w:val="18"/>
              </w:rPr>
            </w:pPr>
            <w:r w:rsidRPr="00A6297B">
              <w:rPr>
                <w:rFonts w:ascii="Arial" w:hAnsi="Arial" w:cs="Arial"/>
                <w:b/>
                <w:bCs/>
                <w:color w:val="FFC000"/>
                <w:sz w:val="18"/>
                <w:szCs w:val="18"/>
              </w:rPr>
              <w:t>-</w:t>
            </w:r>
          </w:p>
        </w:tc>
        <w:tc>
          <w:tcPr>
            <w:tcW w:w="236" w:type="dxa"/>
            <w:tcBorders>
              <w:top w:val="nil"/>
              <w:left w:val="nil"/>
              <w:bottom w:val="nil"/>
              <w:right w:val="nil"/>
            </w:tcBorders>
            <w:shd w:val="clear" w:color="FFFFFF" w:fill="FFFFFF"/>
            <w:noWrap/>
            <w:vAlign w:val="bottom"/>
            <w:hideMark/>
          </w:tcPr>
          <w:p w14:paraId="474ECADC" w14:textId="77777777" w:rsidR="00A43992" w:rsidRDefault="00A43992" w:rsidP="007211E3">
            <w:pPr>
              <w:rPr>
                <w:rFonts w:ascii="Arial" w:hAnsi="Arial" w:cs="Arial"/>
                <w:sz w:val="18"/>
                <w:szCs w:val="18"/>
              </w:rPr>
            </w:pPr>
            <w:r>
              <w:rPr>
                <w:rFonts w:ascii="Arial" w:hAnsi="Arial" w:cs="Arial"/>
                <w:sz w:val="18"/>
                <w:szCs w:val="18"/>
              </w:rPr>
              <w:t> </w:t>
            </w:r>
          </w:p>
        </w:tc>
        <w:tc>
          <w:tcPr>
            <w:tcW w:w="1249" w:type="dxa"/>
            <w:tcBorders>
              <w:top w:val="nil"/>
              <w:left w:val="nil"/>
              <w:bottom w:val="nil"/>
              <w:right w:val="nil"/>
            </w:tcBorders>
            <w:shd w:val="clear" w:color="FFFFFF" w:fill="FFFFFF"/>
            <w:noWrap/>
            <w:vAlign w:val="bottom"/>
            <w:hideMark/>
          </w:tcPr>
          <w:p w14:paraId="34C926D6" w14:textId="77777777" w:rsidR="00A43992" w:rsidRDefault="00A43992" w:rsidP="007211E3">
            <w:pPr>
              <w:jc w:val="right"/>
              <w:rPr>
                <w:rFonts w:ascii="Arial" w:hAnsi="Arial" w:cs="Arial"/>
                <w:sz w:val="18"/>
                <w:szCs w:val="18"/>
              </w:rPr>
            </w:pPr>
            <w:r>
              <w:rPr>
                <w:rFonts w:ascii="Arial" w:hAnsi="Arial" w:cs="Arial"/>
                <w:sz w:val="18"/>
                <w:szCs w:val="18"/>
              </w:rPr>
              <w:t>47,327</w:t>
            </w:r>
          </w:p>
        </w:tc>
      </w:tr>
      <w:tr w:rsidR="00A43992" w14:paraId="271B00E2" w14:textId="77777777" w:rsidTr="007211E3">
        <w:trPr>
          <w:trHeight w:val="255"/>
        </w:trPr>
        <w:tc>
          <w:tcPr>
            <w:tcW w:w="6353" w:type="dxa"/>
            <w:tcBorders>
              <w:top w:val="nil"/>
              <w:left w:val="nil"/>
              <w:bottom w:val="nil"/>
              <w:right w:val="nil"/>
            </w:tcBorders>
            <w:shd w:val="clear" w:color="FFFFFF" w:fill="FFFFFF"/>
            <w:noWrap/>
            <w:vAlign w:val="bottom"/>
            <w:hideMark/>
          </w:tcPr>
          <w:p w14:paraId="72113DC6" w14:textId="77777777" w:rsidR="00A43992" w:rsidRDefault="00A43992" w:rsidP="007211E3">
            <w:pPr>
              <w:ind w:firstLineChars="100" w:firstLine="180"/>
              <w:rPr>
                <w:rFonts w:ascii="Arial" w:hAnsi="Arial" w:cs="Arial"/>
                <w:sz w:val="18"/>
                <w:szCs w:val="18"/>
              </w:rPr>
            </w:pPr>
            <w:r>
              <w:rPr>
                <w:rFonts w:ascii="Arial" w:hAnsi="Arial" w:cs="Arial"/>
                <w:sz w:val="18"/>
                <w:szCs w:val="18"/>
              </w:rPr>
              <w:t>Other</w:t>
            </w:r>
          </w:p>
        </w:tc>
        <w:tc>
          <w:tcPr>
            <w:tcW w:w="1249" w:type="dxa"/>
            <w:tcBorders>
              <w:top w:val="nil"/>
              <w:left w:val="nil"/>
              <w:bottom w:val="nil"/>
              <w:right w:val="nil"/>
            </w:tcBorders>
            <w:shd w:val="clear" w:color="FFFFFF" w:fill="FFFFFF"/>
            <w:noWrap/>
            <w:vAlign w:val="bottom"/>
            <w:hideMark/>
          </w:tcPr>
          <w:p w14:paraId="1A7BC061" w14:textId="77777777" w:rsidR="00A43992" w:rsidRDefault="00A43992" w:rsidP="007211E3">
            <w:pPr>
              <w:jc w:val="right"/>
              <w:rPr>
                <w:rFonts w:ascii="Arial" w:hAnsi="Arial" w:cs="Arial"/>
                <w:b/>
                <w:bCs/>
                <w:sz w:val="18"/>
                <w:szCs w:val="18"/>
              </w:rPr>
            </w:pPr>
            <w:r>
              <w:rPr>
                <w:rFonts w:ascii="Arial" w:hAnsi="Arial" w:cs="Arial"/>
                <w:b/>
                <w:bCs/>
                <w:sz w:val="18"/>
                <w:szCs w:val="18"/>
              </w:rPr>
              <w:t>1,455</w:t>
            </w:r>
          </w:p>
        </w:tc>
        <w:tc>
          <w:tcPr>
            <w:tcW w:w="236" w:type="dxa"/>
            <w:tcBorders>
              <w:top w:val="nil"/>
              <w:left w:val="nil"/>
              <w:bottom w:val="nil"/>
              <w:right w:val="nil"/>
            </w:tcBorders>
            <w:shd w:val="clear" w:color="FFFFFF" w:fill="FFFFFF"/>
            <w:noWrap/>
            <w:vAlign w:val="bottom"/>
            <w:hideMark/>
          </w:tcPr>
          <w:p w14:paraId="18900F00" w14:textId="77777777" w:rsidR="00A43992" w:rsidRDefault="00A43992" w:rsidP="007211E3">
            <w:pPr>
              <w:rPr>
                <w:rFonts w:ascii="Arial" w:hAnsi="Arial" w:cs="Arial"/>
                <w:sz w:val="18"/>
                <w:szCs w:val="18"/>
              </w:rPr>
            </w:pPr>
            <w:r>
              <w:rPr>
                <w:rFonts w:ascii="Arial" w:hAnsi="Arial" w:cs="Arial"/>
                <w:sz w:val="18"/>
                <w:szCs w:val="18"/>
              </w:rPr>
              <w:t> </w:t>
            </w:r>
          </w:p>
        </w:tc>
        <w:tc>
          <w:tcPr>
            <w:tcW w:w="1249" w:type="dxa"/>
            <w:tcBorders>
              <w:top w:val="nil"/>
              <w:left w:val="nil"/>
              <w:bottom w:val="nil"/>
              <w:right w:val="nil"/>
            </w:tcBorders>
            <w:shd w:val="clear" w:color="FFFFFF" w:fill="FFFFFF"/>
            <w:noWrap/>
            <w:vAlign w:val="bottom"/>
            <w:hideMark/>
          </w:tcPr>
          <w:p w14:paraId="699C2A98" w14:textId="77777777" w:rsidR="00A43992" w:rsidRDefault="00A43992" w:rsidP="007211E3">
            <w:pPr>
              <w:jc w:val="right"/>
              <w:rPr>
                <w:rFonts w:ascii="Arial" w:hAnsi="Arial" w:cs="Arial"/>
                <w:sz w:val="18"/>
                <w:szCs w:val="18"/>
              </w:rPr>
            </w:pPr>
            <w:r>
              <w:rPr>
                <w:rFonts w:ascii="Arial" w:hAnsi="Arial" w:cs="Arial"/>
                <w:sz w:val="18"/>
                <w:szCs w:val="18"/>
              </w:rPr>
              <w:t>257</w:t>
            </w:r>
          </w:p>
        </w:tc>
      </w:tr>
      <w:tr w:rsidR="00A43992" w14:paraId="022D32A9" w14:textId="77777777" w:rsidTr="007211E3">
        <w:trPr>
          <w:trHeight w:val="255"/>
        </w:trPr>
        <w:tc>
          <w:tcPr>
            <w:tcW w:w="6353" w:type="dxa"/>
            <w:tcBorders>
              <w:top w:val="nil"/>
              <w:left w:val="nil"/>
              <w:bottom w:val="nil"/>
              <w:right w:val="nil"/>
            </w:tcBorders>
            <w:shd w:val="clear" w:color="FFFFFF" w:fill="FFFFFF"/>
            <w:vAlign w:val="bottom"/>
            <w:hideMark/>
          </w:tcPr>
          <w:p w14:paraId="51FD94A6" w14:textId="77777777" w:rsidR="00A43992" w:rsidRDefault="00A43992" w:rsidP="007211E3">
            <w:pPr>
              <w:rPr>
                <w:rFonts w:ascii="Arial" w:hAnsi="Arial" w:cs="Arial"/>
                <w:b/>
                <w:bCs/>
                <w:sz w:val="18"/>
                <w:szCs w:val="18"/>
              </w:rPr>
            </w:pPr>
            <w:r>
              <w:rPr>
                <w:rFonts w:ascii="Arial" w:hAnsi="Arial" w:cs="Arial"/>
                <w:b/>
                <w:bCs/>
                <w:sz w:val="18"/>
                <w:szCs w:val="18"/>
              </w:rPr>
              <w:t>Total other receivables</w:t>
            </w:r>
          </w:p>
        </w:tc>
        <w:tc>
          <w:tcPr>
            <w:tcW w:w="1249" w:type="dxa"/>
            <w:tcBorders>
              <w:top w:val="single" w:sz="4" w:space="0" w:color="auto"/>
              <w:left w:val="nil"/>
              <w:bottom w:val="single" w:sz="4" w:space="0" w:color="auto"/>
              <w:right w:val="nil"/>
            </w:tcBorders>
            <w:shd w:val="clear" w:color="FFFFFF" w:fill="FFFFFF"/>
            <w:noWrap/>
            <w:vAlign w:val="bottom"/>
            <w:hideMark/>
          </w:tcPr>
          <w:p w14:paraId="083C8724" w14:textId="77777777" w:rsidR="00A43992" w:rsidRDefault="00A43992" w:rsidP="007211E3">
            <w:pPr>
              <w:jc w:val="right"/>
              <w:rPr>
                <w:rFonts w:ascii="Arial" w:hAnsi="Arial" w:cs="Arial"/>
                <w:b/>
                <w:bCs/>
                <w:sz w:val="18"/>
                <w:szCs w:val="18"/>
              </w:rPr>
            </w:pPr>
            <w:r>
              <w:rPr>
                <w:rFonts w:ascii="Arial" w:hAnsi="Arial" w:cs="Arial"/>
                <w:b/>
                <w:bCs/>
                <w:sz w:val="18"/>
                <w:szCs w:val="18"/>
              </w:rPr>
              <w:t>2,772</w:t>
            </w:r>
          </w:p>
        </w:tc>
        <w:tc>
          <w:tcPr>
            <w:tcW w:w="236" w:type="dxa"/>
            <w:tcBorders>
              <w:top w:val="nil"/>
              <w:left w:val="nil"/>
              <w:bottom w:val="nil"/>
              <w:right w:val="nil"/>
            </w:tcBorders>
            <w:shd w:val="clear" w:color="FFFFFF" w:fill="FFFFFF"/>
            <w:noWrap/>
            <w:vAlign w:val="bottom"/>
            <w:hideMark/>
          </w:tcPr>
          <w:p w14:paraId="15191399" w14:textId="77777777" w:rsidR="00A43992" w:rsidRDefault="00A43992" w:rsidP="007211E3">
            <w:pPr>
              <w:rPr>
                <w:rFonts w:ascii="Arial" w:hAnsi="Arial" w:cs="Arial"/>
                <w:sz w:val="18"/>
                <w:szCs w:val="18"/>
              </w:rPr>
            </w:pPr>
            <w:r>
              <w:rPr>
                <w:rFonts w:ascii="Arial" w:hAnsi="Arial" w:cs="Arial"/>
                <w:sz w:val="18"/>
                <w:szCs w:val="18"/>
              </w:rPr>
              <w:t> </w:t>
            </w:r>
          </w:p>
        </w:tc>
        <w:tc>
          <w:tcPr>
            <w:tcW w:w="1249" w:type="dxa"/>
            <w:tcBorders>
              <w:top w:val="single" w:sz="4" w:space="0" w:color="auto"/>
              <w:left w:val="nil"/>
              <w:bottom w:val="single" w:sz="4" w:space="0" w:color="auto"/>
              <w:right w:val="nil"/>
            </w:tcBorders>
            <w:shd w:val="clear" w:color="FFFFFF" w:fill="FFFFFF"/>
            <w:noWrap/>
            <w:vAlign w:val="bottom"/>
            <w:hideMark/>
          </w:tcPr>
          <w:p w14:paraId="7E118BCD" w14:textId="77777777" w:rsidR="00A43992" w:rsidRDefault="00A43992" w:rsidP="007211E3">
            <w:pPr>
              <w:jc w:val="right"/>
              <w:rPr>
                <w:rFonts w:ascii="Arial" w:hAnsi="Arial" w:cs="Arial"/>
                <w:sz w:val="18"/>
                <w:szCs w:val="18"/>
              </w:rPr>
            </w:pPr>
            <w:r>
              <w:rPr>
                <w:rFonts w:ascii="Arial" w:hAnsi="Arial" w:cs="Arial"/>
                <w:sz w:val="18"/>
                <w:szCs w:val="18"/>
              </w:rPr>
              <w:t>48,362</w:t>
            </w:r>
          </w:p>
        </w:tc>
      </w:tr>
      <w:tr w:rsidR="00A43992" w14:paraId="265F05DE" w14:textId="77777777" w:rsidTr="007211E3">
        <w:trPr>
          <w:trHeight w:val="255"/>
        </w:trPr>
        <w:tc>
          <w:tcPr>
            <w:tcW w:w="6353" w:type="dxa"/>
            <w:tcBorders>
              <w:top w:val="nil"/>
              <w:left w:val="nil"/>
              <w:bottom w:val="nil"/>
              <w:right w:val="nil"/>
            </w:tcBorders>
            <w:shd w:val="clear" w:color="FFFFFF" w:fill="FFFFFF"/>
            <w:vAlign w:val="bottom"/>
            <w:hideMark/>
          </w:tcPr>
          <w:p w14:paraId="1AFD2230" w14:textId="77777777" w:rsidR="00A43992" w:rsidRDefault="00A43992" w:rsidP="007211E3">
            <w:pPr>
              <w:rPr>
                <w:rFonts w:ascii="Arial" w:hAnsi="Arial" w:cs="Arial"/>
                <w:b/>
                <w:bCs/>
                <w:sz w:val="18"/>
                <w:szCs w:val="18"/>
              </w:rPr>
            </w:pPr>
            <w:r>
              <w:rPr>
                <w:rFonts w:ascii="Arial" w:hAnsi="Arial" w:cs="Arial"/>
                <w:b/>
                <w:bCs/>
                <w:sz w:val="18"/>
                <w:szCs w:val="18"/>
              </w:rPr>
              <w:t>Total trade and other receivables (gross)</w:t>
            </w:r>
          </w:p>
        </w:tc>
        <w:tc>
          <w:tcPr>
            <w:tcW w:w="1249" w:type="dxa"/>
            <w:tcBorders>
              <w:top w:val="nil"/>
              <w:left w:val="nil"/>
              <w:bottom w:val="single" w:sz="4" w:space="0" w:color="auto"/>
              <w:right w:val="nil"/>
            </w:tcBorders>
            <w:shd w:val="clear" w:color="FFFFFF" w:fill="FFFFFF"/>
            <w:noWrap/>
            <w:vAlign w:val="bottom"/>
            <w:hideMark/>
          </w:tcPr>
          <w:p w14:paraId="7C154608" w14:textId="77777777" w:rsidR="00A43992" w:rsidRPr="00EE4FBB" w:rsidRDefault="00A43992" w:rsidP="007211E3">
            <w:pPr>
              <w:jc w:val="right"/>
              <w:rPr>
                <w:rFonts w:ascii="Arial" w:hAnsi="Arial" w:cs="Arial"/>
                <w:b/>
                <w:bCs/>
                <w:sz w:val="18"/>
                <w:szCs w:val="18"/>
              </w:rPr>
            </w:pPr>
            <w:r w:rsidRPr="00EE4FBB">
              <w:rPr>
                <w:rFonts w:ascii="Arial" w:hAnsi="Arial" w:cs="Arial"/>
                <w:b/>
                <w:bCs/>
                <w:sz w:val="18"/>
                <w:szCs w:val="18"/>
              </w:rPr>
              <w:t>38,555</w:t>
            </w:r>
          </w:p>
        </w:tc>
        <w:tc>
          <w:tcPr>
            <w:tcW w:w="236" w:type="dxa"/>
            <w:tcBorders>
              <w:top w:val="nil"/>
              <w:left w:val="nil"/>
              <w:bottom w:val="nil"/>
              <w:right w:val="nil"/>
            </w:tcBorders>
            <w:shd w:val="clear" w:color="FFFFFF" w:fill="FFFFFF"/>
            <w:noWrap/>
            <w:vAlign w:val="bottom"/>
            <w:hideMark/>
          </w:tcPr>
          <w:p w14:paraId="572C9365" w14:textId="77777777" w:rsidR="00A43992" w:rsidRDefault="00A43992" w:rsidP="007211E3">
            <w:pPr>
              <w:rPr>
                <w:rFonts w:ascii="Arial" w:hAnsi="Arial" w:cs="Arial"/>
                <w:sz w:val="18"/>
                <w:szCs w:val="18"/>
              </w:rPr>
            </w:pPr>
            <w:r>
              <w:rPr>
                <w:rFonts w:ascii="Arial" w:hAnsi="Arial" w:cs="Arial"/>
                <w:sz w:val="18"/>
                <w:szCs w:val="18"/>
              </w:rPr>
              <w:t> </w:t>
            </w:r>
          </w:p>
        </w:tc>
        <w:tc>
          <w:tcPr>
            <w:tcW w:w="1249" w:type="dxa"/>
            <w:tcBorders>
              <w:top w:val="nil"/>
              <w:left w:val="nil"/>
              <w:bottom w:val="single" w:sz="4" w:space="0" w:color="auto"/>
              <w:right w:val="nil"/>
            </w:tcBorders>
            <w:shd w:val="clear" w:color="FFFFFF" w:fill="FFFFFF"/>
            <w:noWrap/>
            <w:vAlign w:val="bottom"/>
            <w:hideMark/>
          </w:tcPr>
          <w:p w14:paraId="641F7882" w14:textId="77777777" w:rsidR="00A43992" w:rsidRDefault="00A43992" w:rsidP="007211E3">
            <w:pPr>
              <w:jc w:val="right"/>
              <w:rPr>
                <w:rFonts w:ascii="Arial" w:hAnsi="Arial" w:cs="Arial"/>
                <w:sz w:val="18"/>
                <w:szCs w:val="18"/>
              </w:rPr>
            </w:pPr>
            <w:r>
              <w:rPr>
                <w:rFonts w:ascii="Arial" w:hAnsi="Arial" w:cs="Arial"/>
                <w:sz w:val="18"/>
                <w:szCs w:val="18"/>
              </w:rPr>
              <w:t>83,933</w:t>
            </w:r>
          </w:p>
        </w:tc>
      </w:tr>
      <w:tr w:rsidR="00A43992" w14:paraId="281C6BC7" w14:textId="77777777" w:rsidTr="007211E3">
        <w:trPr>
          <w:trHeight w:val="255"/>
        </w:trPr>
        <w:tc>
          <w:tcPr>
            <w:tcW w:w="6353" w:type="dxa"/>
            <w:tcBorders>
              <w:top w:val="nil"/>
              <w:left w:val="nil"/>
              <w:bottom w:val="nil"/>
              <w:right w:val="nil"/>
            </w:tcBorders>
            <w:shd w:val="clear" w:color="FFFFFF" w:fill="FFFFFF"/>
            <w:noWrap/>
            <w:vAlign w:val="bottom"/>
            <w:hideMark/>
          </w:tcPr>
          <w:p w14:paraId="2670EC0B" w14:textId="77777777" w:rsidR="00A43992" w:rsidRDefault="00A43992" w:rsidP="007211E3">
            <w:pPr>
              <w:rPr>
                <w:rFonts w:ascii="Arial" w:hAnsi="Arial" w:cs="Arial"/>
                <w:sz w:val="18"/>
                <w:szCs w:val="18"/>
              </w:rPr>
            </w:pPr>
            <w:r>
              <w:rPr>
                <w:rFonts w:ascii="Arial" w:hAnsi="Arial" w:cs="Arial"/>
                <w:sz w:val="18"/>
                <w:szCs w:val="18"/>
              </w:rPr>
              <w:t> </w:t>
            </w:r>
          </w:p>
        </w:tc>
        <w:tc>
          <w:tcPr>
            <w:tcW w:w="1249" w:type="dxa"/>
            <w:tcBorders>
              <w:top w:val="nil"/>
              <w:left w:val="nil"/>
              <w:bottom w:val="nil"/>
              <w:right w:val="nil"/>
            </w:tcBorders>
            <w:shd w:val="clear" w:color="FFFFFF" w:fill="FFFFFF"/>
            <w:noWrap/>
            <w:vAlign w:val="bottom"/>
            <w:hideMark/>
          </w:tcPr>
          <w:p w14:paraId="551C2608" w14:textId="77777777" w:rsidR="00A43992" w:rsidRPr="00EE4FBB" w:rsidRDefault="00A43992" w:rsidP="007211E3">
            <w:pPr>
              <w:rPr>
                <w:rFonts w:ascii="Arial" w:hAnsi="Arial" w:cs="Arial"/>
                <w:sz w:val="18"/>
                <w:szCs w:val="18"/>
              </w:rPr>
            </w:pPr>
            <w:r w:rsidRPr="00EE4FBB">
              <w:rPr>
                <w:rFonts w:ascii="Arial" w:hAnsi="Arial" w:cs="Arial"/>
                <w:sz w:val="18"/>
                <w:szCs w:val="18"/>
              </w:rPr>
              <w:t> </w:t>
            </w:r>
          </w:p>
        </w:tc>
        <w:tc>
          <w:tcPr>
            <w:tcW w:w="236" w:type="dxa"/>
            <w:tcBorders>
              <w:top w:val="nil"/>
              <w:left w:val="nil"/>
              <w:bottom w:val="nil"/>
              <w:right w:val="nil"/>
            </w:tcBorders>
            <w:shd w:val="clear" w:color="FFFFFF" w:fill="FFFFFF"/>
            <w:noWrap/>
            <w:vAlign w:val="bottom"/>
            <w:hideMark/>
          </w:tcPr>
          <w:p w14:paraId="33EBD80D" w14:textId="77777777" w:rsidR="00A43992" w:rsidRDefault="00A43992" w:rsidP="007211E3">
            <w:pPr>
              <w:rPr>
                <w:rFonts w:ascii="Arial" w:hAnsi="Arial" w:cs="Arial"/>
                <w:sz w:val="18"/>
                <w:szCs w:val="18"/>
              </w:rPr>
            </w:pPr>
            <w:r>
              <w:rPr>
                <w:rFonts w:ascii="Arial" w:hAnsi="Arial" w:cs="Arial"/>
                <w:sz w:val="18"/>
                <w:szCs w:val="18"/>
              </w:rPr>
              <w:t> </w:t>
            </w:r>
          </w:p>
        </w:tc>
        <w:tc>
          <w:tcPr>
            <w:tcW w:w="1249" w:type="dxa"/>
            <w:tcBorders>
              <w:top w:val="nil"/>
              <w:left w:val="nil"/>
              <w:bottom w:val="nil"/>
              <w:right w:val="nil"/>
            </w:tcBorders>
            <w:shd w:val="clear" w:color="FFFFFF" w:fill="FFFFFF"/>
            <w:noWrap/>
            <w:vAlign w:val="bottom"/>
            <w:hideMark/>
          </w:tcPr>
          <w:p w14:paraId="79CC27B6" w14:textId="77777777" w:rsidR="00A43992" w:rsidRDefault="00A43992" w:rsidP="007211E3">
            <w:pPr>
              <w:rPr>
                <w:rFonts w:ascii="Arial" w:hAnsi="Arial" w:cs="Arial"/>
                <w:sz w:val="18"/>
                <w:szCs w:val="18"/>
              </w:rPr>
            </w:pPr>
            <w:r>
              <w:rPr>
                <w:rFonts w:ascii="Arial" w:hAnsi="Arial" w:cs="Arial"/>
                <w:sz w:val="18"/>
                <w:szCs w:val="18"/>
              </w:rPr>
              <w:t> </w:t>
            </w:r>
          </w:p>
        </w:tc>
      </w:tr>
      <w:tr w:rsidR="00A43992" w14:paraId="53B69636" w14:textId="77777777" w:rsidTr="007211E3">
        <w:trPr>
          <w:trHeight w:val="255"/>
        </w:trPr>
        <w:tc>
          <w:tcPr>
            <w:tcW w:w="6353" w:type="dxa"/>
            <w:tcBorders>
              <w:top w:val="nil"/>
              <w:left w:val="nil"/>
              <w:bottom w:val="nil"/>
              <w:right w:val="nil"/>
            </w:tcBorders>
            <w:shd w:val="clear" w:color="FFFFFF" w:fill="FFFFFF"/>
            <w:vAlign w:val="bottom"/>
            <w:hideMark/>
          </w:tcPr>
          <w:p w14:paraId="655F721B" w14:textId="77777777" w:rsidR="00A43992" w:rsidRDefault="00A43992" w:rsidP="007211E3">
            <w:pPr>
              <w:rPr>
                <w:rFonts w:ascii="Arial" w:hAnsi="Arial" w:cs="Arial"/>
                <w:b/>
                <w:bCs/>
                <w:sz w:val="18"/>
                <w:szCs w:val="18"/>
              </w:rPr>
            </w:pPr>
            <w:r>
              <w:rPr>
                <w:rFonts w:ascii="Arial" w:hAnsi="Arial" w:cs="Arial"/>
                <w:b/>
                <w:bCs/>
                <w:sz w:val="18"/>
                <w:szCs w:val="18"/>
              </w:rPr>
              <w:t>Less impairment allowance</w:t>
            </w:r>
          </w:p>
        </w:tc>
        <w:tc>
          <w:tcPr>
            <w:tcW w:w="1249" w:type="dxa"/>
            <w:tcBorders>
              <w:top w:val="nil"/>
              <w:left w:val="nil"/>
              <w:bottom w:val="nil"/>
              <w:right w:val="nil"/>
            </w:tcBorders>
            <w:shd w:val="clear" w:color="FFFFFF" w:fill="FFFFFF"/>
            <w:noWrap/>
            <w:vAlign w:val="bottom"/>
            <w:hideMark/>
          </w:tcPr>
          <w:p w14:paraId="19A95439" w14:textId="77777777" w:rsidR="00A43992" w:rsidRPr="00EE4FBB" w:rsidRDefault="00A43992" w:rsidP="007211E3">
            <w:pPr>
              <w:rPr>
                <w:rFonts w:ascii="Arial" w:hAnsi="Arial" w:cs="Arial"/>
                <w:sz w:val="18"/>
                <w:szCs w:val="18"/>
              </w:rPr>
            </w:pPr>
            <w:r w:rsidRPr="00EE4FBB">
              <w:rPr>
                <w:rFonts w:ascii="Arial" w:hAnsi="Arial" w:cs="Arial"/>
                <w:sz w:val="18"/>
                <w:szCs w:val="18"/>
              </w:rPr>
              <w:t> </w:t>
            </w:r>
          </w:p>
        </w:tc>
        <w:tc>
          <w:tcPr>
            <w:tcW w:w="236" w:type="dxa"/>
            <w:tcBorders>
              <w:top w:val="nil"/>
              <w:left w:val="nil"/>
              <w:bottom w:val="nil"/>
              <w:right w:val="nil"/>
            </w:tcBorders>
            <w:shd w:val="clear" w:color="FFFFFF" w:fill="FFFFFF"/>
            <w:noWrap/>
            <w:vAlign w:val="bottom"/>
            <w:hideMark/>
          </w:tcPr>
          <w:p w14:paraId="1010BD17" w14:textId="77777777" w:rsidR="00A43992" w:rsidRDefault="00A43992" w:rsidP="007211E3">
            <w:pPr>
              <w:rPr>
                <w:rFonts w:ascii="Arial" w:hAnsi="Arial" w:cs="Arial"/>
                <w:sz w:val="18"/>
                <w:szCs w:val="18"/>
              </w:rPr>
            </w:pPr>
            <w:r>
              <w:rPr>
                <w:rFonts w:ascii="Arial" w:hAnsi="Arial" w:cs="Arial"/>
                <w:sz w:val="18"/>
                <w:szCs w:val="18"/>
              </w:rPr>
              <w:t> </w:t>
            </w:r>
          </w:p>
        </w:tc>
        <w:tc>
          <w:tcPr>
            <w:tcW w:w="1249" w:type="dxa"/>
            <w:tcBorders>
              <w:top w:val="nil"/>
              <w:left w:val="nil"/>
              <w:bottom w:val="nil"/>
              <w:right w:val="nil"/>
            </w:tcBorders>
            <w:shd w:val="clear" w:color="FFFFFF" w:fill="FFFFFF"/>
            <w:noWrap/>
            <w:vAlign w:val="bottom"/>
            <w:hideMark/>
          </w:tcPr>
          <w:p w14:paraId="6D32DF8A" w14:textId="77777777" w:rsidR="00A43992" w:rsidRDefault="00A43992" w:rsidP="007211E3">
            <w:pPr>
              <w:rPr>
                <w:rFonts w:ascii="Arial" w:hAnsi="Arial" w:cs="Arial"/>
                <w:sz w:val="18"/>
                <w:szCs w:val="18"/>
              </w:rPr>
            </w:pPr>
            <w:r>
              <w:rPr>
                <w:rFonts w:ascii="Arial" w:hAnsi="Arial" w:cs="Arial"/>
                <w:sz w:val="18"/>
                <w:szCs w:val="18"/>
              </w:rPr>
              <w:t> </w:t>
            </w:r>
          </w:p>
        </w:tc>
      </w:tr>
      <w:tr w:rsidR="00A43992" w14:paraId="0C3664BC" w14:textId="77777777" w:rsidTr="007211E3">
        <w:trPr>
          <w:trHeight w:val="255"/>
        </w:trPr>
        <w:tc>
          <w:tcPr>
            <w:tcW w:w="6353" w:type="dxa"/>
            <w:tcBorders>
              <w:top w:val="nil"/>
              <w:left w:val="nil"/>
              <w:bottom w:val="nil"/>
              <w:right w:val="nil"/>
            </w:tcBorders>
            <w:shd w:val="clear" w:color="FFFFFF" w:fill="FFFFFF"/>
            <w:noWrap/>
            <w:vAlign w:val="bottom"/>
            <w:hideMark/>
          </w:tcPr>
          <w:p w14:paraId="1EAD70CF" w14:textId="77777777" w:rsidR="00A43992" w:rsidRDefault="00A43992" w:rsidP="007211E3">
            <w:pPr>
              <w:ind w:firstLineChars="100" w:firstLine="180"/>
              <w:rPr>
                <w:rFonts w:ascii="Arial" w:hAnsi="Arial" w:cs="Arial"/>
                <w:sz w:val="18"/>
                <w:szCs w:val="18"/>
              </w:rPr>
            </w:pPr>
            <w:r>
              <w:rPr>
                <w:rFonts w:ascii="Arial" w:hAnsi="Arial" w:cs="Arial"/>
                <w:sz w:val="18"/>
                <w:szCs w:val="18"/>
              </w:rPr>
              <w:lastRenderedPageBreak/>
              <w:t>Goods and services</w:t>
            </w:r>
          </w:p>
        </w:tc>
        <w:tc>
          <w:tcPr>
            <w:tcW w:w="1249" w:type="dxa"/>
            <w:tcBorders>
              <w:top w:val="nil"/>
              <w:left w:val="nil"/>
              <w:bottom w:val="nil"/>
              <w:right w:val="nil"/>
            </w:tcBorders>
            <w:shd w:val="clear" w:color="FFFFFF" w:fill="FFFFFF"/>
            <w:noWrap/>
            <w:vAlign w:val="bottom"/>
            <w:hideMark/>
          </w:tcPr>
          <w:p w14:paraId="7ECD6AD8" w14:textId="77777777" w:rsidR="00A43992" w:rsidRPr="00EE4FBB" w:rsidRDefault="00A43992" w:rsidP="007211E3">
            <w:pPr>
              <w:jc w:val="right"/>
              <w:rPr>
                <w:rFonts w:ascii="Arial" w:hAnsi="Arial" w:cs="Arial"/>
                <w:b/>
                <w:bCs/>
                <w:sz w:val="18"/>
                <w:szCs w:val="18"/>
              </w:rPr>
            </w:pPr>
            <w:r w:rsidRPr="00EE4FBB">
              <w:rPr>
                <w:rFonts w:ascii="Arial" w:hAnsi="Arial" w:cs="Arial"/>
                <w:b/>
                <w:bCs/>
                <w:sz w:val="18"/>
                <w:szCs w:val="18"/>
              </w:rPr>
              <w:t>17,671</w:t>
            </w:r>
          </w:p>
        </w:tc>
        <w:tc>
          <w:tcPr>
            <w:tcW w:w="236" w:type="dxa"/>
            <w:tcBorders>
              <w:top w:val="nil"/>
              <w:left w:val="nil"/>
              <w:bottom w:val="nil"/>
              <w:right w:val="nil"/>
            </w:tcBorders>
            <w:shd w:val="clear" w:color="FFFFFF" w:fill="FFFFFF"/>
            <w:noWrap/>
            <w:vAlign w:val="bottom"/>
            <w:hideMark/>
          </w:tcPr>
          <w:p w14:paraId="2988E2C5" w14:textId="77777777" w:rsidR="00A43992" w:rsidRDefault="00A43992" w:rsidP="007211E3">
            <w:pPr>
              <w:rPr>
                <w:rFonts w:ascii="Arial" w:hAnsi="Arial" w:cs="Arial"/>
                <w:sz w:val="18"/>
                <w:szCs w:val="18"/>
              </w:rPr>
            </w:pPr>
            <w:r>
              <w:rPr>
                <w:rFonts w:ascii="Arial" w:hAnsi="Arial" w:cs="Arial"/>
                <w:sz w:val="18"/>
                <w:szCs w:val="18"/>
              </w:rPr>
              <w:t> </w:t>
            </w:r>
          </w:p>
        </w:tc>
        <w:tc>
          <w:tcPr>
            <w:tcW w:w="1249" w:type="dxa"/>
            <w:tcBorders>
              <w:top w:val="nil"/>
              <w:left w:val="nil"/>
              <w:bottom w:val="nil"/>
              <w:right w:val="nil"/>
            </w:tcBorders>
            <w:shd w:val="clear" w:color="FFFFFF" w:fill="FFFFFF"/>
            <w:noWrap/>
            <w:vAlign w:val="bottom"/>
            <w:hideMark/>
          </w:tcPr>
          <w:p w14:paraId="0370749D" w14:textId="77777777" w:rsidR="00A43992" w:rsidRDefault="00A43992" w:rsidP="007211E3">
            <w:pPr>
              <w:jc w:val="right"/>
              <w:rPr>
                <w:rFonts w:ascii="Arial" w:hAnsi="Arial" w:cs="Arial"/>
                <w:sz w:val="18"/>
                <w:szCs w:val="18"/>
              </w:rPr>
            </w:pPr>
            <w:r>
              <w:rPr>
                <w:rFonts w:ascii="Arial" w:hAnsi="Arial" w:cs="Arial"/>
                <w:sz w:val="18"/>
                <w:szCs w:val="18"/>
              </w:rPr>
              <w:t>-</w:t>
            </w:r>
          </w:p>
        </w:tc>
      </w:tr>
      <w:tr w:rsidR="00A43992" w14:paraId="124B5985" w14:textId="77777777" w:rsidTr="007211E3">
        <w:trPr>
          <w:trHeight w:val="255"/>
        </w:trPr>
        <w:tc>
          <w:tcPr>
            <w:tcW w:w="6353" w:type="dxa"/>
            <w:tcBorders>
              <w:top w:val="nil"/>
              <w:left w:val="nil"/>
              <w:bottom w:val="nil"/>
              <w:right w:val="nil"/>
            </w:tcBorders>
            <w:shd w:val="clear" w:color="FFFFFF" w:fill="FFFFFF"/>
            <w:vAlign w:val="bottom"/>
            <w:hideMark/>
          </w:tcPr>
          <w:p w14:paraId="1DC32E88" w14:textId="77777777" w:rsidR="00A43992" w:rsidRDefault="00A43992" w:rsidP="007211E3">
            <w:pPr>
              <w:rPr>
                <w:rFonts w:ascii="Arial" w:hAnsi="Arial" w:cs="Arial"/>
                <w:b/>
                <w:bCs/>
                <w:sz w:val="18"/>
                <w:szCs w:val="18"/>
              </w:rPr>
            </w:pPr>
            <w:r>
              <w:rPr>
                <w:rFonts w:ascii="Arial" w:hAnsi="Arial" w:cs="Arial"/>
                <w:b/>
                <w:bCs/>
                <w:sz w:val="18"/>
                <w:szCs w:val="18"/>
              </w:rPr>
              <w:t>Total impairment allowance account</w:t>
            </w:r>
          </w:p>
        </w:tc>
        <w:tc>
          <w:tcPr>
            <w:tcW w:w="1249" w:type="dxa"/>
            <w:tcBorders>
              <w:top w:val="single" w:sz="4" w:space="0" w:color="auto"/>
              <w:left w:val="nil"/>
              <w:bottom w:val="single" w:sz="4" w:space="0" w:color="auto"/>
              <w:right w:val="nil"/>
            </w:tcBorders>
            <w:shd w:val="clear" w:color="FFFFFF" w:fill="FFFFFF"/>
            <w:noWrap/>
            <w:vAlign w:val="bottom"/>
            <w:hideMark/>
          </w:tcPr>
          <w:p w14:paraId="63DCCDA7" w14:textId="77777777" w:rsidR="00A43992" w:rsidRPr="00EE4FBB" w:rsidRDefault="00A43992" w:rsidP="007211E3">
            <w:pPr>
              <w:jc w:val="right"/>
              <w:rPr>
                <w:rFonts w:ascii="Arial" w:hAnsi="Arial" w:cs="Arial"/>
                <w:b/>
                <w:bCs/>
                <w:sz w:val="18"/>
                <w:szCs w:val="18"/>
              </w:rPr>
            </w:pPr>
            <w:r w:rsidRPr="00EE4FBB">
              <w:rPr>
                <w:rFonts w:ascii="Arial" w:hAnsi="Arial" w:cs="Arial"/>
                <w:b/>
                <w:bCs/>
                <w:sz w:val="18"/>
                <w:szCs w:val="18"/>
              </w:rPr>
              <w:t>17,671</w:t>
            </w:r>
          </w:p>
        </w:tc>
        <w:tc>
          <w:tcPr>
            <w:tcW w:w="236" w:type="dxa"/>
            <w:tcBorders>
              <w:top w:val="nil"/>
              <w:left w:val="nil"/>
              <w:bottom w:val="nil"/>
              <w:right w:val="nil"/>
            </w:tcBorders>
            <w:shd w:val="clear" w:color="FFFFFF" w:fill="FFFFFF"/>
            <w:noWrap/>
            <w:vAlign w:val="bottom"/>
            <w:hideMark/>
          </w:tcPr>
          <w:p w14:paraId="28CA6CFD" w14:textId="77777777" w:rsidR="00A43992" w:rsidRDefault="00A43992" w:rsidP="007211E3">
            <w:pPr>
              <w:rPr>
                <w:rFonts w:ascii="Arial" w:hAnsi="Arial" w:cs="Arial"/>
                <w:sz w:val="18"/>
                <w:szCs w:val="18"/>
              </w:rPr>
            </w:pPr>
            <w:r>
              <w:rPr>
                <w:rFonts w:ascii="Arial" w:hAnsi="Arial" w:cs="Arial"/>
                <w:sz w:val="18"/>
                <w:szCs w:val="18"/>
              </w:rPr>
              <w:t> </w:t>
            </w:r>
          </w:p>
        </w:tc>
        <w:tc>
          <w:tcPr>
            <w:tcW w:w="1249" w:type="dxa"/>
            <w:tcBorders>
              <w:top w:val="single" w:sz="4" w:space="0" w:color="auto"/>
              <w:left w:val="nil"/>
              <w:bottom w:val="single" w:sz="4" w:space="0" w:color="auto"/>
              <w:right w:val="nil"/>
            </w:tcBorders>
            <w:shd w:val="clear" w:color="FFFFFF" w:fill="FFFFFF"/>
            <w:noWrap/>
            <w:vAlign w:val="bottom"/>
            <w:hideMark/>
          </w:tcPr>
          <w:p w14:paraId="78C40045" w14:textId="77777777" w:rsidR="00A43992" w:rsidRDefault="00A43992" w:rsidP="007211E3">
            <w:pPr>
              <w:jc w:val="right"/>
              <w:rPr>
                <w:rFonts w:ascii="Arial" w:hAnsi="Arial" w:cs="Arial"/>
                <w:sz w:val="18"/>
                <w:szCs w:val="18"/>
              </w:rPr>
            </w:pPr>
            <w:r>
              <w:rPr>
                <w:rFonts w:ascii="Arial" w:hAnsi="Arial" w:cs="Arial"/>
                <w:sz w:val="18"/>
                <w:szCs w:val="18"/>
              </w:rPr>
              <w:t>-</w:t>
            </w:r>
          </w:p>
        </w:tc>
      </w:tr>
      <w:tr w:rsidR="00A43992" w14:paraId="79B51A71" w14:textId="77777777" w:rsidTr="007211E3">
        <w:trPr>
          <w:trHeight w:val="255"/>
        </w:trPr>
        <w:tc>
          <w:tcPr>
            <w:tcW w:w="6353" w:type="dxa"/>
            <w:tcBorders>
              <w:top w:val="nil"/>
              <w:left w:val="nil"/>
              <w:bottom w:val="nil"/>
              <w:right w:val="nil"/>
            </w:tcBorders>
            <w:shd w:val="clear" w:color="FFFFFF" w:fill="FFFFFF"/>
            <w:vAlign w:val="bottom"/>
            <w:hideMark/>
          </w:tcPr>
          <w:p w14:paraId="6FB5FFEE" w14:textId="77777777" w:rsidR="00A43992" w:rsidRDefault="00A43992" w:rsidP="007211E3">
            <w:pPr>
              <w:rPr>
                <w:rFonts w:ascii="Arial" w:hAnsi="Arial" w:cs="Arial"/>
                <w:b/>
                <w:bCs/>
                <w:sz w:val="18"/>
                <w:szCs w:val="18"/>
              </w:rPr>
            </w:pPr>
            <w:r>
              <w:rPr>
                <w:rFonts w:ascii="Arial" w:hAnsi="Arial" w:cs="Arial"/>
                <w:b/>
                <w:bCs/>
                <w:sz w:val="18"/>
                <w:szCs w:val="18"/>
              </w:rPr>
              <w:t>Total trade and other receivables (net)</w:t>
            </w:r>
          </w:p>
        </w:tc>
        <w:tc>
          <w:tcPr>
            <w:tcW w:w="1249" w:type="dxa"/>
            <w:tcBorders>
              <w:top w:val="nil"/>
              <w:left w:val="nil"/>
              <w:bottom w:val="single" w:sz="4" w:space="0" w:color="auto"/>
              <w:right w:val="nil"/>
            </w:tcBorders>
            <w:shd w:val="clear" w:color="FFFFFF" w:fill="FFFFFF"/>
            <w:noWrap/>
            <w:vAlign w:val="bottom"/>
            <w:hideMark/>
          </w:tcPr>
          <w:p w14:paraId="34284BA4" w14:textId="77777777" w:rsidR="00A43992" w:rsidRDefault="00A43992" w:rsidP="007211E3">
            <w:pPr>
              <w:jc w:val="right"/>
              <w:rPr>
                <w:rFonts w:ascii="Arial" w:hAnsi="Arial" w:cs="Arial"/>
                <w:b/>
                <w:bCs/>
                <w:sz w:val="18"/>
                <w:szCs w:val="18"/>
              </w:rPr>
            </w:pPr>
            <w:r>
              <w:rPr>
                <w:rFonts w:ascii="Arial" w:hAnsi="Arial" w:cs="Arial"/>
                <w:b/>
                <w:bCs/>
                <w:sz w:val="18"/>
                <w:szCs w:val="18"/>
              </w:rPr>
              <w:t>20,884</w:t>
            </w:r>
          </w:p>
        </w:tc>
        <w:tc>
          <w:tcPr>
            <w:tcW w:w="236" w:type="dxa"/>
            <w:tcBorders>
              <w:top w:val="nil"/>
              <w:left w:val="nil"/>
              <w:bottom w:val="nil"/>
              <w:right w:val="nil"/>
            </w:tcBorders>
            <w:shd w:val="clear" w:color="FFFFFF" w:fill="FFFFFF"/>
            <w:noWrap/>
            <w:vAlign w:val="bottom"/>
            <w:hideMark/>
          </w:tcPr>
          <w:p w14:paraId="08EAA7ED" w14:textId="77777777" w:rsidR="00A43992" w:rsidRDefault="00A43992" w:rsidP="007211E3">
            <w:pPr>
              <w:rPr>
                <w:rFonts w:ascii="Arial" w:hAnsi="Arial" w:cs="Arial"/>
                <w:sz w:val="18"/>
                <w:szCs w:val="18"/>
              </w:rPr>
            </w:pPr>
            <w:r>
              <w:rPr>
                <w:rFonts w:ascii="Arial" w:hAnsi="Arial" w:cs="Arial"/>
                <w:sz w:val="18"/>
                <w:szCs w:val="18"/>
              </w:rPr>
              <w:t> </w:t>
            </w:r>
          </w:p>
        </w:tc>
        <w:tc>
          <w:tcPr>
            <w:tcW w:w="1249" w:type="dxa"/>
            <w:tcBorders>
              <w:top w:val="nil"/>
              <w:left w:val="nil"/>
              <w:bottom w:val="single" w:sz="4" w:space="0" w:color="auto"/>
              <w:right w:val="nil"/>
            </w:tcBorders>
            <w:shd w:val="clear" w:color="FFFFFF" w:fill="FFFFFF"/>
            <w:noWrap/>
            <w:vAlign w:val="bottom"/>
            <w:hideMark/>
          </w:tcPr>
          <w:p w14:paraId="2D38DE4E" w14:textId="77777777" w:rsidR="00A43992" w:rsidRDefault="00A43992" w:rsidP="007211E3">
            <w:pPr>
              <w:jc w:val="right"/>
              <w:rPr>
                <w:rFonts w:ascii="Arial" w:hAnsi="Arial" w:cs="Arial"/>
                <w:sz w:val="18"/>
                <w:szCs w:val="18"/>
              </w:rPr>
            </w:pPr>
            <w:r>
              <w:rPr>
                <w:rFonts w:ascii="Arial" w:hAnsi="Arial" w:cs="Arial"/>
                <w:sz w:val="18"/>
                <w:szCs w:val="18"/>
              </w:rPr>
              <w:t>83,933</w:t>
            </w:r>
          </w:p>
        </w:tc>
      </w:tr>
      <w:tr w:rsidR="00A43992" w14:paraId="4138CFCC" w14:textId="77777777" w:rsidTr="007211E3">
        <w:trPr>
          <w:trHeight w:val="255"/>
        </w:trPr>
        <w:tc>
          <w:tcPr>
            <w:tcW w:w="6353" w:type="dxa"/>
            <w:tcBorders>
              <w:top w:val="nil"/>
              <w:left w:val="nil"/>
              <w:bottom w:val="nil"/>
              <w:right w:val="nil"/>
            </w:tcBorders>
            <w:shd w:val="clear" w:color="FFFFFF" w:fill="FFFFFF"/>
            <w:noWrap/>
            <w:vAlign w:val="bottom"/>
            <w:hideMark/>
          </w:tcPr>
          <w:p w14:paraId="33C46586" w14:textId="77777777" w:rsidR="00A43992" w:rsidRDefault="00A43992" w:rsidP="007211E3">
            <w:pPr>
              <w:rPr>
                <w:rFonts w:ascii="Arial" w:hAnsi="Arial" w:cs="Arial"/>
                <w:sz w:val="18"/>
                <w:szCs w:val="18"/>
              </w:rPr>
            </w:pPr>
            <w:r>
              <w:rPr>
                <w:rFonts w:ascii="Arial" w:hAnsi="Arial" w:cs="Arial"/>
                <w:sz w:val="18"/>
                <w:szCs w:val="18"/>
              </w:rPr>
              <w:t> </w:t>
            </w:r>
          </w:p>
        </w:tc>
        <w:tc>
          <w:tcPr>
            <w:tcW w:w="1249" w:type="dxa"/>
            <w:tcBorders>
              <w:top w:val="nil"/>
              <w:left w:val="nil"/>
              <w:bottom w:val="nil"/>
              <w:right w:val="nil"/>
            </w:tcBorders>
            <w:shd w:val="clear" w:color="FFFFFF" w:fill="FFFFFF"/>
            <w:noWrap/>
            <w:vAlign w:val="bottom"/>
            <w:hideMark/>
          </w:tcPr>
          <w:p w14:paraId="1077A4EB" w14:textId="77777777" w:rsidR="00A43992" w:rsidRDefault="00A43992" w:rsidP="007211E3">
            <w:pPr>
              <w:rPr>
                <w:rFonts w:ascii="Arial" w:hAnsi="Arial" w:cs="Arial"/>
                <w:sz w:val="18"/>
                <w:szCs w:val="18"/>
              </w:rPr>
            </w:pPr>
            <w:r>
              <w:rPr>
                <w:rFonts w:ascii="Arial" w:hAnsi="Arial" w:cs="Arial"/>
                <w:sz w:val="18"/>
                <w:szCs w:val="18"/>
              </w:rPr>
              <w:t> </w:t>
            </w:r>
          </w:p>
        </w:tc>
        <w:tc>
          <w:tcPr>
            <w:tcW w:w="236" w:type="dxa"/>
            <w:tcBorders>
              <w:top w:val="nil"/>
              <w:left w:val="nil"/>
              <w:bottom w:val="nil"/>
              <w:right w:val="nil"/>
            </w:tcBorders>
            <w:shd w:val="clear" w:color="FFFFFF" w:fill="FFFFFF"/>
            <w:noWrap/>
            <w:vAlign w:val="bottom"/>
            <w:hideMark/>
          </w:tcPr>
          <w:p w14:paraId="58FE79AD" w14:textId="77777777" w:rsidR="00A43992" w:rsidRDefault="00A43992" w:rsidP="007211E3">
            <w:pPr>
              <w:rPr>
                <w:rFonts w:ascii="Arial" w:hAnsi="Arial" w:cs="Arial"/>
                <w:sz w:val="18"/>
                <w:szCs w:val="18"/>
              </w:rPr>
            </w:pPr>
            <w:r>
              <w:rPr>
                <w:rFonts w:ascii="Arial" w:hAnsi="Arial" w:cs="Arial"/>
                <w:sz w:val="18"/>
                <w:szCs w:val="18"/>
              </w:rPr>
              <w:t> </w:t>
            </w:r>
          </w:p>
        </w:tc>
        <w:tc>
          <w:tcPr>
            <w:tcW w:w="1249" w:type="dxa"/>
            <w:tcBorders>
              <w:top w:val="nil"/>
              <w:left w:val="nil"/>
              <w:bottom w:val="nil"/>
              <w:right w:val="nil"/>
            </w:tcBorders>
            <w:shd w:val="clear" w:color="FFFFFF" w:fill="FFFFFF"/>
            <w:noWrap/>
            <w:vAlign w:val="bottom"/>
            <w:hideMark/>
          </w:tcPr>
          <w:p w14:paraId="358EC56E" w14:textId="77777777" w:rsidR="00A43992" w:rsidRDefault="00A43992" w:rsidP="007211E3">
            <w:pPr>
              <w:rPr>
                <w:rFonts w:ascii="Arial" w:hAnsi="Arial" w:cs="Arial"/>
                <w:sz w:val="18"/>
                <w:szCs w:val="18"/>
              </w:rPr>
            </w:pPr>
            <w:r>
              <w:rPr>
                <w:rFonts w:ascii="Arial" w:hAnsi="Arial" w:cs="Arial"/>
                <w:sz w:val="18"/>
                <w:szCs w:val="18"/>
              </w:rPr>
              <w:t> </w:t>
            </w:r>
          </w:p>
        </w:tc>
      </w:tr>
      <w:tr w:rsidR="00A43992" w14:paraId="223BF084" w14:textId="77777777" w:rsidTr="007211E3">
        <w:trPr>
          <w:trHeight w:val="255"/>
        </w:trPr>
        <w:tc>
          <w:tcPr>
            <w:tcW w:w="6353" w:type="dxa"/>
            <w:tcBorders>
              <w:top w:val="nil"/>
              <w:left w:val="nil"/>
              <w:bottom w:val="nil"/>
              <w:right w:val="nil"/>
            </w:tcBorders>
            <w:shd w:val="clear" w:color="FFFFFF" w:fill="FFFFFF"/>
            <w:vAlign w:val="bottom"/>
            <w:hideMark/>
          </w:tcPr>
          <w:p w14:paraId="3B889FD9" w14:textId="77777777" w:rsidR="00A43992" w:rsidRDefault="00A43992" w:rsidP="007211E3">
            <w:pPr>
              <w:rPr>
                <w:rFonts w:ascii="Arial" w:hAnsi="Arial" w:cs="Arial"/>
                <w:b/>
                <w:bCs/>
                <w:sz w:val="18"/>
                <w:szCs w:val="18"/>
              </w:rPr>
            </w:pPr>
            <w:r>
              <w:rPr>
                <w:rFonts w:ascii="Arial" w:hAnsi="Arial" w:cs="Arial"/>
                <w:b/>
                <w:bCs/>
                <w:sz w:val="18"/>
                <w:szCs w:val="18"/>
              </w:rPr>
              <w:t>Trade and other receivables expected to be recovered</w:t>
            </w:r>
          </w:p>
        </w:tc>
        <w:tc>
          <w:tcPr>
            <w:tcW w:w="1249" w:type="dxa"/>
            <w:tcBorders>
              <w:top w:val="nil"/>
              <w:left w:val="nil"/>
              <w:bottom w:val="nil"/>
              <w:right w:val="nil"/>
            </w:tcBorders>
            <w:shd w:val="clear" w:color="FFFFFF" w:fill="FFFFFF"/>
            <w:noWrap/>
            <w:vAlign w:val="bottom"/>
            <w:hideMark/>
          </w:tcPr>
          <w:p w14:paraId="03692067" w14:textId="77777777" w:rsidR="00A43992" w:rsidRDefault="00A43992" w:rsidP="007211E3">
            <w:pPr>
              <w:rPr>
                <w:rFonts w:ascii="Arial" w:hAnsi="Arial" w:cs="Arial"/>
                <w:sz w:val="18"/>
                <w:szCs w:val="18"/>
              </w:rPr>
            </w:pPr>
            <w:r>
              <w:rPr>
                <w:rFonts w:ascii="Arial" w:hAnsi="Arial" w:cs="Arial"/>
                <w:sz w:val="18"/>
                <w:szCs w:val="18"/>
              </w:rPr>
              <w:t> </w:t>
            </w:r>
          </w:p>
        </w:tc>
        <w:tc>
          <w:tcPr>
            <w:tcW w:w="236" w:type="dxa"/>
            <w:tcBorders>
              <w:top w:val="nil"/>
              <w:left w:val="nil"/>
              <w:bottom w:val="nil"/>
              <w:right w:val="nil"/>
            </w:tcBorders>
            <w:shd w:val="clear" w:color="FFFFFF" w:fill="FFFFFF"/>
            <w:noWrap/>
            <w:vAlign w:val="bottom"/>
            <w:hideMark/>
          </w:tcPr>
          <w:p w14:paraId="730CB75A" w14:textId="77777777" w:rsidR="00A43992" w:rsidRDefault="00A43992" w:rsidP="007211E3">
            <w:pPr>
              <w:rPr>
                <w:rFonts w:ascii="Arial" w:hAnsi="Arial" w:cs="Arial"/>
                <w:sz w:val="18"/>
                <w:szCs w:val="18"/>
              </w:rPr>
            </w:pPr>
            <w:r>
              <w:rPr>
                <w:rFonts w:ascii="Arial" w:hAnsi="Arial" w:cs="Arial"/>
                <w:sz w:val="18"/>
                <w:szCs w:val="18"/>
              </w:rPr>
              <w:t> </w:t>
            </w:r>
          </w:p>
        </w:tc>
        <w:tc>
          <w:tcPr>
            <w:tcW w:w="1249" w:type="dxa"/>
            <w:tcBorders>
              <w:top w:val="nil"/>
              <w:left w:val="nil"/>
              <w:bottom w:val="nil"/>
              <w:right w:val="nil"/>
            </w:tcBorders>
            <w:shd w:val="clear" w:color="FFFFFF" w:fill="FFFFFF"/>
            <w:noWrap/>
            <w:vAlign w:val="bottom"/>
            <w:hideMark/>
          </w:tcPr>
          <w:p w14:paraId="49E2F0C7" w14:textId="77777777" w:rsidR="00A43992" w:rsidRDefault="00A43992" w:rsidP="007211E3">
            <w:pPr>
              <w:rPr>
                <w:rFonts w:ascii="Arial" w:hAnsi="Arial" w:cs="Arial"/>
                <w:sz w:val="18"/>
                <w:szCs w:val="18"/>
              </w:rPr>
            </w:pPr>
            <w:r>
              <w:rPr>
                <w:rFonts w:ascii="Arial" w:hAnsi="Arial" w:cs="Arial"/>
                <w:sz w:val="18"/>
                <w:szCs w:val="18"/>
              </w:rPr>
              <w:t> </w:t>
            </w:r>
          </w:p>
        </w:tc>
      </w:tr>
      <w:tr w:rsidR="00A43992" w14:paraId="207C18CC" w14:textId="77777777" w:rsidTr="007211E3">
        <w:trPr>
          <w:trHeight w:val="255"/>
        </w:trPr>
        <w:tc>
          <w:tcPr>
            <w:tcW w:w="6353" w:type="dxa"/>
            <w:tcBorders>
              <w:top w:val="nil"/>
              <w:left w:val="nil"/>
              <w:bottom w:val="nil"/>
              <w:right w:val="nil"/>
            </w:tcBorders>
            <w:shd w:val="clear" w:color="FFFFFF" w:fill="FFFFFF"/>
            <w:noWrap/>
            <w:vAlign w:val="bottom"/>
            <w:hideMark/>
          </w:tcPr>
          <w:p w14:paraId="7086B2D8" w14:textId="77777777" w:rsidR="00A43992" w:rsidRDefault="00A43992" w:rsidP="007211E3">
            <w:pPr>
              <w:ind w:firstLineChars="100" w:firstLine="180"/>
              <w:rPr>
                <w:rFonts w:ascii="Arial" w:hAnsi="Arial" w:cs="Arial"/>
                <w:sz w:val="18"/>
                <w:szCs w:val="18"/>
              </w:rPr>
            </w:pPr>
            <w:r>
              <w:rPr>
                <w:rFonts w:ascii="Arial" w:hAnsi="Arial" w:cs="Arial"/>
                <w:sz w:val="18"/>
                <w:szCs w:val="18"/>
              </w:rPr>
              <w:t>No more than 12 months</w:t>
            </w:r>
          </w:p>
        </w:tc>
        <w:tc>
          <w:tcPr>
            <w:tcW w:w="1249" w:type="dxa"/>
            <w:tcBorders>
              <w:top w:val="nil"/>
              <w:left w:val="nil"/>
              <w:bottom w:val="nil"/>
              <w:right w:val="nil"/>
            </w:tcBorders>
            <w:shd w:val="clear" w:color="FFFFFF" w:fill="FFFFFF"/>
            <w:noWrap/>
            <w:vAlign w:val="bottom"/>
            <w:hideMark/>
          </w:tcPr>
          <w:p w14:paraId="7A87FFD4" w14:textId="77777777" w:rsidR="00A43992" w:rsidRDefault="00A43992" w:rsidP="007211E3">
            <w:pPr>
              <w:jc w:val="right"/>
              <w:rPr>
                <w:rFonts w:ascii="Arial" w:hAnsi="Arial" w:cs="Arial"/>
                <w:b/>
                <w:bCs/>
                <w:sz w:val="18"/>
                <w:szCs w:val="18"/>
              </w:rPr>
            </w:pPr>
            <w:r>
              <w:rPr>
                <w:rFonts w:ascii="Arial" w:hAnsi="Arial" w:cs="Arial"/>
                <w:b/>
                <w:bCs/>
                <w:sz w:val="18"/>
                <w:szCs w:val="18"/>
              </w:rPr>
              <w:t>20,884</w:t>
            </w:r>
          </w:p>
        </w:tc>
        <w:tc>
          <w:tcPr>
            <w:tcW w:w="236" w:type="dxa"/>
            <w:tcBorders>
              <w:top w:val="nil"/>
              <w:left w:val="nil"/>
              <w:bottom w:val="nil"/>
              <w:right w:val="nil"/>
            </w:tcBorders>
            <w:shd w:val="clear" w:color="FFFFFF" w:fill="FFFFFF"/>
            <w:noWrap/>
            <w:vAlign w:val="bottom"/>
            <w:hideMark/>
          </w:tcPr>
          <w:p w14:paraId="4E6E4F7E" w14:textId="77777777" w:rsidR="00A43992" w:rsidRDefault="00A43992" w:rsidP="007211E3">
            <w:pPr>
              <w:rPr>
                <w:rFonts w:ascii="Arial" w:hAnsi="Arial" w:cs="Arial"/>
                <w:sz w:val="18"/>
                <w:szCs w:val="18"/>
              </w:rPr>
            </w:pPr>
            <w:r>
              <w:rPr>
                <w:rFonts w:ascii="Arial" w:hAnsi="Arial" w:cs="Arial"/>
                <w:sz w:val="18"/>
                <w:szCs w:val="18"/>
              </w:rPr>
              <w:t> </w:t>
            </w:r>
          </w:p>
        </w:tc>
        <w:tc>
          <w:tcPr>
            <w:tcW w:w="1249" w:type="dxa"/>
            <w:tcBorders>
              <w:top w:val="nil"/>
              <w:left w:val="nil"/>
              <w:bottom w:val="nil"/>
              <w:right w:val="nil"/>
            </w:tcBorders>
            <w:shd w:val="clear" w:color="FFFFFF" w:fill="FFFFFF"/>
            <w:noWrap/>
            <w:vAlign w:val="bottom"/>
            <w:hideMark/>
          </w:tcPr>
          <w:p w14:paraId="78EC68C4" w14:textId="77777777" w:rsidR="00A43992" w:rsidRDefault="00A43992" w:rsidP="007211E3">
            <w:pPr>
              <w:jc w:val="right"/>
              <w:rPr>
                <w:rFonts w:ascii="Arial" w:hAnsi="Arial" w:cs="Arial"/>
                <w:sz w:val="18"/>
                <w:szCs w:val="18"/>
              </w:rPr>
            </w:pPr>
            <w:r>
              <w:rPr>
                <w:rFonts w:ascii="Arial" w:hAnsi="Arial" w:cs="Arial"/>
                <w:sz w:val="18"/>
                <w:szCs w:val="18"/>
              </w:rPr>
              <w:t xml:space="preserve">83,933 </w:t>
            </w:r>
          </w:p>
        </w:tc>
      </w:tr>
      <w:tr w:rsidR="00A43992" w14:paraId="280AB967" w14:textId="77777777" w:rsidTr="007211E3">
        <w:trPr>
          <w:trHeight w:val="255"/>
        </w:trPr>
        <w:tc>
          <w:tcPr>
            <w:tcW w:w="6353" w:type="dxa"/>
            <w:tcBorders>
              <w:top w:val="nil"/>
              <w:left w:val="nil"/>
              <w:bottom w:val="nil"/>
              <w:right w:val="nil"/>
            </w:tcBorders>
            <w:shd w:val="clear" w:color="FFFFFF" w:fill="FFFFFF"/>
            <w:vAlign w:val="bottom"/>
            <w:hideMark/>
          </w:tcPr>
          <w:p w14:paraId="53D00BAC" w14:textId="77777777" w:rsidR="00A43992" w:rsidRDefault="00A43992" w:rsidP="007211E3">
            <w:pPr>
              <w:rPr>
                <w:rFonts w:ascii="Arial" w:hAnsi="Arial" w:cs="Arial"/>
                <w:b/>
                <w:bCs/>
                <w:sz w:val="18"/>
                <w:szCs w:val="18"/>
              </w:rPr>
            </w:pPr>
            <w:r>
              <w:rPr>
                <w:rFonts w:ascii="Arial" w:hAnsi="Arial" w:cs="Arial"/>
                <w:b/>
                <w:bCs/>
                <w:sz w:val="18"/>
                <w:szCs w:val="18"/>
              </w:rPr>
              <w:t>Total trade and other receivables (net)</w:t>
            </w:r>
          </w:p>
        </w:tc>
        <w:tc>
          <w:tcPr>
            <w:tcW w:w="1249" w:type="dxa"/>
            <w:tcBorders>
              <w:top w:val="single" w:sz="4" w:space="0" w:color="auto"/>
              <w:left w:val="nil"/>
              <w:bottom w:val="single" w:sz="4" w:space="0" w:color="auto"/>
              <w:right w:val="nil"/>
            </w:tcBorders>
            <w:shd w:val="clear" w:color="FFFFFF" w:fill="FFFFFF"/>
            <w:noWrap/>
            <w:vAlign w:val="bottom"/>
            <w:hideMark/>
          </w:tcPr>
          <w:p w14:paraId="6F5C9CD9" w14:textId="77777777" w:rsidR="00A43992" w:rsidRDefault="00A43992" w:rsidP="007211E3">
            <w:pPr>
              <w:jc w:val="right"/>
              <w:rPr>
                <w:rFonts w:ascii="Arial" w:hAnsi="Arial" w:cs="Arial"/>
                <w:b/>
                <w:bCs/>
                <w:sz w:val="18"/>
                <w:szCs w:val="18"/>
              </w:rPr>
            </w:pPr>
            <w:r>
              <w:rPr>
                <w:rFonts w:ascii="Arial" w:hAnsi="Arial" w:cs="Arial"/>
                <w:b/>
                <w:bCs/>
                <w:sz w:val="18"/>
                <w:szCs w:val="18"/>
              </w:rPr>
              <w:t>20,884</w:t>
            </w:r>
          </w:p>
        </w:tc>
        <w:tc>
          <w:tcPr>
            <w:tcW w:w="236" w:type="dxa"/>
            <w:tcBorders>
              <w:top w:val="nil"/>
              <w:left w:val="nil"/>
              <w:bottom w:val="nil"/>
              <w:right w:val="nil"/>
            </w:tcBorders>
            <w:shd w:val="clear" w:color="FFFFFF" w:fill="FFFFFF"/>
            <w:noWrap/>
            <w:vAlign w:val="bottom"/>
            <w:hideMark/>
          </w:tcPr>
          <w:p w14:paraId="4EFA2917" w14:textId="77777777" w:rsidR="00A43992" w:rsidRDefault="00A43992" w:rsidP="007211E3">
            <w:pPr>
              <w:rPr>
                <w:rFonts w:ascii="Arial" w:hAnsi="Arial" w:cs="Arial"/>
                <w:sz w:val="18"/>
                <w:szCs w:val="18"/>
              </w:rPr>
            </w:pPr>
            <w:r>
              <w:rPr>
                <w:rFonts w:ascii="Arial" w:hAnsi="Arial" w:cs="Arial"/>
                <w:sz w:val="18"/>
                <w:szCs w:val="18"/>
              </w:rPr>
              <w:t> </w:t>
            </w:r>
          </w:p>
        </w:tc>
        <w:tc>
          <w:tcPr>
            <w:tcW w:w="1249" w:type="dxa"/>
            <w:tcBorders>
              <w:top w:val="single" w:sz="4" w:space="0" w:color="auto"/>
              <w:left w:val="nil"/>
              <w:bottom w:val="single" w:sz="4" w:space="0" w:color="auto"/>
              <w:right w:val="nil"/>
            </w:tcBorders>
            <w:shd w:val="clear" w:color="FFFFFF" w:fill="FFFFFF"/>
            <w:noWrap/>
            <w:vAlign w:val="bottom"/>
            <w:hideMark/>
          </w:tcPr>
          <w:p w14:paraId="6E0745B9" w14:textId="77777777" w:rsidR="00A43992" w:rsidRDefault="00A43992" w:rsidP="007211E3">
            <w:pPr>
              <w:jc w:val="right"/>
              <w:rPr>
                <w:rFonts w:ascii="Arial" w:hAnsi="Arial" w:cs="Arial"/>
                <w:sz w:val="18"/>
                <w:szCs w:val="18"/>
              </w:rPr>
            </w:pPr>
            <w:r>
              <w:rPr>
                <w:rFonts w:ascii="Arial" w:hAnsi="Arial" w:cs="Arial"/>
                <w:sz w:val="18"/>
                <w:szCs w:val="18"/>
              </w:rPr>
              <w:t>83,933</w:t>
            </w:r>
          </w:p>
        </w:tc>
      </w:tr>
      <w:tr w:rsidR="00A43992" w14:paraId="65AF2073" w14:textId="77777777" w:rsidTr="007211E3">
        <w:trPr>
          <w:trHeight w:val="255"/>
        </w:trPr>
        <w:tc>
          <w:tcPr>
            <w:tcW w:w="6353" w:type="dxa"/>
            <w:tcBorders>
              <w:top w:val="nil"/>
              <w:left w:val="nil"/>
              <w:bottom w:val="nil"/>
              <w:right w:val="nil"/>
            </w:tcBorders>
            <w:shd w:val="clear" w:color="FFFFFF" w:fill="FFFFFF"/>
            <w:noWrap/>
            <w:vAlign w:val="bottom"/>
            <w:hideMark/>
          </w:tcPr>
          <w:p w14:paraId="3E776D2C" w14:textId="77777777" w:rsidR="00A43992" w:rsidRDefault="00A43992" w:rsidP="007211E3">
            <w:pPr>
              <w:rPr>
                <w:rFonts w:ascii="Arial" w:hAnsi="Arial" w:cs="Arial"/>
                <w:sz w:val="18"/>
                <w:szCs w:val="18"/>
              </w:rPr>
            </w:pPr>
            <w:r>
              <w:rPr>
                <w:rFonts w:ascii="Arial" w:hAnsi="Arial" w:cs="Arial"/>
                <w:sz w:val="18"/>
                <w:szCs w:val="18"/>
              </w:rPr>
              <w:t> </w:t>
            </w:r>
          </w:p>
        </w:tc>
        <w:tc>
          <w:tcPr>
            <w:tcW w:w="1249" w:type="dxa"/>
            <w:tcBorders>
              <w:top w:val="nil"/>
              <w:left w:val="nil"/>
              <w:bottom w:val="nil"/>
              <w:right w:val="nil"/>
            </w:tcBorders>
            <w:shd w:val="clear" w:color="FFFFFF" w:fill="FFFFFF"/>
            <w:noWrap/>
            <w:vAlign w:val="bottom"/>
            <w:hideMark/>
          </w:tcPr>
          <w:p w14:paraId="06A41923" w14:textId="77777777" w:rsidR="00A43992" w:rsidRDefault="00A43992" w:rsidP="007211E3">
            <w:pPr>
              <w:rPr>
                <w:rFonts w:ascii="Arial" w:hAnsi="Arial" w:cs="Arial"/>
                <w:sz w:val="18"/>
                <w:szCs w:val="18"/>
              </w:rPr>
            </w:pPr>
            <w:r>
              <w:rPr>
                <w:rFonts w:ascii="Arial" w:hAnsi="Arial" w:cs="Arial"/>
                <w:sz w:val="18"/>
                <w:szCs w:val="18"/>
              </w:rPr>
              <w:t> </w:t>
            </w:r>
          </w:p>
        </w:tc>
        <w:tc>
          <w:tcPr>
            <w:tcW w:w="236" w:type="dxa"/>
            <w:tcBorders>
              <w:top w:val="nil"/>
              <w:left w:val="nil"/>
              <w:bottom w:val="nil"/>
              <w:right w:val="nil"/>
            </w:tcBorders>
            <w:shd w:val="clear" w:color="FFFFFF" w:fill="FFFFFF"/>
            <w:noWrap/>
            <w:vAlign w:val="bottom"/>
            <w:hideMark/>
          </w:tcPr>
          <w:p w14:paraId="6065199F" w14:textId="77777777" w:rsidR="00A43992" w:rsidRDefault="00A43992" w:rsidP="007211E3">
            <w:pPr>
              <w:rPr>
                <w:rFonts w:ascii="Arial" w:hAnsi="Arial" w:cs="Arial"/>
                <w:sz w:val="18"/>
                <w:szCs w:val="18"/>
              </w:rPr>
            </w:pPr>
            <w:r>
              <w:rPr>
                <w:rFonts w:ascii="Arial" w:hAnsi="Arial" w:cs="Arial"/>
                <w:sz w:val="18"/>
                <w:szCs w:val="18"/>
              </w:rPr>
              <w:t> </w:t>
            </w:r>
          </w:p>
        </w:tc>
        <w:tc>
          <w:tcPr>
            <w:tcW w:w="1249" w:type="dxa"/>
            <w:tcBorders>
              <w:top w:val="nil"/>
              <w:left w:val="nil"/>
              <w:bottom w:val="nil"/>
              <w:right w:val="nil"/>
            </w:tcBorders>
            <w:shd w:val="clear" w:color="FFFFFF" w:fill="FFFFFF"/>
            <w:noWrap/>
            <w:vAlign w:val="bottom"/>
            <w:hideMark/>
          </w:tcPr>
          <w:p w14:paraId="2194D4A9" w14:textId="77777777" w:rsidR="00A43992" w:rsidRDefault="00A43992" w:rsidP="007211E3">
            <w:pPr>
              <w:rPr>
                <w:rFonts w:ascii="Arial" w:hAnsi="Arial" w:cs="Arial"/>
                <w:sz w:val="18"/>
                <w:szCs w:val="18"/>
              </w:rPr>
            </w:pPr>
            <w:r>
              <w:rPr>
                <w:rFonts w:ascii="Arial" w:hAnsi="Arial" w:cs="Arial"/>
                <w:sz w:val="18"/>
                <w:szCs w:val="18"/>
              </w:rPr>
              <w:t> </w:t>
            </w:r>
          </w:p>
        </w:tc>
      </w:tr>
      <w:tr w:rsidR="00A43992" w14:paraId="6DE2D979" w14:textId="77777777" w:rsidTr="007211E3">
        <w:trPr>
          <w:trHeight w:val="368"/>
        </w:trPr>
        <w:tc>
          <w:tcPr>
            <w:tcW w:w="9087" w:type="dxa"/>
            <w:gridSpan w:val="4"/>
            <w:vMerge w:val="restart"/>
            <w:tcBorders>
              <w:top w:val="nil"/>
              <w:left w:val="nil"/>
              <w:bottom w:val="nil"/>
              <w:right w:val="nil"/>
            </w:tcBorders>
            <w:shd w:val="clear" w:color="FFFFFF" w:fill="FFFFFF"/>
            <w:hideMark/>
          </w:tcPr>
          <w:p w14:paraId="0A7CB971" w14:textId="77777777" w:rsidR="00A43992" w:rsidRDefault="00A43992" w:rsidP="007211E3">
            <w:pPr>
              <w:rPr>
                <w:rFonts w:ascii="Arial" w:hAnsi="Arial" w:cs="Arial"/>
                <w:sz w:val="18"/>
                <w:szCs w:val="18"/>
              </w:rPr>
            </w:pPr>
            <w:r>
              <w:rPr>
                <w:rFonts w:ascii="Arial" w:hAnsi="Arial" w:cs="Arial"/>
                <w:sz w:val="18"/>
                <w:szCs w:val="18"/>
                <w:vertAlign w:val="superscript"/>
              </w:rPr>
              <w:t>1</w:t>
            </w:r>
            <w:r>
              <w:rPr>
                <w:rFonts w:ascii="Arial" w:hAnsi="Arial" w:cs="Arial"/>
                <w:sz w:val="18"/>
                <w:szCs w:val="18"/>
              </w:rPr>
              <w:t xml:space="preserve"> Under the Intergovernmental Agreement for the NDIS Launch, the Agency is able to seek additional cash contributions from Commonwealth, state and territory governments in respect of differences between the amount of agreed in-kind contributions and the actual in-kind services provided during the year. This reflects the fact that the Agency will be required to source equivalent services from other providers and pay for those services. </w:t>
            </w:r>
            <w:r>
              <w:rPr>
                <w:rFonts w:ascii="Arial" w:hAnsi="Arial" w:cs="Arial"/>
                <w:sz w:val="18"/>
                <w:szCs w:val="18"/>
              </w:rPr>
              <w:br/>
              <w:t xml:space="preserve">The additional cash contributions </w:t>
            </w:r>
            <w:proofErr w:type="spellStart"/>
            <w:r>
              <w:rPr>
                <w:rFonts w:ascii="Arial" w:hAnsi="Arial" w:cs="Arial"/>
                <w:sz w:val="18"/>
                <w:szCs w:val="18"/>
              </w:rPr>
              <w:t>recognised</w:t>
            </w:r>
            <w:proofErr w:type="spellEnd"/>
            <w:r>
              <w:rPr>
                <w:rFonts w:ascii="Arial" w:hAnsi="Arial" w:cs="Arial"/>
                <w:sz w:val="18"/>
                <w:szCs w:val="18"/>
              </w:rPr>
              <w:t xml:space="preserve"> at 30 June 2015 were subsequently </w:t>
            </w:r>
            <w:r w:rsidRPr="00EE4FBB">
              <w:rPr>
                <w:rFonts w:ascii="Arial" w:hAnsi="Arial" w:cs="Arial"/>
                <w:sz w:val="18"/>
                <w:szCs w:val="18"/>
              </w:rPr>
              <w:t>written-off</w:t>
            </w:r>
            <w:r>
              <w:rPr>
                <w:rFonts w:ascii="Arial" w:hAnsi="Arial" w:cs="Arial"/>
                <w:sz w:val="18"/>
                <w:szCs w:val="18"/>
              </w:rPr>
              <w:t xml:space="preserve">, reflecting the experience of a lower level of participant claims received in 2015-16 compared to the expected claims at 30 June 2015. Accordingly, the Agency believes recovery of the additional cash contributions previously </w:t>
            </w:r>
            <w:proofErr w:type="spellStart"/>
            <w:r>
              <w:rPr>
                <w:rFonts w:ascii="Arial" w:hAnsi="Arial" w:cs="Arial"/>
                <w:sz w:val="18"/>
                <w:szCs w:val="18"/>
              </w:rPr>
              <w:t>recognised</w:t>
            </w:r>
            <w:proofErr w:type="spellEnd"/>
            <w:r>
              <w:rPr>
                <w:rFonts w:ascii="Arial" w:hAnsi="Arial" w:cs="Arial"/>
                <w:sz w:val="18"/>
                <w:szCs w:val="18"/>
              </w:rPr>
              <w:t xml:space="preserve"> will no longer be required to fund participant support costs. A corresponding reduction in the participant plan provision has also been made during the year of $120.2 million.</w:t>
            </w:r>
          </w:p>
        </w:tc>
      </w:tr>
      <w:tr w:rsidR="00A43992" w14:paraId="39EE3207" w14:textId="77777777" w:rsidTr="007211E3">
        <w:trPr>
          <w:trHeight w:val="488"/>
        </w:trPr>
        <w:tc>
          <w:tcPr>
            <w:tcW w:w="9087" w:type="dxa"/>
            <w:gridSpan w:val="4"/>
            <w:vMerge/>
            <w:tcBorders>
              <w:top w:val="nil"/>
              <w:left w:val="nil"/>
              <w:bottom w:val="nil"/>
              <w:right w:val="nil"/>
            </w:tcBorders>
            <w:vAlign w:val="center"/>
            <w:hideMark/>
          </w:tcPr>
          <w:p w14:paraId="32BDE45A" w14:textId="77777777" w:rsidR="00A43992" w:rsidRDefault="00A43992" w:rsidP="007211E3">
            <w:pPr>
              <w:rPr>
                <w:rFonts w:ascii="Arial" w:hAnsi="Arial" w:cs="Arial"/>
                <w:sz w:val="18"/>
                <w:szCs w:val="18"/>
              </w:rPr>
            </w:pPr>
          </w:p>
        </w:tc>
      </w:tr>
      <w:tr w:rsidR="00A43992" w14:paraId="23F37482" w14:textId="77777777" w:rsidTr="007211E3">
        <w:trPr>
          <w:trHeight w:val="488"/>
        </w:trPr>
        <w:tc>
          <w:tcPr>
            <w:tcW w:w="9087" w:type="dxa"/>
            <w:gridSpan w:val="4"/>
            <w:vMerge/>
            <w:tcBorders>
              <w:top w:val="nil"/>
              <w:left w:val="nil"/>
              <w:bottom w:val="nil"/>
              <w:right w:val="nil"/>
            </w:tcBorders>
            <w:vAlign w:val="center"/>
            <w:hideMark/>
          </w:tcPr>
          <w:p w14:paraId="02020E83" w14:textId="77777777" w:rsidR="00A43992" w:rsidRDefault="00A43992" w:rsidP="007211E3">
            <w:pPr>
              <w:rPr>
                <w:rFonts w:ascii="Arial" w:hAnsi="Arial" w:cs="Arial"/>
                <w:sz w:val="18"/>
                <w:szCs w:val="18"/>
              </w:rPr>
            </w:pPr>
          </w:p>
        </w:tc>
      </w:tr>
      <w:tr w:rsidR="00A43992" w14:paraId="43565F73" w14:textId="77777777" w:rsidTr="007211E3">
        <w:trPr>
          <w:trHeight w:val="488"/>
        </w:trPr>
        <w:tc>
          <w:tcPr>
            <w:tcW w:w="9087" w:type="dxa"/>
            <w:gridSpan w:val="4"/>
            <w:vMerge/>
            <w:tcBorders>
              <w:top w:val="nil"/>
              <w:left w:val="nil"/>
              <w:bottom w:val="nil"/>
              <w:right w:val="nil"/>
            </w:tcBorders>
            <w:vAlign w:val="center"/>
            <w:hideMark/>
          </w:tcPr>
          <w:p w14:paraId="4DC96C8E" w14:textId="77777777" w:rsidR="00A43992" w:rsidRDefault="00A43992" w:rsidP="007211E3">
            <w:pPr>
              <w:rPr>
                <w:rFonts w:ascii="Arial" w:hAnsi="Arial" w:cs="Arial"/>
                <w:sz w:val="18"/>
                <w:szCs w:val="18"/>
              </w:rPr>
            </w:pPr>
          </w:p>
        </w:tc>
      </w:tr>
      <w:tr w:rsidR="00A43992" w14:paraId="6E5D8B80" w14:textId="77777777" w:rsidTr="007211E3">
        <w:trPr>
          <w:trHeight w:val="975"/>
        </w:trPr>
        <w:tc>
          <w:tcPr>
            <w:tcW w:w="9087" w:type="dxa"/>
            <w:gridSpan w:val="4"/>
            <w:vMerge/>
            <w:tcBorders>
              <w:top w:val="nil"/>
              <w:left w:val="nil"/>
              <w:bottom w:val="nil"/>
              <w:right w:val="nil"/>
            </w:tcBorders>
            <w:vAlign w:val="center"/>
            <w:hideMark/>
          </w:tcPr>
          <w:p w14:paraId="63988CC7" w14:textId="77777777" w:rsidR="00A43992" w:rsidRDefault="00A43992" w:rsidP="007211E3">
            <w:pPr>
              <w:rPr>
                <w:rFonts w:ascii="Arial" w:hAnsi="Arial" w:cs="Arial"/>
                <w:sz w:val="18"/>
                <w:szCs w:val="18"/>
              </w:rPr>
            </w:pPr>
          </w:p>
        </w:tc>
      </w:tr>
      <w:tr w:rsidR="00A43992" w14:paraId="288426BA" w14:textId="77777777" w:rsidTr="007211E3">
        <w:trPr>
          <w:trHeight w:val="488"/>
        </w:trPr>
        <w:tc>
          <w:tcPr>
            <w:tcW w:w="9087" w:type="dxa"/>
            <w:gridSpan w:val="4"/>
            <w:vMerge/>
            <w:tcBorders>
              <w:top w:val="nil"/>
              <w:left w:val="nil"/>
              <w:bottom w:val="nil"/>
              <w:right w:val="nil"/>
            </w:tcBorders>
            <w:vAlign w:val="center"/>
            <w:hideMark/>
          </w:tcPr>
          <w:p w14:paraId="15BDAC35" w14:textId="77777777" w:rsidR="00A43992" w:rsidRDefault="00A43992" w:rsidP="007211E3">
            <w:pPr>
              <w:rPr>
                <w:rFonts w:ascii="Arial" w:hAnsi="Arial" w:cs="Arial"/>
                <w:sz w:val="18"/>
                <w:szCs w:val="18"/>
              </w:rPr>
            </w:pPr>
          </w:p>
        </w:tc>
      </w:tr>
      <w:tr w:rsidR="00A43992" w14:paraId="300CE888" w14:textId="77777777" w:rsidTr="007211E3">
        <w:trPr>
          <w:trHeight w:val="255"/>
        </w:trPr>
        <w:tc>
          <w:tcPr>
            <w:tcW w:w="6353" w:type="dxa"/>
            <w:tcBorders>
              <w:top w:val="nil"/>
              <w:left w:val="nil"/>
              <w:bottom w:val="nil"/>
              <w:right w:val="nil"/>
            </w:tcBorders>
            <w:shd w:val="clear" w:color="FFFFFF" w:fill="FFFFFF"/>
            <w:hideMark/>
          </w:tcPr>
          <w:p w14:paraId="70CE6D42" w14:textId="77777777" w:rsidR="00A43992" w:rsidRDefault="00A43992" w:rsidP="007211E3">
            <w:pPr>
              <w:rPr>
                <w:rFonts w:ascii="Arial" w:hAnsi="Arial" w:cs="Arial"/>
                <w:sz w:val="18"/>
                <w:szCs w:val="18"/>
              </w:rPr>
            </w:pPr>
            <w:r>
              <w:rPr>
                <w:rFonts w:ascii="Arial" w:hAnsi="Arial" w:cs="Arial"/>
                <w:sz w:val="18"/>
                <w:szCs w:val="18"/>
              </w:rPr>
              <w:t> </w:t>
            </w:r>
          </w:p>
        </w:tc>
        <w:tc>
          <w:tcPr>
            <w:tcW w:w="1249" w:type="dxa"/>
            <w:tcBorders>
              <w:top w:val="nil"/>
              <w:left w:val="nil"/>
              <w:bottom w:val="nil"/>
              <w:right w:val="nil"/>
            </w:tcBorders>
            <w:shd w:val="clear" w:color="FFFFFF" w:fill="FFFFFF"/>
            <w:hideMark/>
          </w:tcPr>
          <w:p w14:paraId="3A4265F4" w14:textId="77777777" w:rsidR="00A43992" w:rsidRDefault="00A43992" w:rsidP="007211E3">
            <w:pPr>
              <w:rPr>
                <w:rFonts w:ascii="Arial" w:hAnsi="Arial" w:cs="Arial"/>
                <w:sz w:val="18"/>
                <w:szCs w:val="18"/>
              </w:rPr>
            </w:pPr>
            <w:r>
              <w:rPr>
                <w:rFonts w:ascii="Arial" w:hAnsi="Arial" w:cs="Arial"/>
                <w:sz w:val="18"/>
                <w:szCs w:val="18"/>
              </w:rPr>
              <w:t> </w:t>
            </w:r>
          </w:p>
        </w:tc>
        <w:tc>
          <w:tcPr>
            <w:tcW w:w="236" w:type="dxa"/>
            <w:tcBorders>
              <w:top w:val="nil"/>
              <w:left w:val="nil"/>
              <w:bottom w:val="nil"/>
              <w:right w:val="nil"/>
            </w:tcBorders>
            <w:shd w:val="clear" w:color="FFFFFF" w:fill="FFFFFF"/>
            <w:hideMark/>
          </w:tcPr>
          <w:p w14:paraId="204E078D" w14:textId="77777777" w:rsidR="00A43992" w:rsidRDefault="00A43992" w:rsidP="007211E3">
            <w:pPr>
              <w:rPr>
                <w:rFonts w:ascii="Arial" w:hAnsi="Arial" w:cs="Arial"/>
                <w:sz w:val="18"/>
                <w:szCs w:val="18"/>
              </w:rPr>
            </w:pPr>
            <w:r>
              <w:rPr>
                <w:rFonts w:ascii="Arial" w:hAnsi="Arial" w:cs="Arial"/>
                <w:sz w:val="18"/>
                <w:szCs w:val="18"/>
              </w:rPr>
              <w:t> </w:t>
            </w:r>
          </w:p>
        </w:tc>
        <w:tc>
          <w:tcPr>
            <w:tcW w:w="1249" w:type="dxa"/>
            <w:tcBorders>
              <w:top w:val="nil"/>
              <w:left w:val="nil"/>
              <w:bottom w:val="nil"/>
              <w:right w:val="nil"/>
            </w:tcBorders>
            <w:shd w:val="clear" w:color="FFFFFF" w:fill="FFFFFF"/>
            <w:hideMark/>
          </w:tcPr>
          <w:p w14:paraId="6C8471C1" w14:textId="77777777" w:rsidR="00A43992" w:rsidRDefault="00A43992" w:rsidP="007211E3">
            <w:pPr>
              <w:rPr>
                <w:rFonts w:ascii="Arial" w:hAnsi="Arial" w:cs="Arial"/>
                <w:sz w:val="18"/>
                <w:szCs w:val="18"/>
              </w:rPr>
            </w:pPr>
            <w:r>
              <w:rPr>
                <w:rFonts w:ascii="Arial" w:hAnsi="Arial" w:cs="Arial"/>
                <w:sz w:val="18"/>
                <w:szCs w:val="18"/>
              </w:rPr>
              <w:t> </w:t>
            </w:r>
          </w:p>
        </w:tc>
      </w:tr>
      <w:tr w:rsidR="00A43992" w14:paraId="70376119" w14:textId="77777777" w:rsidTr="007211E3">
        <w:trPr>
          <w:trHeight w:val="255"/>
        </w:trPr>
        <w:tc>
          <w:tcPr>
            <w:tcW w:w="6353" w:type="dxa"/>
            <w:tcBorders>
              <w:top w:val="nil"/>
              <w:left w:val="nil"/>
              <w:bottom w:val="nil"/>
              <w:right w:val="nil"/>
            </w:tcBorders>
            <w:shd w:val="clear" w:color="FFFFFF" w:fill="FFFFFF"/>
            <w:hideMark/>
          </w:tcPr>
          <w:p w14:paraId="7A418723" w14:textId="77777777" w:rsidR="00A43992" w:rsidRDefault="00A43992" w:rsidP="007211E3">
            <w:pPr>
              <w:rPr>
                <w:rFonts w:ascii="Arial" w:hAnsi="Arial" w:cs="Arial"/>
                <w:sz w:val="18"/>
                <w:szCs w:val="18"/>
              </w:rPr>
            </w:pPr>
            <w:r>
              <w:rPr>
                <w:rFonts w:ascii="Arial" w:hAnsi="Arial" w:cs="Arial"/>
                <w:sz w:val="18"/>
                <w:szCs w:val="18"/>
              </w:rPr>
              <w:t> </w:t>
            </w:r>
          </w:p>
        </w:tc>
        <w:tc>
          <w:tcPr>
            <w:tcW w:w="1249" w:type="dxa"/>
            <w:tcBorders>
              <w:top w:val="nil"/>
              <w:left w:val="nil"/>
              <w:bottom w:val="nil"/>
              <w:right w:val="nil"/>
            </w:tcBorders>
            <w:shd w:val="clear" w:color="FFFFFF" w:fill="FFFFFF"/>
            <w:hideMark/>
          </w:tcPr>
          <w:p w14:paraId="3EEA52D6" w14:textId="77777777" w:rsidR="00A43992" w:rsidRDefault="00A43992" w:rsidP="007211E3">
            <w:pPr>
              <w:rPr>
                <w:rFonts w:ascii="Arial" w:hAnsi="Arial" w:cs="Arial"/>
                <w:sz w:val="18"/>
                <w:szCs w:val="18"/>
              </w:rPr>
            </w:pPr>
            <w:r>
              <w:rPr>
                <w:rFonts w:ascii="Arial" w:hAnsi="Arial" w:cs="Arial"/>
                <w:sz w:val="18"/>
                <w:szCs w:val="18"/>
              </w:rPr>
              <w:t> </w:t>
            </w:r>
          </w:p>
        </w:tc>
        <w:tc>
          <w:tcPr>
            <w:tcW w:w="236" w:type="dxa"/>
            <w:tcBorders>
              <w:top w:val="nil"/>
              <w:left w:val="nil"/>
              <w:bottom w:val="nil"/>
              <w:right w:val="nil"/>
            </w:tcBorders>
            <w:shd w:val="clear" w:color="FFFFFF" w:fill="FFFFFF"/>
            <w:hideMark/>
          </w:tcPr>
          <w:p w14:paraId="3E789ECE" w14:textId="77777777" w:rsidR="00A43992" w:rsidRDefault="00A43992" w:rsidP="007211E3">
            <w:pPr>
              <w:rPr>
                <w:rFonts w:ascii="Arial" w:hAnsi="Arial" w:cs="Arial"/>
                <w:sz w:val="18"/>
                <w:szCs w:val="18"/>
              </w:rPr>
            </w:pPr>
            <w:r>
              <w:rPr>
                <w:rFonts w:ascii="Arial" w:hAnsi="Arial" w:cs="Arial"/>
                <w:sz w:val="18"/>
                <w:szCs w:val="18"/>
              </w:rPr>
              <w:t> </w:t>
            </w:r>
          </w:p>
        </w:tc>
        <w:tc>
          <w:tcPr>
            <w:tcW w:w="1249" w:type="dxa"/>
            <w:tcBorders>
              <w:top w:val="nil"/>
              <w:left w:val="nil"/>
              <w:bottom w:val="nil"/>
              <w:right w:val="nil"/>
            </w:tcBorders>
            <w:shd w:val="clear" w:color="FFFFFF" w:fill="FFFFFF"/>
            <w:hideMark/>
          </w:tcPr>
          <w:p w14:paraId="34710E1E" w14:textId="77777777" w:rsidR="00A43992" w:rsidRDefault="00A43992" w:rsidP="007211E3">
            <w:pPr>
              <w:rPr>
                <w:rFonts w:ascii="Arial" w:hAnsi="Arial" w:cs="Arial"/>
                <w:sz w:val="18"/>
                <w:szCs w:val="18"/>
              </w:rPr>
            </w:pPr>
            <w:r>
              <w:rPr>
                <w:rFonts w:ascii="Arial" w:hAnsi="Arial" w:cs="Arial"/>
                <w:sz w:val="18"/>
                <w:szCs w:val="18"/>
              </w:rPr>
              <w:t> </w:t>
            </w:r>
          </w:p>
        </w:tc>
      </w:tr>
      <w:tr w:rsidR="00A43992" w14:paraId="3EC2B501" w14:textId="77777777" w:rsidTr="007211E3">
        <w:trPr>
          <w:trHeight w:val="255"/>
        </w:trPr>
        <w:tc>
          <w:tcPr>
            <w:tcW w:w="6353" w:type="dxa"/>
            <w:tcBorders>
              <w:top w:val="nil"/>
              <w:left w:val="nil"/>
              <w:bottom w:val="nil"/>
              <w:right w:val="nil"/>
            </w:tcBorders>
            <w:shd w:val="clear" w:color="FFFFFF" w:fill="FFFFFF"/>
            <w:hideMark/>
          </w:tcPr>
          <w:p w14:paraId="1794F1DF" w14:textId="77777777" w:rsidR="00A43992" w:rsidRDefault="00A43992" w:rsidP="007211E3">
            <w:pPr>
              <w:rPr>
                <w:rFonts w:ascii="Arial" w:hAnsi="Arial" w:cs="Arial"/>
                <w:sz w:val="18"/>
                <w:szCs w:val="18"/>
              </w:rPr>
            </w:pPr>
            <w:r>
              <w:rPr>
                <w:rFonts w:ascii="Arial" w:hAnsi="Arial" w:cs="Arial"/>
                <w:sz w:val="18"/>
                <w:szCs w:val="18"/>
              </w:rPr>
              <w:t> </w:t>
            </w:r>
          </w:p>
        </w:tc>
        <w:tc>
          <w:tcPr>
            <w:tcW w:w="1249" w:type="dxa"/>
            <w:tcBorders>
              <w:top w:val="nil"/>
              <w:left w:val="nil"/>
              <w:bottom w:val="nil"/>
              <w:right w:val="nil"/>
            </w:tcBorders>
            <w:shd w:val="clear" w:color="FFFFFF" w:fill="FFFFFF"/>
            <w:hideMark/>
          </w:tcPr>
          <w:p w14:paraId="480FC02B" w14:textId="77777777" w:rsidR="00A43992" w:rsidRDefault="00A43992" w:rsidP="007211E3">
            <w:pPr>
              <w:rPr>
                <w:rFonts w:ascii="Arial" w:hAnsi="Arial" w:cs="Arial"/>
                <w:sz w:val="18"/>
                <w:szCs w:val="18"/>
              </w:rPr>
            </w:pPr>
            <w:r>
              <w:rPr>
                <w:rFonts w:ascii="Arial" w:hAnsi="Arial" w:cs="Arial"/>
                <w:sz w:val="18"/>
                <w:szCs w:val="18"/>
              </w:rPr>
              <w:t> </w:t>
            </w:r>
          </w:p>
        </w:tc>
        <w:tc>
          <w:tcPr>
            <w:tcW w:w="236" w:type="dxa"/>
            <w:tcBorders>
              <w:top w:val="nil"/>
              <w:left w:val="nil"/>
              <w:bottom w:val="nil"/>
              <w:right w:val="nil"/>
            </w:tcBorders>
            <w:shd w:val="clear" w:color="FFFFFF" w:fill="FFFFFF"/>
            <w:hideMark/>
          </w:tcPr>
          <w:p w14:paraId="1F4C0864" w14:textId="77777777" w:rsidR="00A43992" w:rsidRDefault="00A43992" w:rsidP="007211E3">
            <w:pPr>
              <w:rPr>
                <w:rFonts w:ascii="Arial" w:hAnsi="Arial" w:cs="Arial"/>
                <w:sz w:val="18"/>
                <w:szCs w:val="18"/>
              </w:rPr>
            </w:pPr>
            <w:r>
              <w:rPr>
                <w:rFonts w:ascii="Arial" w:hAnsi="Arial" w:cs="Arial"/>
                <w:sz w:val="18"/>
                <w:szCs w:val="18"/>
              </w:rPr>
              <w:t> </w:t>
            </w:r>
          </w:p>
        </w:tc>
        <w:tc>
          <w:tcPr>
            <w:tcW w:w="1249" w:type="dxa"/>
            <w:tcBorders>
              <w:top w:val="nil"/>
              <w:left w:val="nil"/>
              <w:bottom w:val="nil"/>
              <w:right w:val="nil"/>
            </w:tcBorders>
            <w:shd w:val="clear" w:color="FFFFFF" w:fill="FFFFFF"/>
            <w:hideMark/>
          </w:tcPr>
          <w:p w14:paraId="42EAA4D7" w14:textId="77777777" w:rsidR="00A43992" w:rsidRDefault="00A43992" w:rsidP="007211E3">
            <w:pPr>
              <w:rPr>
                <w:rFonts w:ascii="Arial" w:hAnsi="Arial" w:cs="Arial"/>
                <w:sz w:val="18"/>
                <w:szCs w:val="18"/>
              </w:rPr>
            </w:pPr>
            <w:r>
              <w:rPr>
                <w:rFonts w:ascii="Arial" w:hAnsi="Arial" w:cs="Arial"/>
                <w:sz w:val="18"/>
                <w:szCs w:val="18"/>
              </w:rPr>
              <w:t> </w:t>
            </w:r>
          </w:p>
        </w:tc>
      </w:tr>
      <w:tr w:rsidR="00A43992" w14:paraId="7E36B61B" w14:textId="77777777" w:rsidTr="007211E3">
        <w:trPr>
          <w:trHeight w:val="255"/>
        </w:trPr>
        <w:tc>
          <w:tcPr>
            <w:tcW w:w="6353" w:type="dxa"/>
            <w:tcBorders>
              <w:top w:val="nil"/>
              <w:left w:val="nil"/>
              <w:bottom w:val="nil"/>
              <w:right w:val="nil"/>
            </w:tcBorders>
            <w:shd w:val="clear" w:color="FFFFFF" w:fill="FFFFFF"/>
            <w:noWrap/>
            <w:vAlign w:val="bottom"/>
            <w:hideMark/>
          </w:tcPr>
          <w:p w14:paraId="4EA6CC97" w14:textId="77777777" w:rsidR="00A43992" w:rsidRDefault="00A43992" w:rsidP="007211E3">
            <w:pPr>
              <w:rPr>
                <w:rFonts w:ascii="Arial" w:hAnsi="Arial" w:cs="Arial"/>
                <w:sz w:val="18"/>
                <w:szCs w:val="18"/>
              </w:rPr>
            </w:pPr>
            <w:r>
              <w:rPr>
                <w:rFonts w:ascii="Arial" w:hAnsi="Arial" w:cs="Arial"/>
                <w:sz w:val="18"/>
                <w:szCs w:val="18"/>
              </w:rPr>
              <w:t> </w:t>
            </w:r>
          </w:p>
        </w:tc>
        <w:tc>
          <w:tcPr>
            <w:tcW w:w="1249" w:type="dxa"/>
            <w:tcBorders>
              <w:top w:val="nil"/>
              <w:left w:val="nil"/>
              <w:bottom w:val="nil"/>
              <w:right w:val="nil"/>
            </w:tcBorders>
            <w:shd w:val="clear" w:color="FFFFFF" w:fill="FFFFFF"/>
            <w:vAlign w:val="bottom"/>
            <w:hideMark/>
          </w:tcPr>
          <w:p w14:paraId="7003A5E7" w14:textId="77777777" w:rsidR="00A43992" w:rsidRDefault="00A43992" w:rsidP="007211E3">
            <w:pPr>
              <w:jc w:val="right"/>
              <w:rPr>
                <w:rFonts w:ascii="Arial" w:hAnsi="Arial" w:cs="Arial"/>
                <w:b/>
                <w:bCs/>
                <w:sz w:val="18"/>
                <w:szCs w:val="18"/>
              </w:rPr>
            </w:pPr>
            <w:r>
              <w:rPr>
                <w:rFonts w:ascii="Arial" w:hAnsi="Arial" w:cs="Arial"/>
                <w:b/>
                <w:bCs/>
                <w:sz w:val="18"/>
                <w:szCs w:val="18"/>
              </w:rPr>
              <w:t>2016</w:t>
            </w:r>
          </w:p>
        </w:tc>
        <w:tc>
          <w:tcPr>
            <w:tcW w:w="236" w:type="dxa"/>
            <w:tcBorders>
              <w:top w:val="nil"/>
              <w:left w:val="nil"/>
              <w:bottom w:val="nil"/>
              <w:right w:val="nil"/>
            </w:tcBorders>
            <w:shd w:val="clear" w:color="auto" w:fill="auto"/>
            <w:noWrap/>
            <w:vAlign w:val="bottom"/>
            <w:hideMark/>
          </w:tcPr>
          <w:p w14:paraId="57008215" w14:textId="77777777" w:rsidR="00A43992" w:rsidRDefault="00A43992" w:rsidP="007211E3">
            <w:pPr>
              <w:jc w:val="right"/>
              <w:rPr>
                <w:rFonts w:ascii="Arial" w:hAnsi="Arial" w:cs="Arial"/>
                <w:b/>
                <w:bCs/>
                <w:sz w:val="18"/>
                <w:szCs w:val="18"/>
              </w:rPr>
            </w:pPr>
          </w:p>
        </w:tc>
        <w:tc>
          <w:tcPr>
            <w:tcW w:w="1249" w:type="dxa"/>
            <w:tcBorders>
              <w:top w:val="nil"/>
              <w:left w:val="nil"/>
              <w:bottom w:val="nil"/>
              <w:right w:val="nil"/>
            </w:tcBorders>
            <w:shd w:val="clear" w:color="FFFFFF" w:fill="FFFFFF"/>
            <w:vAlign w:val="bottom"/>
            <w:hideMark/>
          </w:tcPr>
          <w:p w14:paraId="498B4083" w14:textId="77777777" w:rsidR="00A43992" w:rsidRDefault="00A43992" w:rsidP="007211E3">
            <w:pPr>
              <w:jc w:val="right"/>
              <w:rPr>
                <w:rFonts w:ascii="Arial" w:hAnsi="Arial" w:cs="Arial"/>
                <w:sz w:val="18"/>
                <w:szCs w:val="18"/>
              </w:rPr>
            </w:pPr>
            <w:r>
              <w:rPr>
                <w:rFonts w:ascii="Arial" w:hAnsi="Arial" w:cs="Arial"/>
                <w:sz w:val="18"/>
                <w:szCs w:val="18"/>
              </w:rPr>
              <w:t>2015</w:t>
            </w:r>
          </w:p>
        </w:tc>
      </w:tr>
      <w:tr w:rsidR="00A43992" w14:paraId="296003B0" w14:textId="77777777" w:rsidTr="007211E3">
        <w:trPr>
          <w:trHeight w:val="255"/>
        </w:trPr>
        <w:tc>
          <w:tcPr>
            <w:tcW w:w="6353" w:type="dxa"/>
            <w:tcBorders>
              <w:top w:val="nil"/>
              <w:left w:val="nil"/>
              <w:bottom w:val="nil"/>
              <w:right w:val="nil"/>
            </w:tcBorders>
            <w:shd w:val="clear" w:color="FFFFFF" w:fill="FFFFFF"/>
            <w:noWrap/>
            <w:vAlign w:val="bottom"/>
            <w:hideMark/>
          </w:tcPr>
          <w:p w14:paraId="13F525D1" w14:textId="77777777" w:rsidR="00A43992" w:rsidRDefault="00A43992" w:rsidP="007211E3">
            <w:pPr>
              <w:rPr>
                <w:rFonts w:ascii="Arial" w:hAnsi="Arial" w:cs="Arial"/>
                <w:sz w:val="18"/>
                <w:szCs w:val="18"/>
              </w:rPr>
            </w:pPr>
            <w:r>
              <w:rPr>
                <w:rFonts w:ascii="Arial" w:hAnsi="Arial" w:cs="Arial"/>
                <w:sz w:val="18"/>
                <w:szCs w:val="18"/>
              </w:rPr>
              <w:t> </w:t>
            </w:r>
          </w:p>
        </w:tc>
        <w:tc>
          <w:tcPr>
            <w:tcW w:w="1249" w:type="dxa"/>
            <w:tcBorders>
              <w:top w:val="nil"/>
              <w:left w:val="nil"/>
              <w:bottom w:val="nil"/>
              <w:right w:val="nil"/>
            </w:tcBorders>
            <w:shd w:val="clear" w:color="FFFFFF" w:fill="FFFFFF"/>
            <w:vAlign w:val="bottom"/>
            <w:hideMark/>
          </w:tcPr>
          <w:p w14:paraId="3EB88E14" w14:textId="77777777" w:rsidR="00A43992" w:rsidRDefault="00A43992" w:rsidP="007211E3">
            <w:pPr>
              <w:jc w:val="right"/>
              <w:rPr>
                <w:rFonts w:ascii="Arial" w:hAnsi="Arial" w:cs="Arial"/>
                <w:b/>
                <w:bCs/>
                <w:sz w:val="18"/>
                <w:szCs w:val="18"/>
              </w:rPr>
            </w:pPr>
            <w:r>
              <w:rPr>
                <w:rFonts w:ascii="Arial" w:hAnsi="Arial" w:cs="Arial"/>
                <w:b/>
                <w:bCs/>
                <w:sz w:val="18"/>
                <w:szCs w:val="18"/>
              </w:rPr>
              <w:t>$'000</w:t>
            </w:r>
          </w:p>
        </w:tc>
        <w:tc>
          <w:tcPr>
            <w:tcW w:w="236" w:type="dxa"/>
            <w:tcBorders>
              <w:top w:val="nil"/>
              <w:left w:val="nil"/>
              <w:bottom w:val="nil"/>
              <w:right w:val="nil"/>
            </w:tcBorders>
            <w:shd w:val="clear" w:color="auto" w:fill="auto"/>
            <w:noWrap/>
            <w:vAlign w:val="bottom"/>
            <w:hideMark/>
          </w:tcPr>
          <w:p w14:paraId="492F7639" w14:textId="77777777" w:rsidR="00A43992" w:rsidRDefault="00A43992" w:rsidP="007211E3">
            <w:pPr>
              <w:jc w:val="right"/>
              <w:rPr>
                <w:rFonts w:ascii="Arial" w:hAnsi="Arial" w:cs="Arial"/>
                <w:b/>
                <w:bCs/>
                <w:sz w:val="18"/>
                <w:szCs w:val="18"/>
              </w:rPr>
            </w:pPr>
          </w:p>
        </w:tc>
        <w:tc>
          <w:tcPr>
            <w:tcW w:w="1249" w:type="dxa"/>
            <w:tcBorders>
              <w:top w:val="nil"/>
              <w:left w:val="nil"/>
              <w:bottom w:val="nil"/>
              <w:right w:val="nil"/>
            </w:tcBorders>
            <w:shd w:val="clear" w:color="FFFFFF" w:fill="FFFFFF"/>
            <w:vAlign w:val="bottom"/>
            <w:hideMark/>
          </w:tcPr>
          <w:p w14:paraId="3CD74432" w14:textId="77777777" w:rsidR="00A43992" w:rsidRDefault="00A43992" w:rsidP="007211E3">
            <w:pPr>
              <w:jc w:val="right"/>
              <w:rPr>
                <w:rFonts w:ascii="Arial" w:hAnsi="Arial" w:cs="Arial"/>
                <w:sz w:val="18"/>
                <w:szCs w:val="18"/>
              </w:rPr>
            </w:pPr>
            <w:r>
              <w:rPr>
                <w:rFonts w:ascii="Arial" w:hAnsi="Arial" w:cs="Arial"/>
                <w:sz w:val="18"/>
                <w:szCs w:val="18"/>
              </w:rPr>
              <w:t>$'000</w:t>
            </w:r>
          </w:p>
        </w:tc>
      </w:tr>
      <w:tr w:rsidR="00A43992" w14:paraId="396ECB51" w14:textId="77777777" w:rsidTr="007211E3">
        <w:trPr>
          <w:trHeight w:val="255"/>
        </w:trPr>
        <w:tc>
          <w:tcPr>
            <w:tcW w:w="6353" w:type="dxa"/>
            <w:tcBorders>
              <w:top w:val="nil"/>
              <w:left w:val="nil"/>
              <w:bottom w:val="nil"/>
              <w:right w:val="nil"/>
            </w:tcBorders>
            <w:shd w:val="clear" w:color="FFFFFF" w:fill="FFFFFF"/>
            <w:vAlign w:val="bottom"/>
            <w:hideMark/>
          </w:tcPr>
          <w:p w14:paraId="637A4263" w14:textId="77777777" w:rsidR="00A43992" w:rsidRDefault="00A43992" w:rsidP="007211E3">
            <w:pPr>
              <w:rPr>
                <w:rFonts w:ascii="Arial" w:hAnsi="Arial" w:cs="Arial"/>
                <w:b/>
                <w:bCs/>
                <w:sz w:val="18"/>
                <w:szCs w:val="18"/>
              </w:rPr>
            </w:pPr>
            <w:r>
              <w:rPr>
                <w:rFonts w:ascii="Arial" w:hAnsi="Arial" w:cs="Arial"/>
                <w:b/>
                <w:bCs/>
                <w:sz w:val="18"/>
                <w:szCs w:val="18"/>
              </w:rPr>
              <w:t>Trade and other receivables aged as follows</w:t>
            </w:r>
          </w:p>
        </w:tc>
        <w:tc>
          <w:tcPr>
            <w:tcW w:w="1249" w:type="dxa"/>
            <w:tcBorders>
              <w:top w:val="nil"/>
              <w:left w:val="nil"/>
              <w:bottom w:val="nil"/>
              <w:right w:val="nil"/>
            </w:tcBorders>
            <w:shd w:val="clear" w:color="FFFFFF" w:fill="FFFFFF"/>
            <w:noWrap/>
            <w:vAlign w:val="bottom"/>
            <w:hideMark/>
          </w:tcPr>
          <w:p w14:paraId="6451CCCB" w14:textId="77777777" w:rsidR="00A43992" w:rsidRDefault="00A43992" w:rsidP="007211E3">
            <w:pPr>
              <w:rPr>
                <w:rFonts w:ascii="Arial" w:hAnsi="Arial" w:cs="Arial"/>
                <w:sz w:val="18"/>
                <w:szCs w:val="18"/>
              </w:rPr>
            </w:pPr>
            <w:r>
              <w:rPr>
                <w:rFonts w:ascii="Arial" w:hAnsi="Arial" w:cs="Arial"/>
                <w:sz w:val="18"/>
                <w:szCs w:val="18"/>
              </w:rPr>
              <w:t> </w:t>
            </w:r>
          </w:p>
        </w:tc>
        <w:tc>
          <w:tcPr>
            <w:tcW w:w="236" w:type="dxa"/>
            <w:tcBorders>
              <w:top w:val="nil"/>
              <w:left w:val="nil"/>
              <w:bottom w:val="nil"/>
              <w:right w:val="nil"/>
            </w:tcBorders>
            <w:shd w:val="clear" w:color="FFFFFF" w:fill="FFFFFF"/>
            <w:noWrap/>
            <w:vAlign w:val="bottom"/>
            <w:hideMark/>
          </w:tcPr>
          <w:p w14:paraId="312A791D" w14:textId="77777777" w:rsidR="00A43992" w:rsidRDefault="00A43992" w:rsidP="007211E3">
            <w:pPr>
              <w:rPr>
                <w:rFonts w:ascii="Arial" w:hAnsi="Arial" w:cs="Arial"/>
                <w:sz w:val="18"/>
                <w:szCs w:val="18"/>
              </w:rPr>
            </w:pPr>
            <w:r>
              <w:rPr>
                <w:rFonts w:ascii="Arial" w:hAnsi="Arial" w:cs="Arial"/>
                <w:sz w:val="18"/>
                <w:szCs w:val="18"/>
              </w:rPr>
              <w:t> </w:t>
            </w:r>
          </w:p>
        </w:tc>
        <w:tc>
          <w:tcPr>
            <w:tcW w:w="1249" w:type="dxa"/>
            <w:tcBorders>
              <w:top w:val="nil"/>
              <w:left w:val="nil"/>
              <w:bottom w:val="nil"/>
              <w:right w:val="nil"/>
            </w:tcBorders>
            <w:shd w:val="clear" w:color="FFFFFF" w:fill="FFFFFF"/>
            <w:noWrap/>
            <w:vAlign w:val="bottom"/>
            <w:hideMark/>
          </w:tcPr>
          <w:p w14:paraId="4575208E" w14:textId="77777777" w:rsidR="00A43992" w:rsidRDefault="00A43992" w:rsidP="007211E3">
            <w:pPr>
              <w:rPr>
                <w:rFonts w:ascii="Arial" w:hAnsi="Arial" w:cs="Arial"/>
                <w:sz w:val="18"/>
                <w:szCs w:val="18"/>
              </w:rPr>
            </w:pPr>
            <w:r>
              <w:rPr>
                <w:rFonts w:ascii="Arial" w:hAnsi="Arial" w:cs="Arial"/>
                <w:sz w:val="18"/>
                <w:szCs w:val="18"/>
              </w:rPr>
              <w:t> </w:t>
            </w:r>
          </w:p>
        </w:tc>
      </w:tr>
      <w:tr w:rsidR="00A43992" w14:paraId="58C1A0F3" w14:textId="77777777" w:rsidTr="007211E3">
        <w:trPr>
          <w:trHeight w:val="255"/>
        </w:trPr>
        <w:tc>
          <w:tcPr>
            <w:tcW w:w="6353" w:type="dxa"/>
            <w:tcBorders>
              <w:top w:val="nil"/>
              <w:left w:val="nil"/>
              <w:bottom w:val="nil"/>
              <w:right w:val="nil"/>
            </w:tcBorders>
            <w:shd w:val="clear" w:color="FFFFFF" w:fill="FFFFFF"/>
            <w:noWrap/>
            <w:vAlign w:val="bottom"/>
            <w:hideMark/>
          </w:tcPr>
          <w:p w14:paraId="6A7AB332" w14:textId="77777777" w:rsidR="00A43992" w:rsidRDefault="00A43992" w:rsidP="007211E3">
            <w:pPr>
              <w:ind w:firstLineChars="100" w:firstLine="180"/>
              <w:rPr>
                <w:rFonts w:ascii="Arial" w:hAnsi="Arial" w:cs="Arial"/>
                <w:sz w:val="18"/>
                <w:szCs w:val="18"/>
              </w:rPr>
            </w:pPr>
            <w:r>
              <w:rPr>
                <w:rFonts w:ascii="Arial" w:hAnsi="Arial" w:cs="Arial"/>
                <w:sz w:val="18"/>
                <w:szCs w:val="18"/>
              </w:rPr>
              <w:t>Not overdue</w:t>
            </w:r>
          </w:p>
        </w:tc>
        <w:tc>
          <w:tcPr>
            <w:tcW w:w="1249" w:type="dxa"/>
            <w:tcBorders>
              <w:top w:val="nil"/>
              <w:left w:val="nil"/>
              <w:bottom w:val="nil"/>
              <w:right w:val="nil"/>
            </w:tcBorders>
            <w:shd w:val="clear" w:color="FFFFFF" w:fill="FFFFFF"/>
            <w:noWrap/>
            <w:vAlign w:val="bottom"/>
            <w:hideMark/>
          </w:tcPr>
          <w:p w14:paraId="00397E07" w14:textId="77777777" w:rsidR="00A43992" w:rsidRDefault="00A43992" w:rsidP="007211E3">
            <w:pPr>
              <w:jc w:val="right"/>
              <w:rPr>
                <w:rFonts w:ascii="Arial" w:hAnsi="Arial" w:cs="Arial"/>
                <w:b/>
                <w:bCs/>
                <w:sz w:val="18"/>
                <w:szCs w:val="18"/>
              </w:rPr>
            </w:pPr>
            <w:r>
              <w:rPr>
                <w:rFonts w:ascii="Arial" w:hAnsi="Arial" w:cs="Arial"/>
                <w:b/>
                <w:bCs/>
                <w:sz w:val="18"/>
                <w:szCs w:val="18"/>
              </w:rPr>
              <w:t>15,415</w:t>
            </w:r>
          </w:p>
        </w:tc>
        <w:tc>
          <w:tcPr>
            <w:tcW w:w="236" w:type="dxa"/>
            <w:tcBorders>
              <w:top w:val="nil"/>
              <w:left w:val="nil"/>
              <w:bottom w:val="nil"/>
              <w:right w:val="nil"/>
            </w:tcBorders>
            <w:shd w:val="clear" w:color="FFFFFF" w:fill="FFFFFF"/>
            <w:noWrap/>
            <w:vAlign w:val="bottom"/>
            <w:hideMark/>
          </w:tcPr>
          <w:p w14:paraId="38A4857F" w14:textId="77777777" w:rsidR="00A43992" w:rsidRDefault="00A43992" w:rsidP="007211E3">
            <w:pPr>
              <w:rPr>
                <w:rFonts w:ascii="Arial" w:hAnsi="Arial" w:cs="Arial"/>
                <w:sz w:val="18"/>
                <w:szCs w:val="18"/>
              </w:rPr>
            </w:pPr>
            <w:r>
              <w:rPr>
                <w:rFonts w:ascii="Arial" w:hAnsi="Arial" w:cs="Arial"/>
                <w:sz w:val="18"/>
                <w:szCs w:val="18"/>
              </w:rPr>
              <w:t> </w:t>
            </w:r>
          </w:p>
        </w:tc>
        <w:tc>
          <w:tcPr>
            <w:tcW w:w="1249" w:type="dxa"/>
            <w:tcBorders>
              <w:top w:val="nil"/>
              <w:left w:val="nil"/>
              <w:bottom w:val="nil"/>
              <w:right w:val="nil"/>
            </w:tcBorders>
            <w:shd w:val="clear" w:color="FFFFFF" w:fill="FFFFFF"/>
            <w:noWrap/>
            <w:vAlign w:val="bottom"/>
            <w:hideMark/>
          </w:tcPr>
          <w:p w14:paraId="1AA22066" w14:textId="77777777" w:rsidR="00A43992" w:rsidRDefault="00A43992" w:rsidP="007211E3">
            <w:pPr>
              <w:jc w:val="right"/>
              <w:rPr>
                <w:rFonts w:ascii="Arial" w:hAnsi="Arial" w:cs="Arial"/>
                <w:sz w:val="18"/>
                <w:szCs w:val="18"/>
              </w:rPr>
            </w:pPr>
            <w:r>
              <w:rPr>
                <w:rFonts w:ascii="Arial" w:hAnsi="Arial" w:cs="Arial"/>
                <w:sz w:val="18"/>
                <w:szCs w:val="18"/>
              </w:rPr>
              <w:t xml:space="preserve">51,371 </w:t>
            </w:r>
          </w:p>
        </w:tc>
      </w:tr>
      <w:tr w:rsidR="00A43992" w14:paraId="538F2A8A" w14:textId="77777777" w:rsidTr="007211E3">
        <w:trPr>
          <w:trHeight w:val="255"/>
        </w:trPr>
        <w:tc>
          <w:tcPr>
            <w:tcW w:w="6353" w:type="dxa"/>
            <w:tcBorders>
              <w:top w:val="nil"/>
              <w:left w:val="nil"/>
              <w:bottom w:val="nil"/>
              <w:right w:val="nil"/>
            </w:tcBorders>
            <w:shd w:val="clear" w:color="FFFFFF" w:fill="FFFFFF"/>
            <w:noWrap/>
            <w:vAlign w:val="bottom"/>
            <w:hideMark/>
          </w:tcPr>
          <w:p w14:paraId="17487773" w14:textId="77777777" w:rsidR="00A43992" w:rsidRDefault="00A43992" w:rsidP="007211E3">
            <w:pPr>
              <w:ind w:firstLineChars="100" w:firstLine="180"/>
              <w:rPr>
                <w:rFonts w:ascii="Arial" w:hAnsi="Arial" w:cs="Arial"/>
                <w:sz w:val="18"/>
                <w:szCs w:val="18"/>
              </w:rPr>
            </w:pPr>
            <w:r>
              <w:rPr>
                <w:rFonts w:ascii="Arial" w:hAnsi="Arial" w:cs="Arial"/>
                <w:sz w:val="18"/>
                <w:szCs w:val="18"/>
              </w:rPr>
              <w:t>Overdue by</w:t>
            </w:r>
          </w:p>
        </w:tc>
        <w:tc>
          <w:tcPr>
            <w:tcW w:w="1249" w:type="dxa"/>
            <w:tcBorders>
              <w:top w:val="nil"/>
              <w:left w:val="nil"/>
              <w:bottom w:val="nil"/>
              <w:right w:val="nil"/>
            </w:tcBorders>
            <w:shd w:val="clear" w:color="FFFFFF" w:fill="FFFFFF"/>
            <w:noWrap/>
            <w:vAlign w:val="bottom"/>
            <w:hideMark/>
          </w:tcPr>
          <w:p w14:paraId="521B4334" w14:textId="77777777" w:rsidR="00A43992" w:rsidRDefault="00A43992" w:rsidP="007211E3">
            <w:pPr>
              <w:rPr>
                <w:rFonts w:ascii="Arial" w:hAnsi="Arial" w:cs="Arial"/>
                <w:sz w:val="18"/>
                <w:szCs w:val="18"/>
              </w:rPr>
            </w:pPr>
            <w:r>
              <w:rPr>
                <w:rFonts w:ascii="Arial" w:hAnsi="Arial" w:cs="Arial"/>
                <w:sz w:val="18"/>
                <w:szCs w:val="18"/>
              </w:rPr>
              <w:t> </w:t>
            </w:r>
          </w:p>
        </w:tc>
        <w:tc>
          <w:tcPr>
            <w:tcW w:w="236" w:type="dxa"/>
            <w:tcBorders>
              <w:top w:val="nil"/>
              <w:left w:val="nil"/>
              <w:bottom w:val="nil"/>
              <w:right w:val="nil"/>
            </w:tcBorders>
            <w:shd w:val="clear" w:color="FFFFFF" w:fill="FFFFFF"/>
            <w:noWrap/>
            <w:vAlign w:val="bottom"/>
            <w:hideMark/>
          </w:tcPr>
          <w:p w14:paraId="7AEE0637" w14:textId="77777777" w:rsidR="00A43992" w:rsidRDefault="00A43992" w:rsidP="007211E3">
            <w:pPr>
              <w:rPr>
                <w:rFonts w:ascii="Arial" w:hAnsi="Arial" w:cs="Arial"/>
                <w:sz w:val="18"/>
                <w:szCs w:val="18"/>
              </w:rPr>
            </w:pPr>
            <w:r>
              <w:rPr>
                <w:rFonts w:ascii="Arial" w:hAnsi="Arial" w:cs="Arial"/>
                <w:sz w:val="18"/>
                <w:szCs w:val="18"/>
              </w:rPr>
              <w:t> </w:t>
            </w:r>
          </w:p>
        </w:tc>
        <w:tc>
          <w:tcPr>
            <w:tcW w:w="1249" w:type="dxa"/>
            <w:tcBorders>
              <w:top w:val="nil"/>
              <w:left w:val="nil"/>
              <w:bottom w:val="nil"/>
              <w:right w:val="nil"/>
            </w:tcBorders>
            <w:shd w:val="clear" w:color="FFFFFF" w:fill="FFFFFF"/>
            <w:noWrap/>
            <w:vAlign w:val="bottom"/>
            <w:hideMark/>
          </w:tcPr>
          <w:p w14:paraId="18717481" w14:textId="77777777" w:rsidR="00A43992" w:rsidRDefault="00A43992" w:rsidP="007211E3">
            <w:pPr>
              <w:rPr>
                <w:rFonts w:ascii="Arial" w:hAnsi="Arial" w:cs="Arial"/>
                <w:sz w:val="18"/>
                <w:szCs w:val="18"/>
              </w:rPr>
            </w:pPr>
            <w:r>
              <w:rPr>
                <w:rFonts w:ascii="Arial" w:hAnsi="Arial" w:cs="Arial"/>
                <w:sz w:val="18"/>
                <w:szCs w:val="18"/>
              </w:rPr>
              <w:t> </w:t>
            </w:r>
          </w:p>
        </w:tc>
      </w:tr>
      <w:tr w:rsidR="00A43992" w14:paraId="4E039FCB" w14:textId="77777777" w:rsidTr="007211E3">
        <w:trPr>
          <w:trHeight w:val="255"/>
        </w:trPr>
        <w:tc>
          <w:tcPr>
            <w:tcW w:w="6353" w:type="dxa"/>
            <w:tcBorders>
              <w:top w:val="nil"/>
              <w:left w:val="nil"/>
              <w:bottom w:val="nil"/>
              <w:right w:val="nil"/>
            </w:tcBorders>
            <w:shd w:val="clear" w:color="FFFFFF" w:fill="FFFFFF"/>
            <w:noWrap/>
            <w:vAlign w:val="bottom"/>
            <w:hideMark/>
          </w:tcPr>
          <w:p w14:paraId="365FDA62" w14:textId="77777777" w:rsidR="00A43992" w:rsidRDefault="00A43992" w:rsidP="007211E3">
            <w:pPr>
              <w:ind w:firstLineChars="200" w:firstLine="360"/>
              <w:rPr>
                <w:rFonts w:ascii="Arial" w:hAnsi="Arial" w:cs="Arial"/>
                <w:sz w:val="18"/>
                <w:szCs w:val="18"/>
              </w:rPr>
            </w:pPr>
            <w:r>
              <w:rPr>
                <w:rFonts w:ascii="Arial" w:hAnsi="Arial" w:cs="Arial"/>
                <w:sz w:val="18"/>
                <w:szCs w:val="18"/>
              </w:rPr>
              <w:t xml:space="preserve">     0 to 30 days</w:t>
            </w:r>
          </w:p>
        </w:tc>
        <w:tc>
          <w:tcPr>
            <w:tcW w:w="1249" w:type="dxa"/>
            <w:tcBorders>
              <w:top w:val="nil"/>
              <w:left w:val="nil"/>
              <w:bottom w:val="nil"/>
              <w:right w:val="nil"/>
            </w:tcBorders>
            <w:shd w:val="clear" w:color="FFFFFF" w:fill="FFFFFF"/>
            <w:noWrap/>
            <w:vAlign w:val="bottom"/>
            <w:hideMark/>
          </w:tcPr>
          <w:p w14:paraId="1649AACF" w14:textId="77777777" w:rsidR="00A43992" w:rsidRDefault="00A43992" w:rsidP="007211E3">
            <w:pPr>
              <w:jc w:val="right"/>
              <w:rPr>
                <w:rFonts w:ascii="Arial" w:hAnsi="Arial" w:cs="Arial"/>
                <w:b/>
                <w:bCs/>
                <w:sz w:val="18"/>
                <w:szCs w:val="18"/>
              </w:rPr>
            </w:pPr>
            <w:r>
              <w:rPr>
                <w:rFonts w:ascii="Arial" w:hAnsi="Arial" w:cs="Arial"/>
                <w:b/>
                <w:bCs/>
                <w:sz w:val="18"/>
                <w:szCs w:val="18"/>
              </w:rPr>
              <w:t>3,700</w:t>
            </w:r>
          </w:p>
        </w:tc>
        <w:tc>
          <w:tcPr>
            <w:tcW w:w="236" w:type="dxa"/>
            <w:tcBorders>
              <w:top w:val="nil"/>
              <w:left w:val="nil"/>
              <w:bottom w:val="nil"/>
              <w:right w:val="nil"/>
            </w:tcBorders>
            <w:shd w:val="clear" w:color="FFFFFF" w:fill="FFFFFF"/>
            <w:noWrap/>
            <w:vAlign w:val="bottom"/>
            <w:hideMark/>
          </w:tcPr>
          <w:p w14:paraId="232A8C6F" w14:textId="77777777" w:rsidR="00A43992" w:rsidRDefault="00A43992" w:rsidP="007211E3">
            <w:pPr>
              <w:rPr>
                <w:rFonts w:ascii="Arial" w:hAnsi="Arial" w:cs="Arial"/>
                <w:sz w:val="18"/>
                <w:szCs w:val="18"/>
              </w:rPr>
            </w:pPr>
            <w:r>
              <w:rPr>
                <w:rFonts w:ascii="Arial" w:hAnsi="Arial" w:cs="Arial"/>
                <w:sz w:val="18"/>
                <w:szCs w:val="18"/>
              </w:rPr>
              <w:t> </w:t>
            </w:r>
          </w:p>
        </w:tc>
        <w:tc>
          <w:tcPr>
            <w:tcW w:w="1249" w:type="dxa"/>
            <w:tcBorders>
              <w:top w:val="nil"/>
              <w:left w:val="nil"/>
              <w:bottom w:val="nil"/>
              <w:right w:val="nil"/>
            </w:tcBorders>
            <w:shd w:val="clear" w:color="FFFFFF" w:fill="FFFFFF"/>
            <w:noWrap/>
            <w:vAlign w:val="bottom"/>
            <w:hideMark/>
          </w:tcPr>
          <w:p w14:paraId="325A51DF" w14:textId="77777777" w:rsidR="00A43992" w:rsidRDefault="00A43992" w:rsidP="007211E3">
            <w:pPr>
              <w:jc w:val="right"/>
              <w:rPr>
                <w:rFonts w:ascii="Arial" w:hAnsi="Arial" w:cs="Arial"/>
                <w:sz w:val="18"/>
                <w:szCs w:val="18"/>
              </w:rPr>
            </w:pPr>
            <w:r>
              <w:rPr>
                <w:rFonts w:ascii="Arial" w:hAnsi="Arial" w:cs="Arial"/>
                <w:sz w:val="18"/>
                <w:szCs w:val="18"/>
              </w:rPr>
              <w:t xml:space="preserve">9,165 </w:t>
            </w:r>
          </w:p>
        </w:tc>
      </w:tr>
      <w:tr w:rsidR="00A43992" w14:paraId="614D9751" w14:textId="77777777" w:rsidTr="007211E3">
        <w:trPr>
          <w:trHeight w:val="255"/>
        </w:trPr>
        <w:tc>
          <w:tcPr>
            <w:tcW w:w="6353" w:type="dxa"/>
            <w:tcBorders>
              <w:top w:val="nil"/>
              <w:left w:val="nil"/>
              <w:bottom w:val="nil"/>
              <w:right w:val="nil"/>
            </w:tcBorders>
            <w:shd w:val="clear" w:color="FFFFFF" w:fill="FFFFFF"/>
            <w:noWrap/>
            <w:vAlign w:val="bottom"/>
            <w:hideMark/>
          </w:tcPr>
          <w:p w14:paraId="7C160908" w14:textId="77777777" w:rsidR="00A43992" w:rsidRDefault="00A43992" w:rsidP="007211E3">
            <w:pPr>
              <w:ind w:firstLineChars="200" w:firstLine="360"/>
              <w:rPr>
                <w:rFonts w:ascii="Arial" w:hAnsi="Arial" w:cs="Arial"/>
                <w:sz w:val="18"/>
                <w:szCs w:val="18"/>
              </w:rPr>
            </w:pPr>
            <w:r>
              <w:rPr>
                <w:rFonts w:ascii="Arial" w:hAnsi="Arial" w:cs="Arial"/>
                <w:sz w:val="18"/>
                <w:szCs w:val="18"/>
              </w:rPr>
              <w:t xml:space="preserve">     31 to 60 days</w:t>
            </w:r>
          </w:p>
        </w:tc>
        <w:tc>
          <w:tcPr>
            <w:tcW w:w="1249" w:type="dxa"/>
            <w:tcBorders>
              <w:top w:val="nil"/>
              <w:left w:val="nil"/>
              <w:bottom w:val="nil"/>
              <w:right w:val="nil"/>
            </w:tcBorders>
            <w:shd w:val="clear" w:color="FFFFFF" w:fill="FFFFFF"/>
            <w:noWrap/>
            <w:vAlign w:val="bottom"/>
            <w:hideMark/>
          </w:tcPr>
          <w:p w14:paraId="74657363" w14:textId="77777777" w:rsidR="00A43992" w:rsidRDefault="00A43992" w:rsidP="007211E3">
            <w:pPr>
              <w:jc w:val="right"/>
              <w:rPr>
                <w:rFonts w:ascii="Arial" w:hAnsi="Arial" w:cs="Arial"/>
                <w:b/>
                <w:bCs/>
                <w:sz w:val="18"/>
                <w:szCs w:val="18"/>
              </w:rPr>
            </w:pPr>
            <w:r>
              <w:rPr>
                <w:rFonts w:ascii="Arial" w:hAnsi="Arial" w:cs="Arial"/>
                <w:b/>
                <w:bCs/>
                <w:sz w:val="18"/>
                <w:szCs w:val="18"/>
              </w:rPr>
              <w:t>365</w:t>
            </w:r>
          </w:p>
        </w:tc>
        <w:tc>
          <w:tcPr>
            <w:tcW w:w="236" w:type="dxa"/>
            <w:tcBorders>
              <w:top w:val="nil"/>
              <w:left w:val="nil"/>
              <w:bottom w:val="nil"/>
              <w:right w:val="nil"/>
            </w:tcBorders>
            <w:shd w:val="clear" w:color="FFFFFF" w:fill="FFFFFF"/>
            <w:noWrap/>
            <w:vAlign w:val="bottom"/>
            <w:hideMark/>
          </w:tcPr>
          <w:p w14:paraId="730883FD" w14:textId="77777777" w:rsidR="00A43992" w:rsidRDefault="00A43992" w:rsidP="007211E3">
            <w:pPr>
              <w:rPr>
                <w:rFonts w:ascii="Arial" w:hAnsi="Arial" w:cs="Arial"/>
                <w:sz w:val="18"/>
                <w:szCs w:val="18"/>
              </w:rPr>
            </w:pPr>
            <w:r>
              <w:rPr>
                <w:rFonts w:ascii="Arial" w:hAnsi="Arial" w:cs="Arial"/>
                <w:sz w:val="18"/>
                <w:szCs w:val="18"/>
              </w:rPr>
              <w:t> </w:t>
            </w:r>
          </w:p>
        </w:tc>
        <w:tc>
          <w:tcPr>
            <w:tcW w:w="1249" w:type="dxa"/>
            <w:tcBorders>
              <w:top w:val="nil"/>
              <w:left w:val="nil"/>
              <w:bottom w:val="nil"/>
              <w:right w:val="nil"/>
            </w:tcBorders>
            <w:shd w:val="clear" w:color="FFFFFF" w:fill="FFFFFF"/>
            <w:noWrap/>
            <w:vAlign w:val="bottom"/>
            <w:hideMark/>
          </w:tcPr>
          <w:p w14:paraId="28BC77D3" w14:textId="77777777" w:rsidR="00A43992" w:rsidRDefault="00A43992" w:rsidP="007211E3">
            <w:pPr>
              <w:jc w:val="right"/>
              <w:rPr>
                <w:rFonts w:ascii="Arial" w:hAnsi="Arial" w:cs="Arial"/>
                <w:sz w:val="18"/>
                <w:szCs w:val="18"/>
              </w:rPr>
            </w:pPr>
            <w:r>
              <w:rPr>
                <w:rFonts w:ascii="Arial" w:hAnsi="Arial" w:cs="Arial"/>
                <w:sz w:val="18"/>
                <w:szCs w:val="18"/>
              </w:rPr>
              <w:t xml:space="preserve">9,091 </w:t>
            </w:r>
          </w:p>
        </w:tc>
      </w:tr>
      <w:tr w:rsidR="00A43992" w14:paraId="17D3E4CD" w14:textId="77777777" w:rsidTr="007211E3">
        <w:trPr>
          <w:trHeight w:val="255"/>
        </w:trPr>
        <w:tc>
          <w:tcPr>
            <w:tcW w:w="6353" w:type="dxa"/>
            <w:tcBorders>
              <w:top w:val="nil"/>
              <w:left w:val="nil"/>
              <w:bottom w:val="nil"/>
              <w:right w:val="nil"/>
            </w:tcBorders>
            <w:shd w:val="clear" w:color="FFFFFF" w:fill="FFFFFF"/>
            <w:noWrap/>
            <w:vAlign w:val="bottom"/>
            <w:hideMark/>
          </w:tcPr>
          <w:p w14:paraId="78B2EB12" w14:textId="77777777" w:rsidR="00A43992" w:rsidRDefault="00A43992" w:rsidP="007211E3">
            <w:pPr>
              <w:ind w:firstLineChars="200" w:firstLine="360"/>
              <w:rPr>
                <w:rFonts w:ascii="Arial" w:hAnsi="Arial" w:cs="Arial"/>
                <w:sz w:val="18"/>
                <w:szCs w:val="18"/>
              </w:rPr>
            </w:pPr>
            <w:r>
              <w:rPr>
                <w:rFonts w:ascii="Arial" w:hAnsi="Arial" w:cs="Arial"/>
                <w:sz w:val="18"/>
                <w:szCs w:val="18"/>
              </w:rPr>
              <w:t xml:space="preserve">     61 to 90 days</w:t>
            </w:r>
          </w:p>
        </w:tc>
        <w:tc>
          <w:tcPr>
            <w:tcW w:w="1249" w:type="dxa"/>
            <w:tcBorders>
              <w:top w:val="nil"/>
              <w:left w:val="nil"/>
              <w:bottom w:val="nil"/>
              <w:right w:val="nil"/>
            </w:tcBorders>
            <w:shd w:val="clear" w:color="FFFFFF" w:fill="FFFFFF"/>
            <w:noWrap/>
            <w:vAlign w:val="bottom"/>
            <w:hideMark/>
          </w:tcPr>
          <w:p w14:paraId="02F0F9EB" w14:textId="77777777" w:rsidR="00A43992" w:rsidRDefault="00A43992" w:rsidP="007211E3">
            <w:pPr>
              <w:jc w:val="right"/>
              <w:rPr>
                <w:rFonts w:ascii="Arial" w:hAnsi="Arial" w:cs="Arial"/>
                <w:b/>
                <w:bCs/>
                <w:sz w:val="18"/>
                <w:szCs w:val="18"/>
              </w:rPr>
            </w:pPr>
            <w:r>
              <w:rPr>
                <w:rFonts w:ascii="Arial" w:hAnsi="Arial" w:cs="Arial"/>
                <w:b/>
                <w:bCs/>
                <w:sz w:val="18"/>
                <w:szCs w:val="18"/>
              </w:rPr>
              <w:t>144</w:t>
            </w:r>
          </w:p>
        </w:tc>
        <w:tc>
          <w:tcPr>
            <w:tcW w:w="236" w:type="dxa"/>
            <w:tcBorders>
              <w:top w:val="nil"/>
              <w:left w:val="nil"/>
              <w:bottom w:val="nil"/>
              <w:right w:val="nil"/>
            </w:tcBorders>
            <w:shd w:val="clear" w:color="FFFFFF" w:fill="FFFFFF"/>
            <w:noWrap/>
            <w:vAlign w:val="bottom"/>
            <w:hideMark/>
          </w:tcPr>
          <w:p w14:paraId="71B060E5" w14:textId="77777777" w:rsidR="00A43992" w:rsidRDefault="00A43992" w:rsidP="007211E3">
            <w:pPr>
              <w:rPr>
                <w:rFonts w:ascii="Arial" w:hAnsi="Arial" w:cs="Arial"/>
                <w:sz w:val="18"/>
                <w:szCs w:val="18"/>
              </w:rPr>
            </w:pPr>
            <w:r>
              <w:rPr>
                <w:rFonts w:ascii="Arial" w:hAnsi="Arial" w:cs="Arial"/>
                <w:sz w:val="18"/>
                <w:szCs w:val="18"/>
              </w:rPr>
              <w:t> </w:t>
            </w:r>
          </w:p>
        </w:tc>
        <w:tc>
          <w:tcPr>
            <w:tcW w:w="1249" w:type="dxa"/>
            <w:tcBorders>
              <w:top w:val="nil"/>
              <w:left w:val="nil"/>
              <w:bottom w:val="nil"/>
              <w:right w:val="nil"/>
            </w:tcBorders>
            <w:shd w:val="clear" w:color="FFFFFF" w:fill="FFFFFF"/>
            <w:noWrap/>
            <w:vAlign w:val="bottom"/>
            <w:hideMark/>
          </w:tcPr>
          <w:p w14:paraId="168217B3" w14:textId="77777777" w:rsidR="00A43992" w:rsidRDefault="00A43992" w:rsidP="007211E3">
            <w:pPr>
              <w:jc w:val="right"/>
              <w:rPr>
                <w:rFonts w:ascii="Arial" w:hAnsi="Arial" w:cs="Arial"/>
                <w:sz w:val="18"/>
                <w:szCs w:val="18"/>
              </w:rPr>
            </w:pPr>
            <w:r>
              <w:rPr>
                <w:rFonts w:ascii="Arial" w:hAnsi="Arial" w:cs="Arial"/>
                <w:sz w:val="18"/>
                <w:szCs w:val="18"/>
              </w:rPr>
              <w:t xml:space="preserve">8,399 </w:t>
            </w:r>
          </w:p>
        </w:tc>
      </w:tr>
      <w:tr w:rsidR="00A43992" w14:paraId="7E5FF54F" w14:textId="77777777" w:rsidTr="007211E3">
        <w:trPr>
          <w:trHeight w:val="255"/>
        </w:trPr>
        <w:tc>
          <w:tcPr>
            <w:tcW w:w="6353" w:type="dxa"/>
            <w:tcBorders>
              <w:top w:val="nil"/>
              <w:left w:val="nil"/>
              <w:bottom w:val="nil"/>
              <w:right w:val="nil"/>
            </w:tcBorders>
            <w:shd w:val="clear" w:color="FFFFFF" w:fill="FFFFFF"/>
            <w:noWrap/>
            <w:vAlign w:val="bottom"/>
            <w:hideMark/>
          </w:tcPr>
          <w:p w14:paraId="36FD5DD8" w14:textId="77777777" w:rsidR="00A43992" w:rsidRDefault="00A43992" w:rsidP="007211E3">
            <w:pPr>
              <w:ind w:firstLineChars="200" w:firstLine="360"/>
              <w:rPr>
                <w:rFonts w:ascii="Arial" w:hAnsi="Arial" w:cs="Arial"/>
                <w:sz w:val="18"/>
                <w:szCs w:val="18"/>
              </w:rPr>
            </w:pPr>
            <w:r>
              <w:rPr>
                <w:rFonts w:ascii="Arial" w:hAnsi="Arial" w:cs="Arial"/>
                <w:sz w:val="18"/>
                <w:szCs w:val="18"/>
              </w:rPr>
              <w:t xml:space="preserve">     More than 90 days</w:t>
            </w:r>
          </w:p>
        </w:tc>
        <w:tc>
          <w:tcPr>
            <w:tcW w:w="1249" w:type="dxa"/>
            <w:tcBorders>
              <w:top w:val="nil"/>
              <w:left w:val="nil"/>
              <w:bottom w:val="nil"/>
              <w:right w:val="nil"/>
            </w:tcBorders>
            <w:shd w:val="clear" w:color="FFFFFF" w:fill="FFFFFF"/>
            <w:noWrap/>
            <w:vAlign w:val="bottom"/>
            <w:hideMark/>
          </w:tcPr>
          <w:p w14:paraId="31060B59" w14:textId="77777777" w:rsidR="00A43992" w:rsidRPr="00EE4FBB" w:rsidRDefault="00A43992" w:rsidP="007211E3">
            <w:pPr>
              <w:jc w:val="right"/>
              <w:rPr>
                <w:rFonts w:ascii="Arial" w:hAnsi="Arial" w:cs="Arial"/>
                <w:b/>
                <w:bCs/>
                <w:sz w:val="18"/>
                <w:szCs w:val="18"/>
              </w:rPr>
            </w:pPr>
            <w:r w:rsidRPr="00EE4FBB">
              <w:rPr>
                <w:rFonts w:ascii="Arial" w:hAnsi="Arial" w:cs="Arial"/>
                <w:b/>
                <w:bCs/>
                <w:sz w:val="18"/>
                <w:szCs w:val="18"/>
              </w:rPr>
              <w:t>18,931</w:t>
            </w:r>
          </w:p>
        </w:tc>
        <w:tc>
          <w:tcPr>
            <w:tcW w:w="236" w:type="dxa"/>
            <w:tcBorders>
              <w:top w:val="nil"/>
              <w:left w:val="nil"/>
              <w:bottom w:val="nil"/>
              <w:right w:val="nil"/>
            </w:tcBorders>
            <w:shd w:val="clear" w:color="FFFFFF" w:fill="FFFFFF"/>
            <w:noWrap/>
            <w:vAlign w:val="bottom"/>
            <w:hideMark/>
          </w:tcPr>
          <w:p w14:paraId="4FEE340A" w14:textId="77777777" w:rsidR="00A43992" w:rsidRDefault="00A43992" w:rsidP="007211E3">
            <w:pPr>
              <w:rPr>
                <w:rFonts w:ascii="Arial" w:hAnsi="Arial" w:cs="Arial"/>
                <w:sz w:val="18"/>
                <w:szCs w:val="18"/>
              </w:rPr>
            </w:pPr>
            <w:r>
              <w:rPr>
                <w:rFonts w:ascii="Arial" w:hAnsi="Arial" w:cs="Arial"/>
                <w:sz w:val="18"/>
                <w:szCs w:val="18"/>
              </w:rPr>
              <w:t> </w:t>
            </w:r>
          </w:p>
        </w:tc>
        <w:tc>
          <w:tcPr>
            <w:tcW w:w="1249" w:type="dxa"/>
            <w:tcBorders>
              <w:top w:val="nil"/>
              <w:left w:val="nil"/>
              <w:bottom w:val="nil"/>
              <w:right w:val="nil"/>
            </w:tcBorders>
            <w:shd w:val="clear" w:color="FFFFFF" w:fill="FFFFFF"/>
            <w:noWrap/>
            <w:vAlign w:val="bottom"/>
            <w:hideMark/>
          </w:tcPr>
          <w:p w14:paraId="004F5441" w14:textId="77777777" w:rsidR="00A43992" w:rsidRDefault="00A43992" w:rsidP="007211E3">
            <w:pPr>
              <w:jc w:val="right"/>
              <w:rPr>
                <w:rFonts w:ascii="Arial" w:hAnsi="Arial" w:cs="Arial"/>
                <w:sz w:val="18"/>
                <w:szCs w:val="18"/>
              </w:rPr>
            </w:pPr>
            <w:r>
              <w:rPr>
                <w:rFonts w:ascii="Arial" w:hAnsi="Arial" w:cs="Arial"/>
                <w:sz w:val="18"/>
                <w:szCs w:val="18"/>
              </w:rPr>
              <w:t xml:space="preserve">5,907 </w:t>
            </w:r>
          </w:p>
        </w:tc>
      </w:tr>
      <w:tr w:rsidR="00A43992" w14:paraId="168C0A9E" w14:textId="77777777" w:rsidTr="007211E3">
        <w:trPr>
          <w:trHeight w:val="255"/>
        </w:trPr>
        <w:tc>
          <w:tcPr>
            <w:tcW w:w="6353" w:type="dxa"/>
            <w:tcBorders>
              <w:top w:val="nil"/>
              <w:left w:val="nil"/>
              <w:bottom w:val="nil"/>
              <w:right w:val="nil"/>
            </w:tcBorders>
            <w:shd w:val="clear" w:color="FFFFFF" w:fill="FFFFFF"/>
            <w:vAlign w:val="bottom"/>
            <w:hideMark/>
          </w:tcPr>
          <w:p w14:paraId="4252E4A4" w14:textId="77777777" w:rsidR="00A43992" w:rsidRDefault="00A43992" w:rsidP="007211E3">
            <w:pPr>
              <w:rPr>
                <w:rFonts w:ascii="Arial" w:hAnsi="Arial" w:cs="Arial"/>
                <w:b/>
                <w:bCs/>
                <w:sz w:val="18"/>
                <w:szCs w:val="18"/>
              </w:rPr>
            </w:pPr>
            <w:r>
              <w:rPr>
                <w:rFonts w:ascii="Arial" w:hAnsi="Arial" w:cs="Arial"/>
                <w:b/>
                <w:bCs/>
                <w:sz w:val="18"/>
                <w:szCs w:val="18"/>
              </w:rPr>
              <w:t>Total trade and other receivables (gross)</w:t>
            </w:r>
          </w:p>
        </w:tc>
        <w:tc>
          <w:tcPr>
            <w:tcW w:w="1249" w:type="dxa"/>
            <w:tcBorders>
              <w:top w:val="single" w:sz="4" w:space="0" w:color="auto"/>
              <w:left w:val="nil"/>
              <w:bottom w:val="single" w:sz="4" w:space="0" w:color="auto"/>
              <w:right w:val="nil"/>
            </w:tcBorders>
            <w:shd w:val="clear" w:color="FFFFFF" w:fill="FFFFFF"/>
            <w:noWrap/>
            <w:vAlign w:val="bottom"/>
            <w:hideMark/>
          </w:tcPr>
          <w:p w14:paraId="011A4312" w14:textId="77777777" w:rsidR="00A43992" w:rsidRPr="00EE4FBB" w:rsidRDefault="00A43992" w:rsidP="007211E3">
            <w:pPr>
              <w:jc w:val="right"/>
              <w:rPr>
                <w:rFonts w:ascii="Arial" w:hAnsi="Arial" w:cs="Arial"/>
                <w:b/>
                <w:bCs/>
                <w:sz w:val="18"/>
                <w:szCs w:val="18"/>
              </w:rPr>
            </w:pPr>
            <w:r w:rsidRPr="00EE4FBB">
              <w:rPr>
                <w:rFonts w:ascii="Arial" w:hAnsi="Arial" w:cs="Arial"/>
                <w:b/>
                <w:bCs/>
                <w:sz w:val="18"/>
                <w:szCs w:val="18"/>
              </w:rPr>
              <w:t>38,555</w:t>
            </w:r>
          </w:p>
        </w:tc>
        <w:tc>
          <w:tcPr>
            <w:tcW w:w="236" w:type="dxa"/>
            <w:tcBorders>
              <w:top w:val="nil"/>
              <w:left w:val="nil"/>
              <w:bottom w:val="nil"/>
              <w:right w:val="nil"/>
            </w:tcBorders>
            <w:shd w:val="clear" w:color="FFFFFF" w:fill="FFFFFF"/>
            <w:noWrap/>
            <w:vAlign w:val="bottom"/>
            <w:hideMark/>
          </w:tcPr>
          <w:p w14:paraId="678BB4B2" w14:textId="77777777" w:rsidR="00A43992" w:rsidRDefault="00A43992" w:rsidP="007211E3">
            <w:pPr>
              <w:rPr>
                <w:rFonts w:ascii="Arial" w:hAnsi="Arial" w:cs="Arial"/>
                <w:sz w:val="18"/>
                <w:szCs w:val="18"/>
              </w:rPr>
            </w:pPr>
            <w:r>
              <w:rPr>
                <w:rFonts w:ascii="Arial" w:hAnsi="Arial" w:cs="Arial"/>
                <w:sz w:val="18"/>
                <w:szCs w:val="18"/>
              </w:rPr>
              <w:t> </w:t>
            </w:r>
          </w:p>
        </w:tc>
        <w:tc>
          <w:tcPr>
            <w:tcW w:w="1249" w:type="dxa"/>
            <w:tcBorders>
              <w:top w:val="single" w:sz="4" w:space="0" w:color="auto"/>
              <w:left w:val="nil"/>
              <w:bottom w:val="single" w:sz="4" w:space="0" w:color="auto"/>
              <w:right w:val="nil"/>
            </w:tcBorders>
            <w:shd w:val="clear" w:color="FFFFFF" w:fill="FFFFFF"/>
            <w:noWrap/>
            <w:vAlign w:val="bottom"/>
            <w:hideMark/>
          </w:tcPr>
          <w:p w14:paraId="75A0027A" w14:textId="77777777" w:rsidR="00A43992" w:rsidRDefault="00A43992" w:rsidP="007211E3">
            <w:pPr>
              <w:jc w:val="right"/>
              <w:rPr>
                <w:rFonts w:ascii="Arial" w:hAnsi="Arial" w:cs="Arial"/>
                <w:sz w:val="18"/>
                <w:szCs w:val="18"/>
              </w:rPr>
            </w:pPr>
            <w:r>
              <w:rPr>
                <w:rFonts w:ascii="Arial" w:hAnsi="Arial" w:cs="Arial"/>
                <w:sz w:val="18"/>
                <w:szCs w:val="18"/>
              </w:rPr>
              <w:t>83,933</w:t>
            </w:r>
          </w:p>
        </w:tc>
      </w:tr>
      <w:tr w:rsidR="00A43992" w14:paraId="5DB0A431" w14:textId="77777777" w:rsidTr="007211E3">
        <w:trPr>
          <w:trHeight w:val="255"/>
        </w:trPr>
        <w:tc>
          <w:tcPr>
            <w:tcW w:w="6353" w:type="dxa"/>
            <w:tcBorders>
              <w:top w:val="nil"/>
              <w:left w:val="nil"/>
              <w:bottom w:val="nil"/>
              <w:right w:val="nil"/>
            </w:tcBorders>
            <w:shd w:val="clear" w:color="FFFFFF" w:fill="FFFFFF"/>
            <w:noWrap/>
            <w:vAlign w:val="bottom"/>
            <w:hideMark/>
          </w:tcPr>
          <w:p w14:paraId="15801276" w14:textId="77777777" w:rsidR="00A43992" w:rsidRDefault="00A43992" w:rsidP="007211E3">
            <w:pPr>
              <w:rPr>
                <w:rFonts w:ascii="Arial" w:hAnsi="Arial" w:cs="Arial"/>
                <w:sz w:val="18"/>
                <w:szCs w:val="18"/>
              </w:rPr>
            </w:pPr>
            <w:r>
              <w:rPr>
                <w:rFonts w:ascii="Arial" w:hAnsi="Arial" w:cs="Arial"/>
                <w:sz w:val="18"/>
                <w:szCs w:val="18"/>
              </w:rPr>
              <w:lastRenderedPageBreak/>
              <w:t> </w:t>
            </w:r>
          </w:p>
        </w:tc>
        <w:tc>
          <w:tcPr>
            <w:tcW w:w="1249" w:type="dxa"/>
            <w:tcBorders>
              <w:top w:val="nil"/>
              <w:left w:val="nil"/>
              <w:bottom w:val="nil"/>
              <w:right w:val="nil"/>
            </w:tcBorders>
            <w:shd w:val="clear" w:color="FFFFFF" w:fill="FFFFFF"/>
            <w:noWrap/>
            <w:vAlign w:val="bottom"/>
            <w:hideMark/>
          </w:tcPr>
          <w:p w14:paraId="6D510225" w14:textId="77777777" w:rsidR="00A43992" w:rsidRPr="00EE4FBB" w:rsidRDefault="00A43992" w:rsidP="007211E3">
            <w:pPr>
              <w:rPr>
                <w:rFonts w:ascii="Arial" w:hAnsi="Arial" w:cs="Arial"/>
                <w:sz w:val="18"/>
                <w:szCs w:val="18"/>
              </w:rPr>
            </w:pPr>
            <w:r w:rsidRPr="00EE4FBB">
              <w:rPr>
                <w:rFonts w:ascii="Arial" w:hAnsi="Arial" w:cs="Arial"/>
                <w:sz w:val="18"/>
                <w:szCs w:val="18"/>
              </w:rPr>
              <w:t> </w:t>
            </w:r>
          </w:p>
        </w:tc>
        <w:tc>
          <w:tcPr>
            <w:tcW w:w="236" w:type="dxa"/>
            <w:tcBorders>
              <w:top w:val="nil"/>
              <w:left w:val="nil"/>
              <w:bottom w:val="nil"/>
              <w:right w:val="nil"/>
            </w:tcBorders>
            <w:shd w:val="clear" w:color="FFFFFF" w:fill="FFFFFF"/>
            <w:noWrap/>
            <w:vAlign w:val="bottom"/>
            <w:hideMark/>
          </w:tcPr>
          <w:p w14:paraId="57CC3801" w14:textId="77777777" w:rsidR="00A43992" w:rsidRDefault="00A43992" w:rsidP="007211E3">
            <w:pPr>
              <w:rPr>
                <w:rFonts w:ascii="Arial" w:hAnsi="Arial" w:cs="Arial"/>
                <w:sz w:val="18"/>
                <w:szCs w:val="18"/>
              </w:rPr>
            </w:pPr>
            <w:r>
              <w:rPr>
                <w:rFonts w:ascii="Arial" w:hAnsi="Arial" w:cs="Arial"/>
                <w:sz w:val="18"/>
                <w:szCs w:val="18"/>
              </w:rPr>
              <w:t> </w:t>
            </w:r>
          </w:p>
        </w:tc>
        <w:tc>
          <w:tcPr>
            <w:tcW w:w="1249" w:type="dxa"/>
            <w:tcBorders>
              <w:top w:val="nil"/>
              <w:left w:val="nil"/>
              <w:bottom w:val="nil"/>
              <w:right w:val="nil"/>
            </w:tcBorders>
            <w:shd w:val="clear" w:color="FFFFFF" w:fill="FFFFFF"/>
            <w:noWrap/>
            <w:vAlign w:val="bottom"/>
            <w:hideMark/>
          </w:tcPr>
          <w:p w14:paraId="508D743A" w14:textId="77777777" w:rsidR="00A43992" w:rsidRDefault="00A43992" w:rsidP="007211E3">
            <w:pPr>
              <w:rPr>
                <w:rFonts w:ascii="Arial" w:hAnsi="Arial" w:cs="Arial"/>
                <w:sz w:val="18"/>
                <w:szCs w:val="18"/>
              </w:rPr>
            </w:pPr>
            <w:r>
              <w:rPr>
                <w:rFonts w:ascii="Arial" w:hAnsi="Arial" w:cs="Arial"/>
                <w:sz w:val="18"/>
                <w:szCs w:val="18"/>
              </w:rPr>
              <w:t> </w:t>
            </w:r>
          </w:p>
        </w:tc>
      </w:tr>
      <w:tr w:rsidR="00A43992" w14:paraId="749F9F16" w14:textId="77777777" w:rsidTr="007211E3">
        <w:trPr>
          <w:trHeight w:val="255"/>
        </w:trPr>
        <w:tc>
          <w:tcPr>
            <w:tcW w:w="6353" w:type="dxa"/>
            <w:tcBorders>
              <w:top w:val="nil"/>
              <w:left w:val="nil"/>
              <w:bottom w:val="nil"/>
              <w:right w:val="nil"/>
            </w:tcBorders>
            <w:shd w:val="clear" w:color="FFFFFF" w:fill="FFFFFF"/>
            <w:vAlign w:val="bottom"/>
            <w:hideMark/>
          </w:tcPr>
          <w:p w14:paraId="5C97E4CF" w14:textId="77777777" w:rsidR="00A43992" w:rsidRDefault="00A43992" w:rsidP="007211E3">
            <w:pPr>
              <w:rPr>
                <w:rFonts w:ascii="Arial" w:hAnsi="Arial" w:cs="Arial"/>
                <w:b/>
                <w:bCs/>
                <w:sz w:val="18"/>
                <w:szCs w:val="18"/>
              </w:rPr>
            </w:pPr>
            <w:r>
              <w:rPr>
                <w:rFonts w:ascii="Arial" w:hAnsi="Arial" w:cs="Arial"/>
                <w:b/>
                <w:bCs/>
                <w:sz w:val="18"/>
                <w:szCs w:val="18"/>
              </w:rPr>
              <w:t>The impairment allowance aged as follows</w:t>
            </w:r>
          </w:p>
        </w:tc>
        <w:tc>
          <w:tcPr>
            <w:tcW w:w="1249" w:type="dxa"/>
            <w:tcBorders>
              <w:top w:val="nil"/>
              <w:left w:val="nil"/>
              <w:bottom w:val="nil"/>
              <w:right w:val="nil"/>
            </w:tcBorders>
            <w:shd w:val="clear" w:color="FFFFFF" w:fill="FFFFFF"/>
            <w:noWrap/>
            <w:vAlign w:val="bottom"/>
            <w:hideMark/>
          </w:tcPr>
          <w:p w14:paraId="4A31C073" w14:textId="77777777" w:rsidR="00A43992" w:rsidRPr="00EE4FBB" w:rsidRDefault="00A43992" w:rsidP="007211E3">
            <w:pPr>
              <w:rPr>
                <w:rFonts w:ascii="Arial" w:hAnsi="Arial" w:cs="Arial"/>
                <w:sz w:val="18"/>
                <w:szCs w:val="18"/>
              </w:rPr>
            </w:pPr>
            <w:r w:rsidRPr="00EE4FBB">
              <w:rPr>
                <w:rFonts w:ascii="Arial" w:hAnsi="Arial" w:cs="Arial"/>
                <w:sz w:val="18"/>
                <w:szCs w:val="18"/>
              </w:rPr>
              <w:t> </w:t>
            </w:r>
          </w:p>
        </w:tc>
        <w:tc>
          <w:tcPr>
            <w:tcW w:w="236" w:type="dxa"/>
            <w:tcBorders>
              <w:top w:val="nil"/>
              <w:left w:val="nil"/>
              <w:bottom w:val="nil"/>
              <w:right w:val="nil"/>
            </w:tcBorders>
            <w:shd w:val="clear" w:color="FFFFFF" w:fill="FFFFFF"/>
            <w:noWrap/>
            <w:vAlign w:val="bottom"/>
            <w:hideMark/>
          </w:tcPr>
          <w:p w14:paraId="71B0E127" w14:textId="77777777" w:rsidR="00A43992" w:rsidRDefault="00A43992" w:rsidP="007211E3">
            <w:pPr>
              <w:rPr>
                <w:rFonts w:ascii="Arial" w:hAnsi="Arial" w:cs="Arial"/>
                <w:sz w:val="18"/>
                <w:szCs w:val="18"/>
              </w:rPr>
            </w:pPr>
            <w:r>
              <w:rPr>
                <w:rFonts w:ascii="Arial" w:hAnsi="Arial" w:cs="Arial"/>
                <w:sz w:val="18"/>
                <w:szCs w:val="18"/>
              </w:rPr>
              <w:t> </w:t>
            </w:r>
          </w:p>
        </w:tc>
        <w:tc>
          <w:tcPr>
            <w:tcW w:w="1249" w:type="dxa"/>
            <w:tcBorders>
              <w:top w:val="nil"/>
              <w:left w:val="nil"/>
              <w:bottom w:val="nil"/>
              <w:right w:val="nil"/>
            </w:tcBorders>
            <w:shd w:val="clear" w:color="FFFFFF" w:fill="FFFFFF"/>
            <w:noWrap/>
            <w:vAlign w:val="bottom"/>
            <w:hideMark/>
          </w:tcPr>
          <w:p w14:paraId="29BA8C28" w14:textId="77777777" w:rsidR="00A43992" w:rsidRDefault="00A43992" w:rsidP="007211E3">
            <w:pPr>
              <w:rPr>
                <w:rFonts w:ascii="Arial" w:hAnsi="Arial" w:cs="Arial"/>
                <w:sz w:val="18"/>
                <w:szCs w:val="18"/>
              </w:rPr>
            </w:pPr>
            <w:r>
              <w:rPr>
                <w:rFonts w:ascii="Arial" w:hAnsi="Arial" w:cs="Arial"/>
                <w:sz w:val="18"/>
                <w:szCs w:val="18"/>
              </w:rPr>
              <w:t> </w:t>
            </w:r>
          </w:p>
        </w:tc>
      </w:tr>
      <w:tr w:rsidR="00A43992" w14:paraId="0A641BEF" w14:textId="77777777" w:rsidTr="007211E3">
        <w:trPr>
          <w:trHeight w:val="255"/>
        </w:trPr>
        <w:tc>
          <w:tcPr>
            <w:tcW w:w="6353" w:type="dxa"/>
            <w:tcBorders>
              <w:top w:val="nil"/>
              <w:left w:val="nil"/>
              <w:bottom w:val="nil"/>
              <w:right w:val="nil"/>
            </w:tcBorders>
            <w:shd w:val="clear" w:color="FFFFFF" w:fill="FFFFFF"/>
            <w:noWrap/>
            <w:vAlign w:val="bottom"/>
            <w:hideMark/>
          </w:tcPr>
          <w:p w14:paraId="2AA716EA" w14:textId="77777777" w:rsidR="00A43992" w:rsidRDefault="00A43992" w:rsidP="007211E3">
            <w:pPr>
              <w:ind w:firstLineChars="100" w:firstLine="180"/>
              <w:rPr>
                <w:rFonts w:ascii="Arial" w:hAnsi="Arial" w:cs="Arial"/>
                <w:sz w:val="18"/>
                <w:szCs w:val="18"/>
              </w:rPr>
            </w:pPr>
            <w:r>
              <w:rPr>
                <w:rFonts w:ascii="Arial" w:hAnsi="Arial" w:cs="Arial"/>
                <w:sz w:val="18"/>
                <w:szCs w:val="18"/>
              </w:rPr>
              <w:t>Overdue by</w:t>
            </w:r>
          </w:p>
        </w:tc>
        <w:tc>
          <w:tcPr>
            <w:tcW w:w="1249" w:type="dxa"/>
            <w:tcBorders>
              <w:top w:val="nil"/>
              <w:left w:val="nil"/>
              <w:bottom w:val="nil"/>
              <w:right w:val="nil"/>
            </w:tcBorders>
            <w:shd w:val="clear" w:color="FFFFFF" w:fill="FFFFFF"/>
            <w:noWrap/>
            <w:vAlign w:val="bottom"/>
            <w:hideMark/>
          </w:tcPr>
          <w:p w14:paraId="6726D5AA" w14:textId="77777777" w:rsidR="00A43992" w:rsidRPr="00EE4FBB" w:rsidRDefault="00A43992" w:rsidP="007211E3">
            <w:pPr>
              <w:rPr>
                <w:rFonts w:ascii="Arial" w:hAnsi="Arial" w:cs="Arial"/>
                <w:sz w:val="18"/>
                <w:szCs w:val="18"/>
              </w:rPr>
            </w:pPr>
            <w:r w:rsidRPr="00EE4FBB">
              <w:rPr>
                <w:rFonts w:ascii="Arial" w:hAnsi="Arial" w:cs="Arial"/>
                <w:sz w:val="18"/>
                <w:szCs w:val="18"/>
              </w:rPr>
              <w:t> </w:t>
            </w:r>
          </w:p>
        </w:tc>
        <w:tc>
          <w:tcPr>
            <w:tcW w:w="236" w:type="dxa"/>
            <w:tcBorders>
              <w:top w:val="nil"/>
              <w:left w:val="nil"/>
              <w:bottom w:val="nil"/>
              <w:right w:val="nil"/>
            </w:tcBorders>
            <w:shd w:val="clear" w:color="FFFFFF" w:fill="FFFFFF"/>
            <w:noWrap/>
            <w:vAlign w:val="bottom"/>
            <w:hideMark/>
          </w:tcPr>
          <w:p w14:paraId="57DFBF9C" w14:textId="77777777" w:rsidR="00A43992" w:rsidRDefault="00A43992" w:rsidP="007211E3">
            <w:pPr>
              <w:rPr>
                <w:rFonts w:ascii="Arial" w:hAnsi="Arial" w:cs="Arial"/>
                <w:sz w:val="18"/>
                <w:szCs w:val="18"/>
              </w:rPr>
            </w:pPr>
            <w:r>
              <w:rPr>
                <w:rFonts w:ascii="Arial" w:hAnsi="Arial" w:cs="Arial"/>
                <w:sz w:val="18"/>
                <w:szCs w:val="18"/>
              </w:rPr>
              <w:t> </w:t>
            </w:r>
          </w:p>
        </w:tc>
        <w:tc>
          <w:tcPr>
            <w:tcW w:w="1249" w:type="dxa"/>
            <w:tcBorders>
              <w:top w:val="nil"/>
              <w:left w:val="nil"/>
              <w:bottom w:val="nil"/>
              <w:right w:val="nil"/>
            </w:tcBorders>
            <w:shd w:val="clear" w:color="FFFFFF" w:fill="FFFFFF"/>
            <w:noWrap/>
            <w:vAlign w:val="bottom"/>
            <w:hideMark/>
          </w:tcPr>
          <w:p w14:paraId="3DC6B03E" w14:textId="77777777" w:rsidR="00A43992" w:rsidRDefault="00A43992" w:rsidP="007211E3">
            <w:pPr>
              <w:rPr>
                <w:rFonts w:ascii="Arial" w:hAnsi="Arial" w:cs="Arial"/>
                <w:sz w:val="18"/>
                <w:szCs w:val="18"/>
              </w:rPr>
            </w:pPr>
            <w:r>
              <w:rPr>
                <w:rFonts w:ascii="Arial" w:hAnsi="Arial" w:cs="Arial"/>
                <w:sz w:val="18"/>
                <w:szCs w:val="18"/>
              </w:rPr>
              <w:t> </w:t>
            </w:r>
          </w:p>
        </w:tc>
      </w:tr>
      <w:tr w:rsidR="00A43992" w14:paraId="7F8580A6" w14:textId="77777777" w:rsidTr="007211E3">
        <w:trPr>
          <w:trHeight w:val="255"/>
        </w:trPr>
        <w:tc>
          <w:tcPr>
            <w:tcW w:w="6353" w:type="dxa"/>
            <w:tcBorders>
              <w:top w:val="nil"/>
              <w:left w:val="nil"/>
              <w:bottom w:val="nil"/>
              <w:right w:val="nil"/>
            </w:tcBorders>
            <w:shd w:val="clear" w:color="FFFFFF" w:fill="FFFFFF"/>
            <w:noWrap/>
            <w:vAlign w:val="bottom"/>
            <w:hideMark/>
          </w:tcPr>
          <w:p w14:paraId="3D905865" w14:textId="77777777" w:rsidR="00A43992" w:rsidRDefault="00A43992" w:rsidP="007211E3">
            <w:pPr>
              <w:ind w:firstLineChars="200" w:firstLine="360"/>
              <w:rPr>
                <w:rFonts w:ascii="Arial" w:hAnsi="Arial" w:cs="Arial"/>
                <w:sz w:val="18"/>
                <w:szCs w:val="18"/>
              </w:rPr>
            </w:pPr>
            <w:r>
              <w:rPr>
                <w:rFonts w:ascii="Arial" w:hAnsi="Arial" w:cs="Arial"/>
                <w:sz w:val="18"/>
                <w:szCs w:val="18"/>
              </w:rPr>
              <w:t xml:space="preserve">     More than 90 days</w:t>
            </w:r>
          </w:p>
        </w:tc>
        <w:tc>
          <w:tcPr>
            <w:tcW w:w="1249" w:type="dxa"/>
            <w:tcBorders>
              <w:top w:val="nil"/>
              <w:left w:val="nil"/>
              <w:bottom w:val="nil"/>
              <w:right w:val="nil"/>
            </w:tcBorders>
            <w:shd w:val="clear" w:color="FFFFFF" w:fill="FFFFFF"/>
            <w:noWrap/>
            <w:vAlign w:val="bottom"/>
            <w:hideMark/>
          </w:tcPr>
          <w:p w14:paraId="659BF9D9" w14:textId="77777777" w:rsidR="00A43992" w:rsidRPr="00EE4FBB" w:rsidRDefault="00A43992" w:rsidP="007211E3">
            <w:pPr>
              <w:jc w:val="right"/>
              <w:rPr>
                <w:rFonts w:ascii="Arial" w:hAnsi="Arial" w:cs="Arial"/>
                <w:b/>
                <w:bCs/>
                <w:sz w:val="18"/>
                <w:szCs w:val="18"/>
              </w:rPr>
            </w:pPr>
            <w:r w:rsidRPr="00EE4FBB">
              <w:rPr>
                <w:rFonts w:ascii="Arial" w:hAnsi="Arial" w:cs="Arial"/>
                <w:b/>
                <w:bCs/>
                <w:sz w:val="18"/>
                <w:szCs w:val="18"/>
              </w:rPr>
              <w:t>17,671</w:t>
            </w:r>
          </w:p>
        </w:tc>
        <w:tc>
          <w:tcPr>
            <w:tcW w:w="236" w:type="dxa"/>
            <w:tcBorders>
              <w:top w:val="nil"/>
              <w:left w:val="nil"/>
              <w:bottom w:val="nil"/>
              <w:right w:val="nil"/>
            </w:tcBorders>
            <w:shd w:val="clear" w:color="FFFFFF" w:fill="FFFFFF"/>
            <w:noWrap/>
            <w:vAlign w:val="bottom"/>
            <w:hideMark/>
          </w:tcPr>
          <w:p w14:paraId="2BCCEDE6" w14:textId="77777777" w:rsidR="00A43992" w:rsidRDefault="00A43992" w:rsidP="007211E3">
            <w:pPr>
              <w:rPr>
                <w:rFonts w:ascii="Arial" w:hAnsi="Arial" w:cs="Arial"/>
                <w:sz w:val="18"/>
                <w:szCs w:val="18"/>
              </w:rPr>
            </w:pPr>
            <w:r>
              <w:rPr>
                <w:rFonts w:ascii="Arial" w:hAnsi="Arial" w:cs="Arial"/>
                <w:sz w:val="18"/>
                <w:szCs w:val="18"/>
              </w:rPr>
              <w:t> </w:t>
            </w:r>
          </w:p>
        </w:tc>
        <w:tc>
          <w:tcPr>
            <w:tcW w:w="1249" w:type="dxa"/>
            <w:tcBorders>
              <w:top w:val="nil"/>
              <w:left w:val="nil"/>
              <w:bottom w:val="nil"/>
              <w:right w:val="nil"/>
            </w:tcBorders>
            <w:shd w:val="clear" w:color="FFFFFF" w:fill="FFFFFF"/>
            <w:noWrap/>
            <w:vAlign w:val="bottom"/>
            <w:hideMark/>
          </w:tcPr>
          <w:p w14:paraId="6FCF51E4" w14:textId="77777777" w:rsidR="00A43992" w:rsidRDefault="00A43992" w:rsidP="007211E3">
            <w:pPr>
              <w:jc w:val="right"/>
              <w:rPr>
                <w:rFonts w:ascii="Arial" w:hAnsi="Arial" w:cs="Arial"/>
                <w:sz w:val="18"/>
                <w:szCs w:val="18"/>
              </w:rPr>
            </w:pPr>
            <w:r>
              <w:rPr>
                <w:rFonts w:ascii="Arial" w:hAnsi="Arial" w:cs="Arial"/>
                <w:sz w:val="18"/>
                <w:szCs w:val="18"/>
              </w:rPr>
              <w:t xml:space="preserve"> -</w:t>
            </w:r>
          </w:p>
        </w:tc>
      </w:tr>
      <w:tr w:rsidR="00A43992" w14:paraId="326B312D" w14:textId="77777777" w:rsidTr="007211E3">
        <w:trPr>
          <w:trHeight w:val="255"/>
        </w:trPr>
        <w:tc>
          <w:tcPr>
            <w:tcW w:w="6353" w:type="dxa"/>
            <w:tcBorders>
              <w:top w:val="nil"/>
              <w:left w:val="nil"/>
              <w:bottom w:val="nil"/>
              <w:right w:val="nil"/>
            </w:tcBorders>
            <w:shd w:val="clear" w:color="FFFFFF" w:fill="FFFFFF"/>
            <w:vAlign w:val="bottom"/>
            <w:hideMark/>
          </w:tcPr>
          <w:p w14:paraId="3FA56501" w14:textId="77777777" w:rsidR="00A43992" w:rsidRDefault="00A43992" w:rsidP="007211E3">
            <w:pPr>
              <w:rPr>
                <w:rFonts w:ascii="Arial" w:hAnsi="Arial" w:cs="Arial"/>
                <w:b/>
                <w:bCs/>
                <w:sz w:val="18"/>
                <w:szCs w:val="18"/>
              </w:rPr>
            </w:pPr>
            <w:r>
              <w:rPr>
                <w:rFonts w:ascii="Arial" w:hAnsi="Arial" w:cs="Arial"/>
                <w:b/>
                <w:bCs/>
                <w:sz w:val="18"/>
                <w:szCs w:val="18"/>
              </w:rPr>
              <w:t>Total impairment allowance account</w:t>
            </w:r>
          </w:p>
        </w:tc>
        <w:tc>
          <w:tcPr>
            <w:tcW w:w="1249" w:type="dxa"/>
            <w:tcBorders>
              <w:top w:val="single" w:sz="4" w:space="0" w:color="auto"/>
              <w:left w:val="nil"/>
              <w:bottom w:val="single" w:sz="4" w:space="0" w:color="auto"/>
              <w:right w:val="nil"/>
            </w:tcBorders>
            <w:shd w:val="clear" w:color="FFFFFF" w:fill="FFFFFF"/>
            <w:noWrap/>
            <w:vAlign w:val="bottom"/>
            <w:hideMark/>
          </w:tcPr>
          <w:p w14:paraId="4720A537" w14:textId="77777777" w:rsidR="00A43992" w:rsidRPr="00EE4FBB" w:rsidRDefault="00A43992" w:rsidP="007211E3">
            <w:pPr>
              <w:jc w:val="right"/>
              <w:rPr>
                <w:rFonts w:ascii="Arial" w:hAnsi="Arial" w:cs="Arial"/>
                <w:b/>
                <w:bCs/>
                <w:sz w:val="18"/>
                <w:szCs w:val="18"/>
              </w:rPr>
            </w:pPr>
            <w:r w:rsidRPr="00EE4FBB">
              <w:rPr>
                <w:rFonts w:ascii="Arial" w:hAnsi="Arial" w:cs="Arial"/>
                <w:b/>
                <w:bCs/>
                <w:sz w:val="18"/>
                <w:szCs w:val="18"/>
              </w:rPr>
              <w:t>17,671</w:t>
            </w:r>
          </w:p>
        </w:tc>
        <w:tc>
          <w:tcPr>
            <w:tcW w:w="236" w:type="dxa"/>
            <w:tcBorders>
              <w:top w:val="nil"/>
              <w:left w:val="nil"/>
              <w:bottom w:val="nil"/>
              <w:right w:val="nil"/>
            </w:tcBorders>
            <w:shd w:val="clear" w:color="FFFFFF" w:fill="FFFFFF"/>
            <w:noWrap/>
            <w:vAlign w:val="bottom"/>
            <w:hideMark/>
          </w:tcPr>
          <w:p w14:paraId="4A6EFE41" w14:textId="77777777" w:rsidR="00A43992" w:rsidRDefault="00A43992" w:rsidP="007211E3">
            <w:pPr>
              <w:rPr>
                <w:rFonts w:ascii="Arial" w:hAnsi="Arial" w:cs="Arial"/>
                <w:sz w:val="18"/>
                <w:szCs w:val="18"/>
              </w:rPr>
            </w:pPr>
            <w:r>
              <w:rPr>
                <w:rFonts w:ascii="Arial" w:hAnsi="Arial" w:cs="Arial"/>
                <w:sz w:val="18"/>
                <w:szCs w:val="18"/>
              </w:rPr>
              <w:t> </w:t>
            </w:r>
          </w:p>
        </w:tc>
        <w:tc>
          <w:tcPr>
            <w:tcW w:w="1249" w:type="dxa"/>
            <w:tcBorders>
              <w:top w:val="single" w:sz="4" w:space="0" w:color="auto"/>
              <w:left w:val="nil"/>
              <w:bottom w:val="single" w:sz="4" w:space="0" w:color="auto"/>
              <w:right w:val="nil"/>
            </w:tcBorders>
            <w:shd w:val="clear" w:color="FFFFFF" w:fill="FFFFFF"/>
            <w:noWrap/>
            <w:vAlign w:val="bottom"/>
            <w:hideMark/>
          </w:tcPr>
          <w:p w14:paraId="1F1CE433" w14:textId="77777777" w:rsidR="00A43992" w:rsidRDefault="00A43992" w:rsidP="007211E3">
            <w:pPr>
              <w:jc w:val="right"/>
              <w:rPr>
                <w:rFonts w:ascii="Arial" w:hAnsi="Arial" w:cs="Arial"/>
                <w:sz w:val="18"/>
                <w:szCs w:val="18"/>
              </w:rPr>
            </w:pPr>
            <w:r>
              <w:rPr>
                <w:rFonts w:ascii="Arial" w:hAnsi="Arial" w:cs="Arial"/>
                <w:sz w:val="18"/>
                <w:szCs w:val="18"/>
              </w:rPr>
              <w:t>-</w:t>
            </w:r>
          </w:p>
        </w:tc>
      </w:tr>
    </w:tbl>
    <w:p w14:paraId="554A4B1C" w14:textId="77777777" w:rsidR="00A43992" w:rsidRDefault="00A43992" w:rsidP="00A43992">
      <w:pPr>
        <w:spacing w:line="240" w:lineRule="auto"/>
        <w:rPr>
          <w:rFonts w:ascii="Arial" w:hAnsi="Arial" w:cs="Arial"/>
          <w:sz w:val="18"/>
          <w:szCs w:val="18"/>
        </w:rPr>
      </w:pPr>
      <w:bookmarkStart w:id="244" w:name="RANGE!D7:G58"/>
      <w:bookmarkStart w:id="245" w:name="RANGE!D7:G52"/>
      <w:bookmarkStart w:id="246" w:name="RANGE!D7:G51"/>
      <w:bookmarkStart w:id="247" w:name="RANGE!D7:G46"/>
      <w:bookmarkStart w:id="248" w:name="RANGE!D7:G49"/>
      <w:bookmarkStart w:id="249" w:name="RANGE!D7:G45"/>
      <w:bookmarkStart w:id="250" w:name="RANGE!D7:G42"/>
      <w:bookmarkStart w:id="251" w:name="RANGE!D7:G56"/>
      <w:bookmarkStart w:id="252" w:name="RANGE!D6:D58"/>
      <w:bookmarkStart w:id="253" w:name="RANGE!D6:H58"/>
      <w:bookmarkStart w:id="254" w:name="RANGE!D7:G14"/>
      <w:bookmarkStart w:id="255" w:name="RANGE!D6:H13"/>
      <w:bookmarkStart w:id="256" w:name="RANGE!D6:H14"/>
      <w:bookmarkEnd w:id="244"/>
      <w:bookmarkEnd w:id="245"/>
      <w:bookmarkEnd w:id="246"/>
      <w:bookmarkEnd w:id="247"/>
      <w:bookmarkEnd w:id="248"/>
      <w:bookmarkEnd w:id="249"/>
      <w:bookmarkEnd w:id="250"/>
      <w:bookmarkEnd w:id="251"/>
      <w:bookmarkEnd w:id="252"/>
      <w:bookmarkEnd w:id="253"/>
      <w:bookmarkEnd w:id="254"/>
      <w:bookmarkEnd w:id="255"/>
      <w:bookmarkEnd w:id="256"/>
    </w:p>
    <w:p w14:paraId="1E30611E" w14:textId="77777777" w:rsidR="00A43992" w:rsidRDefault="00A43992" w:rsidP="00A43992">
      <w:pPr>
        <w:spacing w:line="240" w:lineRule="auto"/>
        <w:rPr>
          <w:rFonts w:ascii="Arial" w:hAnsi="Arial" w:cs="Arial"/>
          <w:sz w:val="18"/>
          <w:szCs w:val="18"/>
        </w:rPr>
      </w:pPr>
    </w:p>
    <w:tbl>
      <w:tblPr>
        <w:tblW w:w="9087" w:type="dxa"/>
        <w:tblInd w:w="80" w:type="dxa"/>
        <w:tblLayout w:type="fixed"/>
        <w:tblLook w:val="04A0" w:firstRow="1" w:lastRow="0" w:firstColumn="1" w:lastColumn="0" w:noHBand="0" w:noVBand="1"/>
      </w:tblPr>
      <w:tblGrid>
        <w:gridCol w:w="5165"/>
        <w:gridCol w:w="1276"/>
        <w:gridCol w:w="1392"/>
        <w:gridCol w:w="1254"/>
      </w:tblGrid>
      <w:tr w:rsidR="00A43992" w14:paraId="7408B454" w14:textId="77777777" w:rsidTr="007211E3">
        <w:trPr>
          <w:trHeight w:val="240"/>
        </w:trPr>
        <w:tc>
          <w:tcPr>
            <w:tcW w:w="5165" w:type="dxa"/>
            <w:tcBorders>
              <w:top w:val="nil"/>
              <w:left w:val="nil"/>
              <w:bottom w:val="nil"/>
              <w:right w:val="nil"/>
            </w:tcBorders>
            <w:shd w:val="clear" w:color="FFFFFF" w:fill="FFFFFF"/>
            <w:noWrap/>
            <w:vAlign w:val="bottom"/>
            <w:hideMark/>
          </w:tcPr>
          <w:p w14:paraId="410A7D9C" w14:textId="77777777" w:rsidR="00A43992" w:rsidRDefault="00A43992" w:rsidP="007211E3">
            <w:pPr>
              <w:rPr>
                <w:rFonts w:ascii="Arial" w:hAnsi="Arial" w:cs="Arial"/>
                <w:b/>
                <w:bCs/>
                <w:sz w:val="18"/>
                <w:szCs w:val="18"/>
              </w:rPr>
            </w:pPr>
            <w:bookmarkStart w:id="257" w:name="Note_RIATABLE1" w:colFirst="0" w:colLast="0"/>
            <w:r>
              <w:rPr>
                <w:rFonts w:ascii="Arial" w:hAnsi="Arial" w:cs="Arial"/>
                <w:b/>
                <w:bCs/>
                <w:sz w:val="18"/>
                <w:szCs w:val="18"/>
              </w:rPr>
              <w:t>Reconciliation of the Impairment Allowance Account:</w:t>
            </w:r>
          </w:p>
        </w:tc>
        <w:tc>
          <w:tcPr>
            <w:tcW w:w="1276" w:type="dxa"/>
            <w:tcBorders>
              <w:top w:val="nil"/>
              <w:left w:val="nil"/>
              <w:bottom w:val="nil"/>
              <w:right w:val="nil"/>
            </w:tcBorders>
            <w:shd w:val="clear" w:color="FFFFFF" w:fill="FFFFFF"/>
            <w:noWrap/>
            <w:vAlign w:val="bottom"/>
            <w:hideMark/>
          </w:tcPr>
          <w:p w14:paraId="4A81AEF9" w14:textId="77777777" w:rsidR="00A43992" w:rsidRDefault="00A43992" w:rsidP="007211E3">
            <w:pPr>
              <w:rPr>
                <w:rFonts w:ascii="Arial" w:hAnsi="Arial" w:cs="Arial"/>
                <w:sz w:val="18"/>
                <w:szCs w:val="18"/>
              </w:rPr>
            </w:pPr>
            <w:r>
              <w:rPr>
                <w:rFonts w:ascii="Arial" w:hAnsi="Arial" w:cs="Arial"/>
                <w:sz w:val="18"/>
                <w:szCs w:val="18"/>
              </w:rPr>
              <w:t> </w:t>
            </w:r>
          </w:p>
        </w:tc>
        <w:tc>
          <w:tcPr>
            <w:tcW w:w="1392" w:type="dxa"/>
            <w:tcBorders>
              <w:top w:val="nil"/>
              <w:left w:val="nil"/>
              <w:bottom w:val="nil"/>
              <w:right w:val="nil"/>
            </w:tcBorders>
            <w:shd w:val="clear" w:color="auto" w:fill="auto"/>
            <w:noWrap/>
            <w:vAlign w:val="bottom"/>
            <w:hideMark/>
          </w:tcPr>
          <w:p w14:paraId="6C227679" w14:textId="77777777" w:rsidR="00A43992" w:rsidRDefault="00A43992" w:rsidP="007211E3">
            <w:pPr>
              <w:rPr>
                <w:rFonts w:ascii="Arial" w:hAnsi="Arial" w:cs="Arial"/>
                <w:sz w:val="18"/>
                <w:szCs w:val="18"/>
              </w:rPr>
            </w:pPr>
          </w:p>
        </w:tc>
        <w:tc>
          <w:tcPr>
            <w:tcW w:w="1254" w:type="dxa"/>
            <w:tcBorders>
              <w:top w:val="nil"/>
              <w:left w:val="nil"/>
              <w:bottom w:val="nil"/>
              <w:right w:val="nil"/>
            </w:tcBorders>
            <w:shd w:val="clear" w:color="auto" w:fill="auto"/>
            <w:noWrap/>
            <w:vAlign w:val="bottom"/>
            <w:hideMark/>
          </w:tcPr>
          <w:p w14:paraId="0127EF01" w14:textId="77777777" w:rsidR="00A43992" w:rsidRDefault="00A43992" w:rsidP="007211E3"/>
        </w:tc>
      </w:tr>
      <w:bookmarkEnd w:id="257"/>
      <w:tr w:rsidR="00A43992" w14:paraId="7D4E3DEA" w14:textId="77777777" w:rsidTr="007211E3">
        <w:trPr>
          <w:trHeight w:val="240"/>
        </w:trPr>
        <w:tc>
          <w:tcPr>
            <w:tcW w:w="5165" w:type="dxa"/>
            <w:tcBorders>
              <w:top w:val="nil"/>
              <w:left w:val="nil"/>
              <w:bottom w:val="nil"/>
              <w:right w:val="nil"/>
            </w:tcBorders>
            <w:shd w:val="clear" w:color="FFFFFF" w:fill="FFFFFF"/>
            <w:noWrap/>
            <w:vAlign w:val="bottom"/>
            <w:hideMark/>
          </w:tcPr>
          <w:p w14:paraId="0CFAF8D9" w14:textId="77777777" w:rsidR="00A43992" w:rsidRDefault="00A43992" w:rsidP="007211E3">
            <w:pPr>
              <w:rPr>
                <w:rFonts w:ascii="Arial" w:hAnsi="Arial" w:cs="Arial"/>
                <w:sz w:val="18"/>
                <w:szCs w:val="18"/>
              </w:rPr>
            </w:pPr>
            <w:r>
              <w:rPr>
                <w:rFonts w:ascii="Arial" w:hAnsi="Arial" w:cs="Arial"/>
                <w:sz w:val="18"/>
                <w:szCs w:val="18"/>
              </w:rPr>
              <w:t> </w:t>
            </w:r>
          </w:p>
        </w:tc>
        <w:tc>
          <w:tcPr>
            <w:tcW w:w="1276" w:type="dxa"/>
            <w:tcBorders>
              <w:top w:val="nil"/>
              <w:left w:val="nil"/>
              <w:bottom w:val="nil"/>
              <w:right w:val="nil"/>
            </w:tcBorders>
            <w:shd w:val="clear" w:color="FFFFFF" w:fill="FFFFFF"/>
            <w:noWrap/>
            <w:vAlign w:val="bottom"/>
            <w:hideMark/>
          </w:tcPr>
          <w:p w14:paraId="1329654A" w14:textId="77777777" w:rsidR="00A43992" w:rsidRDefault="00A43992" w:rsidP="007211E3">
            <w:pPr>
              <w:rPr>
                <w:rFonts w:ascii="Arial" w:hAnsi="Arial" w:cs="Arial"/>
                <w:sz w:val="18"/>
                <w:szCs w:val="18"/>
              </w:rPr>
            </w:pPr>
            <w:r>
              <w:rPr>
                <w:rFonts w:ascii="Arial" w:hAnsi="Arial" w:cs="Arial"/>
                <w:sz w:val="18"/>
                <w:szCs w:val="18"/>
              </w:rPr>
              <w:t> </w:t>
            </w:r>
          </w:p>
        </w:tc>
        <w:tc>
          <w:tcPr>
            <w:tcW w:w="1392" w:type="dxa"/>
            <w:tcBorders>
              <w:top w:val="nil"/>
              <w:left w:val="nil"/>
              <w:bottom w:val="nil"/>
              <w:right w:val="nil"/>
            </w:tcBorders>
            <w:shd w:val="clear" w:color="auto" w:fill="auto"/>
            <w:noWrap/>
            <w:vAlign w:val="bottom"/>
            <w:hideMark/>
          </w:tcPr>
          <w:p w14:paraId="361F9429" w14:textId="77777777" w:rsidR="00A43992" w:rsidRDefault="00A43992" w:rsidP="007211E3">
            <w:pPr>
              <w:rPr>
                <w:rFonts w:ascii="Arial" w:hAnsi="Arial" w:cs="Arial"/>
                <w:sz w:val="18"/>
                <w:szCs w:val="18"/>
              </w:rPr>
            </w:pPr>
          </w:p>
        </w:tc>
        <w:tc>
          <w:tcPr>
            <w:tcW w:w="1254" w:type="dxa"/>
            <w:tcBorders>
              <w:top w:val="nil"/>
              <w:left w:val="nil"/>
              <w:bottom w:val="nil"/>
              <w:right w:val="nil"/>
            </w:tcBorders>
            <w:shd w:val="clear" w:color="auto" w:fill="auto"/>
            <w:noWrap/>
            <w:vAlign w:val="bottom"/>
            <w:hideMark/>
          </w:tcPr>
          <w:p w14:paraId="7483BF49" w14:textId="77777777" w:rsidR="00A43992" w:rsidRDefault="00A43992" w:rsidP="007211E3"/>
        </w:tc>
      </w:tr>
      <w:tr w:rsidR="00A43992" w14:paraId="7C2795B3" w14:textId="77777777" w:rsidTr="007211E3">
        <w:trPr>
          <w:trHeight w:val="240"/>
        </w:trPr>
        <w:tc>
          <w:tcPr>
            <w:tcW w:w="5165" w:type="dxa"/>
            <w:tcBorders>
              <w:top w:val="nil"/>
              <w:left w:val="nil"/>
              <w:bottom w:val="nil"/>
              <w:right w:val="nil"/>
            </w:tcBorders>
            <w:shd w:val="clear" w:color="FFFFFF" w:fill="FFFFFF"/>
            <w:noWrap/>
            <w:vAlign w:val="bottom"/>
            <w:hideMark/>
          </w:tcPr>
          <w:p w14:paraId="3DAA3783" w14:textId="77777777" w:rsidR="00A43992" w:rsidRDefault="00A43992" w:rsidP="007211E3">
            <w:pPr>
              <w:rPr>
                <w:rFonts w:ascii="Arial" w:hAnsi="Arial" w:cs="Arial"/>
                <w:b/>
                <w:bCs/>
                <w:sz w:val="18"/>
                <w:szCs w:val="18"/>
              </w:rPr>
            </w:pPr>
            <w:r>
              <w:rPr>
                <w:rFonts w:ascii="Arial" w:hAnsi="Arial" w:cs="Arial"/>
                <w:b/>
                <w:bCs/>
                <w:sz w:val="18"/>
                <w:szCs w:val="18"/>
              </w:rPr>
              <w:t>Movements in relation to 2016</w:t>
            </w:r>
          </w:p>
        </w:tc>
        <w:tc>
          <w:tcPr>
            <w:tcW w:w="1276" w:type="dxa"/>
            <w:tcBorders>
              <w:top w:val="nil"/>
              <w:left w:val="nil"/>
              <w:bottom w:val="nil"/>
              <w:right w:val="nil"/>
            </w:tcBorders>
            <w:shd w:val="clear" w:color="FFFFFF" w:fill="FFFFFF"/>
            <w:noWrap/>
            <w:vAlign w:val="bottom"/>
            <w:hideMark/>
          </w:tcPr>
          <w:p w14:paraId="46208005" w14:textId="77777777" w:rsidR="00A43992" w:rsidRDefault="00A43992" w:rsidP="007211E3">
            <w:pPr>
              <w:rPr>
                <w:rFonts w:ascii="Arial" w:hAnsi="Arial" w:cs="Arial"/>
                <w:sz w:val="18"/>
                <w:szCs w:val="18"/>
              </w:rPr>
            </w:pPr>
            <w:r>
              <w:rPr>
                <w:rFonts w:ascii="Arial" w:hAnsi="Arial" w:cs="Arial"/>
                <w:sz w:val="18"/>
                <w:szCs w:val="18"/>
              </w:rPr>
              <w:t> </w:t>
            </w:r>
          </w:p>
        </w:tc>
        <w:tc>
          <w:tcPr>
            <w:tcW w:w="1392" w:type="dxa"/>
            <w:tcBorders>
              <w:top w:val="nil"/>
              <w:left w:val="nil"/>
              <w:bottom w:val="nil"/>
              <w:right w:val="nil"/>
            </w:tcBorders>
            <w:shd w:val="clear" w:color="auto" w:fill="auto"/>
            <w:noWrap/>
            <w:vAlign w:val="bottom"/>
            <w:hideMark/>
          </w:tcPr>
          <w:p w14:paraId="67DC1B14" w14:textId="77777777" w:rsidR="00A43992" w:rsidRDefault="00A43992" w:rsidP="007211E3">
            <w:pPr>
              <w:rPr>
                <w:rFonts w:ascii="Arial" w:hAnsi="Arial" w:cs="Arial"/>
                <w:sz w:val="18"/>
                <w:szCs w:val="18"/>
              </w:rPr>
            </w:pPr>
          </w:p>
        </w:tc>
        <w:tc>
          <w:tcPr>
            <w:tcW w:w="1254" w:type="dxa"/>
            <w:tcBorders>
              <w:top w:val="nil"/>
              <w:left w:val="nil"/>
              <w:bottom w:val="nil"/>
              <w:right w:val="nil"/>
            </w:tcBorders>
            <w:shd w:val="clear" w:color="auto" w:fill="auto"/>
            <w:noWrap/>
            <w:vAlign w:val="bottom"/>
            <w:hideMark/>
          </w:tcPr>
          <w:p w14:paraId="0207B140" w14:textId="77777777" w:rsidR="00A43992" w:rsidRDefault="00A43992" w:rsidP="007211E3"/>
        </w:tc>
      </w:tr>
      <w:tr w:rsidR="00A43992" w14:paraId="0D9723FB" w14:textId="77777777" w:rsidTr="007211E3">
        <w:trPr>
          <w:trHeight w:val="240"/>
        </w:trPr>
        <w:tc>
          <w:tcPr>
            <w:tcW w:w="5165" w:type="dxa"/>
            <w:tcBorders>
              <w:top w:val="single" w:sz="4" w:space="0" w:color="auto"/>
              <w:left w:val="nil"/>
              <w:bottom w:val="nil"/>
              <w:right w:val="nil"/>
            </w:tcBorders>
            <w:shd w:val="clear" w:color="FFFFFF" w:fill="FFFFFF"/>
            <w:noWrap/>
            <w:vAlign w:val="bottom"/>
            <w:hideMark/>
          </w:tcPr>
          <w:p w14:paraId="15A6EFBD" w14:textId="77777777" w:rsidR="00A43992" w:rsidRDefault="00A43992" w:rsidP="007211E3">
            <w:pPr>
              <w:rPr>
                <w:rFonts w:ascii="Arial" w:hAnsi="Arial" w:cs="Arial"/>
                <w:sz w:val="18"/>
                <w:szCs w:val="18"/>
              </w:rPr>
            </w:pPr>
            <w:r>
              <w:rPr>
                <w:rFonts w:ascii="Arial" w:hAnsi="Arial" w:cs="Arial"/>
                <w:sz w:val="18"/>
                <w:szCs w:val="18"/>
              </w:rPr>
              <w:t> </w:t>
            </w:r>
          </w:p>
        </w:tc>
        <w:tc>
          <w:tcPr>
            <w:tcW w:w="1276" w:type="dxa"/>
            <w:tcBorders>
              <w:top w:val="single" w:sz="4" w:space="0" w:color="auto"/>
              <w:left w:val="nil"/>
              <w:bottom w:val="nil"/>
              <w:right w:val="nil"/>
            </w:tcBorders>
            <w:shd w:val="clear" w:color="FFFFFF" w:fill="FFFFFF"/>
            <w:vAlign w:val="bottom"/>
            <w:hideMark/>
          </w:tcPr>
          <w:p w14:paraId="4047EBDE" w14:textId="77777777" w:rsidR="00A43992" w:rsidRDefault="00A43992" w:rsidP="007211E3">
            <w:pPr>
              <w:jc w:val="right"/>
              <w:rPr>
                <w:rFonts w:ascii="Arial" w:hAnsi="Arial" w:cs="Arial"/>
                <w:b/>
                <w:bCs/>
                <w:sz w:val="18"/>
                <w:szCs w:val="18"/>
              </w:rPr>
            </w:pPr>
            <w:r>
              <w:rPr>
                <w:rFonts w:ascii="Arial" w:hAnsi="Arial" w:cs="Arial"/>
                <w:b/>
                <w:bCs/>
                <w:sz w:val="18"/>
                <w:szCs w:val="18"/>
              </w:rPr>
              <w:t>Goods and services</w:t>
            </w:r>
          </w:p>
        </w:tc>
        <w:tc>
          <w:tcPr>
            <w:tcW w:w="1392" w:type="dxa"/>
            <w:tcBorders>
              <w:top w:val="single" w:sz="4" w:space="0" w:color="auto"/>
              <w:left w:val="nil"/>
              <w:bottom w:val="nil"/>
              <w:right w:val="nil"/>
            </w:tcBorders>
            <w:shd w:val="clear" w:color="FFFFFF" w:fill="FFFFFF"/>
            <w:vAlign w:val="bottom"/>
            <w:hideMark/>
          </w:tcPr>
          <w:p w14:paraId="2230850F" w14:textId="77777777" w:rsidR="00A43992" w:rsidRDefault="00A43992" w:rsidP="007211E3">
            <w:pPr>
              <w:jc w:val="right"/>
              <w:rPr>
                <w:rFonts w:ascii="Arial" w:hAnsi="Arial" w:cs="Arial"/>
                <w:b/>
                <w:bCs/>
                <w:sz w:val="18"/>
                <w:szCs w:val="18"/>
              </w:rPr>
            </w:pPr>
            <w:r>
              <w:rPr>
                <w:rFonts w:ascii="Arial" w:hAnsi="Arial" w:cs="Arial"/>
                <w:b/>
                <w:bCs/>
                <w:sz w:val="18"/>
                <w:szCs w:val="18"/>
              </w:rPr>
              <w:t>Additional Scheme contributions</w:t>
            </w:r>
          </w:p>
        </w:tc>
        <w:tc>
          <w:tcPr>
            <w:tcW w:w="1254" w:type="dxa"/>
            <w:tcBorders>
              <w:top w:val="single" w:sz="4" w:space="0" w:color="auto"/>
              <w:left w:val="nil"/>
              <w:bottom w:val="nil"/>
              <w:right w:val="nil"/>
            </w:tcBorders>
            <w:shd w:val="clear" w:color="FFFFFF" w:fill="FFFFFF"/>
            <w:vAlign w:val="bottom"/>
            <w:hideMark/>
          </w:tcPr>
          <w:p w14:paraId="3A6D4905" w14:textId="77777777" w:rsidR="00A43992" w:rsidRDefault="00A43992" w:rsidP="007211E3">
            <w:pPr>
              <w:jc w:val="right"/>
              <w:rPr>
                <w:rFonts w:ascii="Arial" w:hAnsi="Arial" w:cs="Arial"/>
                <w:b/>
                <w:bCs/>
                <w:sz w:val="18"/>
                <w:szCs w:val="18"/>
              </w:rPr>
            </w:pPr>
            <w:r>
              <w:rPr>
                <w:rFonts w:ascii="Arial" w:hAnsi="Arial" w:cs="Arial"/>
                <w:b/>
                <w:bCs/>
                <w:sz w:val="18"/>
                <w:szCs w:val="18"/>
              </w:rPr>
              <w:t>Total</w:t>
            </w:r>
          </w:p>
        </w:tc>
      </w:tr>
      <w:tr w:rsidR="00A43992" w14:paraId="7F5344E4" w14:textId="77777777" w:rsidTr="007211E3">
        <w:trPr>
          <w:trHeight w:val="240"/>
        </w:trPr>
        <w:tc>
          <w:tcPr>
            <w:tcW w:w="5165" w:type="dxa"/>
            <w:tcBorders>
              <w:top w:val="nil"/>
              <w:left w:val="nil"/>
              <w:bottom w:val="single" w:sz="4" w:space="0" w:color="auto"/>
              <w:right w:val="nil"/>
            </w:tcBorders>
            <w:shd w:val="clear" w:color="FFFFFF" w:fill="FFFFFF"/>
            <w:noWrap/>
            <w:vAlign w:val="bottom"/>
            <w:hideMark/>
          </w:tcPr>
          <w:p w14:paraId="7A4BFB85" w14:textId="77777777" w:rsidR="00A43992" w:rsidRDefault="00A43992" w:rsidP="007211E3">
            <w:pPr>
              <w:rPr>
                <w:rFonts w:ascii="Arial" w:hAnsi="Arial" w:cs="Arial"/>
                <w:sz w:val="18"/>
                <w:szCs w:val="18"/>
              </w:rPr>
            </w:pPr>
            <w:r>
              <w:rPr>
                <w:rFonts w:ascii="Arial" w:hAnsi="Arial" w:cs="Arial"/>
                <w:sz w:val="18"/>
                <w:szCs w:val="18"/>
              </w:rPr>
              <w:t> </w:t>
            </w:r>
          </w:p>
        </w:tc>
        <w:tc>
          <w:tcPr>
            <w:tcW w:w="1276" w:type="dxa"/>
            <w:tcBorders>
              <w:top w:val="nil"/>
              <w:left w:val="nil"/>
              <w:bottom w:val="single" w:sz="4" w:space="0" w:color="auto"/>
              <w:right w:val="nil"/>
            </w:tcBorders>
            <w:shd w:val="clear" w:color="FFFFFF" w:fill="FFFFFF"/>
            <w:vAlign w:val="bottom"/>
            <w:hideMark/>
          </w:tcPr>
          <w:p w14:paraId="4FFD0504" w14:textId="77777777" w:rsidR="00A43992" w:rsidRDefault="00A43992" w:rsidP="007211E3">
            <w:pPr>
              <w:jc w:val="right"/>
              <w:rPr>
                <w:rFonts w:ascii="Arial" w:hAnsi="Arial" w:cs="Arial"/>
                <w:b/>
                <w:bCs/>
                <w:sz w:val="18"/>
                <w:szCs w:val="18"/>
              </w:rPr>
            </w:pPr>
            <w:r>
              <w:rPr>
                <w:rFonts w:ascii="Arial" w:hAnsi="Arial" w:cs="Arial"/>
                <w:b/>
                <w:bCs/>
                <w:sz w:val="18"/>
                <w:szCs w:val="18"/>
              </w:rPr>
              <w:t>$'000</w:t>
            </w:r>
          </w:p>
        </w:tc>
        <w:tc>
          <w:tcPr>
            <w:tcW w:w="1392" w:type="dxa"/>
            <w:tcBorders>
              <w:top w:val="nil"/>
              <w:left w:val="nil"/>
              <w:bottom w:val="single" w:sz="4" w:space="0" w:color="auto"/>
              <w:right w:val="nil"/>
            </w:tcBorders>
            <w:shd w:val="clear" w:color="FFFFFF" w:fill="FFFFFF"/>
            <w:vAlign w:val="bottom"/>
            <w:hideMark/>
          </w:tcPr>
          <w:p w14:paraId="38B65347" w14:textId="77777777" w:rsidR="00A43992" w:rsidRDefault="00A43992" w:rsidP="007211E3">
            <w:pPr>
              <w:jc w:val="right"/>
              <w:rPr>
                <w:rFonts w:ascii="Arial" w:hAnsi="Arial" w:cs="Arial"/>
                <w:b/>
                <w:bCs/>
                <w:sz w:val="18"/>
                <w:szCs w:val="18"/>
              </w:rPr>
            </w:pPr>
            <w:r>
              <w:rPr>
                <w:rFonts w:ascii="Arial" w:hAnsi="Arial" w:cs="Arial"/>
                <w:b/>
                <w:bCs/>
                <w:sz w:val="18"/>
                <w:szCs w:val="18"/>
              </w:rPr>
              <w:t>$'000</w:t>
            </w:r>
          </w:p>
        </w:tc>
        <w:tc>
          <w:tcPr>
            <w:tcW w:w="1254" w:type="dxa"/>
            <w:tcBorders>
              <w:top w:val="nil"/>
              <w:left w:val="nil"/>
              <w:bottom w:val="single" w:sz="4" w:space="0" w:color="auto"/>
              <w:right w:val="nil"/>
            </w:tcBorders>
            <w:shd w:val="clear" w:color="FFFFFF" w:fill="FFFFFF"/>
            <w:vAlign w:val="bottom"/>
            <w:hideMark/>
          </w:tcPr>
          <w:p w14:paraId="45A5A90E" w14:textId="77777777" w:rsidR="00A43992" w:rsidRDefault="00A43992" w:rsidP="007211E3">
            <w:pPr>
              <w:jc w:val="right"/>
              <w:rPr>
                <w:rFonts w:ascii="Arial" w:hAnsi="Arial" w:cs="Arial"/>
                <w:b/>
                <w:bCs/>
                <w:sz w:val="18"/>
                <w:szCs w:val="18"/>
              </w:rPr>
            </w:pPr>
            <w:r>
              <w:rPr>
                <w:rFonts w:ascii="Arial" w:hAnsi="Arial" w:cs="Arial"/>
                <w:b/>
                <w:bCs/>
                <w:sz w:val="18"/>
                <w:szCs w:val="18"/>
              </w:rPr>
              <w:t>$'000</w:t>
            </w:r>
          </w:p>
        </w:tc>
      </w:tr>
      <w:tr w:rsidR="00A43992" w14:paraId="0CB6052F" w14:textId="77777777" w:rsidTr="007211E3">
        <w:trPr>
          <w:trHeight w:val="240"/>
        </w:trPr>
        <w:tc>
          <w:tcPr>
            <w:tcW w:w="5165" w:type="dxa"/>
            <w:tcBorders>
              <w:top w:val="nil"/>
              <w:left w:val="nil"/>
              <w:bottom w:val="nil"/>
              <w:right w:val="nil"/>
            </w:tcBorders>
            <w:shd w:val="clear" w:color="FFFFFF" w:fill="FFFFFF"/>
            <w:vAlign w:val="bottom"/>
            <w:hideMark/>
          </w:tcPr>
          <w:p w14:paraId="3886D19E" w14:textId="77777777" w:rsidR="00A43992" w:rsidRDefault="00A43992" w:rsidP="007211E3">
            <w:pPr>
              <w:rPr>
                <w:rFonts w:ascii="Arial" w:hAnsi="Arial" w:cs="Arial"/>
                <w:b/>
                <w:bCs/>
                <w:sz w:val="18"/>
                <w:szCs w:val="18"/>
              </w:rPr>
            </w:pPr>
            <w:r>
              <w:rPr>
                <w:rFonts w:ascii="Arial" w:hAnsi="Arial" w:cs="Arial"/>
                <w:b/>
                <w:bCs/>
                <w:sz w:val="18"/>
                <w:szCs w:val="18"/>
              </w:rPr>
              <w:t>Opening balance</w:t>
            </w:r>
          </w:p>
        </w:tc>
        <w:tc>
          <w:tcPr>
            <w:tcW w:w="1276" w:type="dxa"/>
            <w:tcBorders>
              <w:top w:val="nil"/>
              <w:left w:val="nil"/>
              <w:bottom w:val="nil"/>
              <w:right w:val="nil"/>
            </w:tcBorders>
            <w:shd w:val="clear" w:color="FFFFFF" w:fill="FFFFFF"/>
            <w:noWrap/>
            <w:vAlign w:val="bottom"/>
            <w:hideMark/>
          </w:tcPr>
          <w:p w14:paraId="27247EBB" w14:textId="77777777" w:rsidR="00A43992" w:rsidRDefault="00A43992" w:rsidP="007211E3">
            <w:pPr>
              <w:jc w:val="right"/>
              <w:rPr>
                <w:rFonts w:ascii="Arial" w:hAnsi="Arial" w:cs="Arial"/>
                <w:b/>
                <w:bCs/>
                <w:sz w:val="18"/>
                <w:szCs w:val="18"/>
              </w:rPr>
            </w:pPr>
            <w:r>
              <w:rPr>
                <w:rFonts w:ascii="Arial" w:hAnsi="Arial" w:cs="Arial"/>
                <w:b/>
                <w:bCs/>
                <w:sz w:val="18"/>
                <w:szCs w:val="18"/>
              </w:rPr>
              <w:t>-</w:t>
            </w:r>
          </w:p>
        </w:tc>
        <w:tc>
          <w:tcPr>
            <w:tcW w:w="1392" w:type="dxa"/>
            <w:tcBorders>
              <w:top w:val="nil"/>
              <w:left w:val="nil"/>
              <w:bottom w:val="nil"/>
              <w:right w:val="nil"/>
            </w:tcBorders>
            <w:shd w:val="clear" w:color="FFFFFF" w:fill="FFFFFF"/>
            <w:noWrap/>
            <w:vAlign w:val="bottom"/>
            <w:hideMark/>
          </w:tcPr>
          <w:p w14:paraId="3E1E87BA" w14:textId="77777777" w:rsidR="00A43992" w:rsidRDefault="00A43992" w:rsidP="007211E3">
            <w:pPr>
              <w:jc w:val="right"/>
              <w:rPr>
                <w:rFonts w:ascii="Arial" w:hAnsi="Arial" w:cs="Arial"/>
                <w:b/>
                <w:bCs/>
                <w:sz w:val="18"/>
                <w:szCs w:val="18"/>
              </w:rPr>
            </w:pPr>
            <w:r>
              <w:rPr>
                <w:rFonts w:ascii="Arial" w:hAnsi="Arial" w:cs="Arial"/>
                <w:b/>
                <w:bCs/>
                <w:sz w:val="18"/>
                <w:szCs w:val="18"/>
              </w:rPr>
              <w:t>-</w:t>
            </w:r>
          </w:p>
        </w:tc>
        <w:tc>
          <w:tcPr>
            <w:tcW w:w="1254" w:type="dxa"/>
            <w:tcBorders>
              <w:top w:val="nil"/>
              <w:left w:val="nil"/>
              <w:bottom w:val="nil"/>
              <w:right w:val="nil"/>
            </w:tcBorders>
            <w:shd w:val="clear" w:color="FFFFFF" w:fill="FFFFFF"/>
            <w:noWrap/>
            <w:vAlign w:val="bottom"/>
            <w:hideMark/>
          </w:tcPr>
          <w:p w14:paraId="3449C276" w14:textId="77777777" w:rsidR="00A43992" w:rsidRDefault="00A43992" w:rsidP="007211E3">
            <w:pPr>
              <w:jc w:val="right"/>
              <w:rPr>
                <w:rFonts w:ascii="Arial" w:hAnsi="Arial" w:cs="Arial"/>
                <w:b/>
                <w:bCs/>
                <w:sz w:val="18"/>
                <w:szCs w:val="18"/>
              </w:rPr>
            </w:pPr>
            <w:r>
              <w:rPr>
                <w:rFonts w:ascii="Arial" w:hAnsi="Arial" w:cs="Arial"/>
                <w:b/>
                <w:bCs/>
                <w:sz w:val="18"/>
                <w:szCs w:val="18"/>
              </w:rPr>
              <w:t>-</w:t>
            </w:r>
          </w:p>
        </w:tc>
      </w:tr>
      <w:tr w:rsidR="00A43992" w14:paraId="6D10E26D" w14:textId="77777777" w:rsidTr="007211E3">
        <w:trPr>
          <w:trHeight w:val="240"/>
        </w:trPr>
        <w:tc>
          <w:tcPr>
            <w:tcW w:w="5165" w:type="dxa"/>
            <w:tcBorders>
              <w:top w:val="nil"/>
              <w:left w:val="nil"/>
              <w:bottom w:val="nil"/>
              <w:right w:val="nil"/>
            </w:tcBorders>
            <w:shd w:val="clear" w:color="FFFFFF" w:fill="FFFFFF"/>
            <w:noWrap/>
            <w:vAlign w:val="bottom"/>
            <w:hideMark/>
          </w:tcPr>
          <w:p w14:paraId="3DF18729" w14:textId="77777777" w:rsidR="00A43992" w:rsidRDefault="00A43992" w:rsidP="007211E3">
            <w:pPr>
              <w:ind w:firstLineChars="100" w:firstLine="180"/>
              <w:rPr>
                <w:rFonts w:ascii="Arial" w:hAnsi="Arial" w:cs="Arial"/>
                <w:sz w:val="18"/>
                <w:szCs w:val="18"/>
              </w:rPr>
            </w:pPr>
            <w:r>
              <w:rPr>
                <w:rFonts w:ascii="Arial" w:hAnsi="Arial" w:cs="Arial"/>
                <w:sz w:val="18"/>
                <w:szCs w:val="18"/>
              </w:rPr>
              <w:t>Amounts written off</w:t>
            </w:r>
          </w:p>
        </w:tc>
        <w:tc>
          <w:tcPr>
            <w:tcW w:w="1276" w:type="dxa"/>
            <w:tcBorders>
              <w:top w:val="nil"/>
              <w:left w:val="nil"/>
              <w:bottom w:val="nil"/>
              <w:right w:val="nil"/>
            </w:tcBorders>
            <w:shd w:val="clear" w:color="FFFFFF" w:fill="FFFFFF"/>
            <w:noWrap/>
            <w:vAlign w:val="bottom"/>
            <w:hideMark/>
          </w:tcPr>
          <w:p w14:paraId="75DAF460" w14:textId="77777777" w:rsidR="00A43992" w:rsidRDefault="00A43992" w:rsidP="007211E3">
            <w:pPr>
              <w:jc w:val="right"/>
              <w:rPr>
                <w:rFonts w:ascii="Arial" w:hAnsi="Arial" w:cs="Arial"/>
                <w:b/>
                <w:bCs/>
                <w:sz w:val="18"/>
                <w:szCs w:val="18"/>
              </w:rPr>
            </w:pPr>
            <w:r>
              <w:rPr>
                <w:rFonts w:ascii="Arial" w:hAnsi="Arial" w:cs="Arial"/>
                <w:b/>
                <w:bCs/>
                <w:sz w:val="18"/>
                <w:szCs w:val="18"/>
              </w:rPr>
              <w:t>(13,695)</w:t>
            </w:r>
          </w:p>
        </w:tc>
        <w:tc>
          <w:tcPr>
            <w:tcW w:w="1392" w:type="dxa"/>
            <w:tcBorders>
              <w:top w:val="nil"/>
              <w:left w:val="nil"/>
              <w:bottom w:val="nil"/>
              <w:right w:val="nil"/>
            </w:tcBorders>
            <w:shd w:val="clear" w:color="FFFFFF" w:fill="FFFFFF"/>
            <w:noWrap/>
            <w:vAlign w:val="bottom"/>
            <w:hideMark/>
          </w:tcPr>
          <w:p w14:paraId="6BDE07D3" w14:textId="77777777" w:rsidR="00A43992" w:rsidRPr="00EE4FBB" w:rsidRDefault="00A43992" w:rsidP="007211E3">
            <w:pPr>
              <w:jc w:val="right"/>
              <w:rPr>
                <w:rFonts w:ascii="Arial" w:hAnsi="Arial" w:cs="Arial"/>
                <w:b/>
                <w:bCs/>
                <w:sz w:val="18"/>
                <w:szCs w:val="18"/>
              </w:rPr>
            </w:pPr>
            <w:r w:rsidRPr="00EE4FBB">
              <w:rPr>
                <w:rFonts w:ascii="Arial" w:hAnsi="Arial" w:cs="Arial"/>
                <w:b/>
                <w:bCs/>
                <w:sz w:val="18"/>
                <w:szCs w:val="18"/>
              </w:rPr>
              <w:t>(47,327)</w:t>
            </w:r>
          </w:p>
        </w:tc>
        <w:tc>
          <w:tcPr>
            <w:tcW w:w="1254" w:type="dxa"/>
            <w:tcBorders>
              <w:top w:val="nil"/>
              <w:left w:val="nil"/>
              <w:bottom w:val="nil"/>
              <w:right w:val="nil"/>
            </w:tcBorders>
            <w:shd w:val="clear" w:color="FFFFFF" w:fill="FFFFFF"/>
            <w:noWrap/>
            <w:vAlign w:val="bottom"/>
            <w:hideMark/>
          </w:tcPr>
          <w:p w14:paraId="3FDF1AB8" w14:textId="77777777" w:rsidR="00A43992" w:rsidRPr="00EE4FBB" w:rsidRDefault="00A43992" w:rsidP="007211E3">
            <w:pPr>
              <w:jc w:val="right"/>
              <w:rPr>
                <w:rFonts w:ascii="Arial" w:hAnsi="Arial" w:cs="Arial"/>
                <w:b/>
                <w:bCs/>
                <w:sz w:val="18"/>
                <w:szCs w:val="18"/>
              </w:rPr>
            </w:pPr>
            <w:r w:rsidRPr="00EE4FBB">
              <w:rPr>
                <w:rFonts w:ascii="Arial" w:hAnsi="Arial" w:cs="Arial"/>
                <w:b/>
                <w:bCs/>
                <w:sz w:val="18"/>
                <w:szCs w:val="18"/>
              </w:rPr>
              <w:t>(61,022)</w:t>
            </w:r>
          </w:p>
        </w:tc>
      </w:tr>
      <w:tr w:rsidR="00A43992" w14:paraId="276DB257" w14:textId="77777777" w:rsidTr="007211E3">
        <w:trPr>
          <w:trHeight w:val="240"/>
        </w:trPr>
        <w:tc>
          <w:tcPr>
            <w:tcW w:w="5165" w:type="dxa"/>
            <w:tcBorders>
              <w:top w:val="nil"/>
              <w:left w:val="nil"/>
              <w:bottom w:val="nil"/>
              <w:right w:val="nil"/>
            </w:tcBorders>
            <w:shd w:val="clear" w:color="FFFFFF" w:fill="FFFFFF"/>
            <w:noWrap/>
            <w:vAlign w:val="bottom"/>
            <w:hideMark/>
          </w:tcPr>
          <w:p w14:paraId="3BCB6AC8" w14:textId="77777777" w:rsidR="00A43992" w:rsidRDefault="00A43992" w:rsidP="007211E3">
            <w:pPr>
              <w:ind w:firstLineChars="100" w:firstLine="180"/>
              <w:rPr>
                <w:rFonts w:ascii="Arial" w:hAnsi="Arial" w:cs="Arial"/>
                <w:sz w:val="18"/>
                <w:szCs w:val="18"/>
              </w:rPr>
            </w:pPr>
            <w:r>
              <w:rPr>
                <w:rFonts w:ascii="Arial" w:hAnsi="Arial" w:cs="Arial"/>
                <w:sz w:val="18"/>
                <w:szCs w:val="18"/>
              </w:rPr>
              <w:t xml:space="preserve">Increase </w:t>
            </w:r>
            <w:proofErr w:type="spellStart"/>
            <w:r>
              <w:rPr>
                <w:rFonts w:ascii="Arial" w:hAnsi="Arial" w:cs="Arial"/>
                <w:sz w:val="18"/>
                <w:szCs w:val="18"/>
              </w:rPr>
              <w:t>recognised</w:t>
            </w:r>
            <w:proofErr w:type="spellEnd"/>
            <w:r>
              <w:rPr>
                <w:rFonts w:ascii="Arial" w:hAnsi="Arial" w:cs="Arial"/>
                <w:sz w:val="18"/>
                <w:szCs w:val="18"/>
              </w:rPr>
              <w:t xml:space="preserve"> in net surplus</w:t>
            </w:r>
          </w:p>
        </w:tc>
        <w:tc>
          <w:tcPr>
            <w:tcW w:w="1276" w:type="dxa"/>
            <w:tcBorders>
              <w:top w:val="nil"/>
              <w:left w:val="nil"/>
              <w:bottom w:val="nil"/>
              <w:right w:val="nil"/>
            </w:tcBorders>
            <w:shd w:val="clear" w:color="FFFFFF" w:fill="FFFFFF"/>
            <w:noWrap/>
            <w:vAlign w:val="bottom"/>
            <w:hideMark/>
          </w:tcPr>
          <w:p w14:paraId="05CC45D0" w14:textId="77777777" w:rsidR="00A43992" w:rsidRDefault="00A43992" w:rsidP="007211E3">
            <w:pPr>
              <w:jc w:val="right"/>
              <w:rPr>
                <w:rFonts w:ascii="Arial" w:hAnsi="Arial" w:cs="Arial"/>
                <w:b/>
                <w:bCs/>
                <w:sz w:val="18"/>
                <w:szCs w:val="18"/>
              </w:rPr>
            </w:pPr>
            <w:r>
              <w:rPr>
                <w:rFonts w:ascii="Arial" w:hAnsi="Arial" w:cs="Arial"/>
                <w:b/>
                <w:bCs/>
                <w:sz w:val="18"/>
                <w:szCs w:val="18"/>
              </w:rPr>
              <w:t>31,366</w:t>
            </w:r>
          </w:p>
        </w:tc>
        <w:tc>
          <w:tcPr>
            <w:tcW w:w="1392" w:type="dxa"/>
            <w:tcBorders>
              <w:top w:val="nil"/>
              <w:left w:val="nil"/>
              <w:bottom w:val="nil"/>
              <w:right w:val="nil"/>
            </w:tcBorders>
            <w:shd w:val="clear" w:color="FFFFFF" w:fill="FFFFFF"/>
            <w:noWrap/>
            <w:vAlign w:val="bottom"/>
            <w:hideMark/>
          </w:tcPr>
          <w:p w14:paraId="089EF729" w14:textId="77777777" w:rsidR="00A43992" w:rsidRDefault="00A43992" w:rsidP="007211E3">
            <w:pPr>
              <w:jc w:val="right"/>
              <w:rPr>
                <w:rFonts w:ascii="Arial" w:hAnsi="Arial" w:cs="Arial"/>
                <w:b/>
                <w:bCs/>
                <w:sz w:val="18"/>
                <w:szCs w:val="18"/>
              </w:rPr>
            </w:pPr>
            <w:r>
              <w:rPr>
                <w:rFonts w:ascii="Arial" w:hAnsi="Arial" w:cs="Arial"/>
                <w:b/>
                <w:bCs/>
                <w:sz w:val="18"/>
                <w:szCs w:val="18"/>
              </w:rPr>
              <w:t>47,327</w:t>
            </w:r>
          </w:p>
        </w:tc>
        <w:tc>
          <w:tcPr>
            <w:tcW w:w="1254" w:type="dxa"/>
            <w:tcBorders>
              <w:top w:val="nil"/>
              <w:left w:val="nil"/>
              <w:bottom w:val="nil"/>
              <w:right w:val="nil"/>
            </w:tcBorders>
            <w:shd w:val="clear" w:color="FFFFFF" w:fill="FFFFFF"/>
            <w:noWrap/>
            <w:vAlign w:val="bottom"/>
            <w:hideMark/>
          </w:tcPr>
          <w:p w14:paraId="557C9505" w14:textId="77777777" w:rsidR="00A43992" w:rsidRDefault="00A43992" w:rsidP="007211E3">
            <w:pPr>
              <w:jc w:val="right"/>
              <w:rPr>
                <w:rFonts w:ascii="Arial" w:hAnsi="Arial" w:cs="Arial"/>
                <w:b/>
                <w:bCs/>
                <w:sz w:val="18"/>
                <w:szCs w:val="18"/>
              </w:rPr>
            </w:pPr>
            <w:r>
              <w:rPr>
                <w:rFonts w:ascii="Arial" w:hAnsi="Arial" w:cs="Arial"/>
                <w:b/>
                <w:bCs/>
                <w:sz w:val="18"/>
                <w:szCs w:val="18"/>
              </w:rPr>
              <w:t>78,693</w:t>
            </w:r>
          </w:p>
        </w:tc>
      </w:tr>
      <w:tr w:rsidR="00A43992" w14:paraId="14DE1FED" w14:textId="77777777" w:rsidTr="007211E3">
        <w:trPr>
          <w:trHeight w:val="240"/>
        </w:trPr>
        <w:tc>
          <w:tcPr>
            <w:tcW w:w="5165" w:type="dxa"/>
            <w:tcBorders>
              <w:top w:val="single" w:sz="4" w:space="0" w:color="auto"/>
              <w:left w:val="nil"/>
              <w:bottom w:val="single" w:sz="4" w:space="0" w:color="auto"/>
              <w:right w:val="nil"/>
            </w:tcBorders>
            <w:shd w:val="clear" w:color="FFFFFF" w:fill="FFFFFF"/>
            <w:vAlign w:val="bottom"/>
            <w:hideMark/>
          </w:tcPr>
          <w:p w14:paraId="365F7F0F" w14:textId="77777777" w:rsidR="00A43992" w:rsidRDefault="00A43992" w:rsidP="007211E3">
            <w:pPr>
              <w:rPr>
                <w:rFonts w:ascii="Arial" w:hAnsi="Arial" w:cs="Arial"/>
                <w:b/>
                <w:bCs/>
                <w:sz w:val="18"/>
                <w:szCs w:val="18"/>
              </w:rPr>
            </w:pPr>
            <w:r>
              <w:rPr>
                <w:rFonts w:ascii="Arial" w:hAnsi="Arial" w:cs="Arial"/>
                <w:b/>
                <w:bCs/>
                <w:sz w:val="18"/>
                <w:szCs w:val="18"/>
              </w:rPr>
              <w:t>Closing balance</w:t>
            </w:r>
          </w:p>
        </w:tc>
        <w:tc>
          <w:tcPr>
            <w:tcW w:w="1276" w:type="dxa"/>
            <w:tcBorders>
              <w:top w:val="single" w:sz="4" w:space="0" w:color="auto"/>
              <w:left w:val="nil"/>
              <w:bottom w:val="single" w:sz="4" w:space="0" w:color="auto"/>
              <w:right w:val="nil"/>
            </w:tcBorders>
            <w:shd w:val="clear" w:color="FFFFFF" w:fill="FFFFFF"/>
            <w:noWrap/>
            <w:vAlign w:val="bottom"/>
            <w:hideMark/>
          </w:tcPr>
          <w:p w14:paraId="089A38EC" w14:textId="77777777" w:rsidR="00A43992" w:rsidRDefault="00A43992" w:rsidP="007211E3">
            <w:pPr>
              <w:jc w:val="right"/>
              <w:rPr>
                <w:rFonts w:ascii="Arial" w:hAnsi="Arial" w:cs="Arial"/>
                <w:b/>
                <w:bCs/>
                <w:sz w:val="18"/>
                <w:szCs w:val="18"/>
              </w:rPr>
            </w:pPr>
            <w:r>
              <w:rPr>
                <w:rFonts w:ascii="Arial" w:hAnsi="Arial" w:cs="Arial"/>
                <w:b/>
                <w:bCs/>
                <w:sz w:val="18"/>
                <w:szCs w:val="18"/>
              </w:rPr>
              <w:t>17,671</w:t>
            </w:r>
          </w:p>
        </w:tc>
        <w:tc>
          <w:tcPr>
            <w:tcW w:w="1392" w:type="dxa"/>
            <w:tcBorders>
              <w:top w:val="single" w:sz="4" w:space="0" w:color="auto"/>
              <w:left w:val="nil"/>
              <w:bottom w:val="single" w:sz="4" w:space="0" w:color="auto"/>
              <w:right w:val="nil"/>
            </w:tcBorders>
            <w:shd w:val="clear" w:color="FFFFFF" w:fill="FFFFFF"/>
            <w:noWrap/>
            <w:vAlign w:val="bottom"/>
            <w:hideMark/>
          </w:tcPr>
          <w:p w14:paraId="1F865A60" w14:textId="77777777" w:rsidR="00A43992" w:rsidRPr="00EE4FBB" w:rsidRDefault="00A43992" w:rsidP="007211E3">
            <w:pPr>
              <w:jc w:val="right"/>
              <w:rPr>
                <w:rFonts w:ascii="Arial" w:hAnsi="Arial" w:cs="Arial"/>
                <w:b/>
                <w:bCs/>
                <w:sz w:val="18"/>
                <w:szCs w:val="18"/>
              </w:rPr>
            </w:pPr>
            <w:r w:rsidRPr="00EE4FBB">
              <w:rPr>
                <w:rFonts w:ascii="Arial" w:hAnsi="Arial" w:cs="Arial"/>
                <w:b/>
                <w:bCs/>
                <w:sz w:val="18"/>
                <w:szCs w:val="18"/>
              </w:rPr>
              <w:t>-</w:t>
            </w:r>
          </w:p>
        </w:tc>
        <w:tc>
          <w:tcPr>
            <w:tcW w:w="1254" w:type="dxa"/>
            <w:tcBorders>
              <w:top w:val="single" w:sz="4" w:space="0" w:color="auto"/>
              <w:left w:val="nil"/>
              <w:bottom w:val="single" w:sz="4" w:space="0" w:color="auto"/>
              <w:right w:val="nil"/>
            </w:tcBorders>
            <w:shd w:val="clear" w:color="FFFFFF" w:fill="FFFFFF"/>
            <w:noWrap/>
            <w:vAlign w:val="bottom"/>
            <w:hideMark/>
          </w:tcPr>
          <w:p w14:paraId="0045E7E6" w14:textId="77777777" w:rsidR="00A43992" w:rsidRPr="00EE4FBB" w:rsidRDefault="00A43992" w:rsidP="007211E3">
            <w:pPr>
              <w:jc w:val="right"/>
              <w:rPr>
                <w:rFonts w:ascii="Arial" w:hAnsi="Arial" w:cs="Arial"/>
                <w:b/>
                <w:bCs/>
                <w:sz w:val="18"/>
                <w:szCs w:val="18"/>
              </w:rPr>
            </w:pPr>
            <w:r w:rsidRPr="00EE4FBB">
              <w:rPr>
                <w:rFonts w:ascii="Arial" w:hAnsi="Arial" w:cs="Arial"/>
                <w:b/>
                <w:bCs/>
                <w:sz w:val="18"/>
                <w:szCs w:val="18"/>
              </w:rPr>
              <w:t>17,671</w:t>
            </w:r>
          </w:p>
        </w:tc>
      </w:tr>
      <w:tr w:rsidR="00A43992" w14:paraId="1149676B" w14:textId="77777777" w:rsidTr="007211E3">
        <w:trPr>
          <w:trHeight w:val="240"/>
        </w:trPr>
        <w:tc>
          <w:tcPr>
            <w:tcW w:w="5165" w:type="dxa"/>
            <w:tcBorders>
              <w:top w:val="nil"/>
              <w:left w:val="nil"/>
              <w:bottom w:val="nil"/>
              <w:right w:val="nil"/>
            </w:tcBorders>
            <w:shd w:val="clear" w:color="FFFFFF" w:fill="FFFFFF"/>
            <w:noWrap/>
            <w:vAlign w:val="bottom"/>
            <w:hideMark/>
          </w:tcPr>
          <w:p w14:paraId="287B7183" w14:textId="77777777" w:rsidR="00A43992" w:rsidRDefault="00A43992" w:rsidP="007211E3">
            <w:pPr>
              <w:rPr>
                <w:rFonts w:ascii="Arial" w:hAnsi="Arial" w:cs="Arial"/>
                <w:sz w:val="18"/>
                <w:szCs w:val="18"/>
              </w:rPr>
            </w:pPr>
            <w:r>
              <w:rPr>
                <w:rFonts w:ascii="Arial" w:hAnsi="Arial" w:cs="Arial"/>
                <w:sz w:val="18"/>
                <w:szCs w:val="18"/>
              </w:rPr>
              <w:t> </w:t>
            </w:r>
          </w:p>
        </w:tc>
        <w:tc>
          <w:tcPr>
            <w:tcW w:w="1276" w:type="dxa"/>
            <w:tcBorders>
              <w:top w:val="nil"/>
              <w:left w:val="nil"/>
              <w:bottom w:val="nil"/>
              <w:right w:val="nil"/>
            </w:tcBorders>
            <w:shd w:val="clear" w:color="FFFFFF" w:fill="FFFFFF"/>
            <w:noWrap/>
            <w:vAlign w:val="bottom"/>
            <w:hideMark/>
          </w:tcPr>
          <w:p w14:paraId="22BE6918" w14:textId="77777777" w:rsidR="00A43992" w:rsidRDefault="00A43992" w:rsidP="007211E3">
            <w:pPr>
              <w:rPr>
                <w:rFonts w:ascii="Arial" w:hAnsi="Arial" w:cs="Arial"/>
                <w:sz w:val="18"/>
                <w:szCs w:val="18"/>
              </w:rPr>
            </w:pPr>
            <w:r>
              <w:rPr>
                <w:rFonts w:ascii="Arial" w:hAnsi="Arial" w:cs="Arial"/>
                <w:sz w:val="18"/>
                <w:szCs w:val="18"/>
              </w:rPr>
              <w:t> </w:t>
            </w:r>
          </w:p>
        </w:tc>
        <w:tc>
          <w:tcPr>
            <w:tcW w:w="1392" w:type="dxa"/>
            <w:tcBorders>
              <w:top w:val="nil"/>
              <w:left w:val="nil"/>
              <w:bottom w:val="nil"/>
              <w:right w:val="nil"/>
            </w:tcBorders>
            <w:shd w:val="clear" w:color="auto" w:fill="auto"/>
            <w:noWrap/>
            <w:vAlign w:val="bottom"/>
            <w:hideMark/>
          </w:tcPr>
          <w:p w14:paraId="7DD273BD" w14:textId="77777777" w:rsidR="00A43992" w:rsidRDefault="00A43992" w:rsidP="007211E3">
            <w:pPr>
              <w:rPr>
                <w:rFonts w:ascii="Arial" w:hAnsi="Arial" w:cs="Arial"/>
                <w:sz w:val="18"/>
                <w:szCs w:val="18"/>
              </w:rPr>
            </w:pPr>
          </w:p>
        </w:tc>
        <w:tc>
          <w:tcPr>
            <w:tcW w:w="1254" w:type="dxa"/>
            <w:tcBorders>
              <w:top w:val="nil"/>
              <w:left w:val="nil"/>
              <w:bottom w:val="nil"/>
              <w:right w:val="nil"/>
            </w:tcBorders>
            <w:shd w:val="clear" w:color="auto" w:fill="auto"/>
            <w:noWrap/>
            <w:vAlign w:val="bottom"/>
            <w:hideMark/>
          </w:tcPr>
          <w:p w14:paraId="0DAF1871" w14:textId="77777777" w:rsidR="00A43992" w:rsidRDefault="00A43992" w:rsidP="007211E3"/>
        </w:tc>
      </w:tr>
    </w:tbl>
    <w:p w14:paraId="48112878" w14:textId="77777777" w:rsidR="00A43992" w:rsidRDefault="00A43992" w:rsidP="00A43992">
      <w:pPr>
        <w:spacing w:line="240" w:lineRule="auto"/>
        <w:rPr>
          <w:rFonts w:ascii="Arial" w:hAnsi="Arial" w:cs="Arial"/>
          <w:sz w:val="18"/>
          <w:szCs w:val="18"/>
        </w:rPr>
      </w:pPr>
      <w:bookmarkStart w:id="258" w:name="RANGE!D7:E22"/>
      <w:bookmarkStart w:id="259" w:name="RANGE!D7:D22"/>
      <w:bookmarkStart w:id="260" w:name="RANGE!D7:F22"/>
      <w:bookmarkStart w:id="261" w:name="RANGE!D7:D21"/>
      <w:bookmarkStart w:id="262" w:name="RANGE!D7:F21"/>
      <w:bookmarkEnd w:id="258"/>
      <w:bookmarkEnd w:id="259"/>
      <w:bookmarkEnd w:id="260"/>
      <w:bookmarkEnd w:id="261"/>
      <w:bookmarkEnd w:id="262"/>
      <w:r>
        <w:rPr>
          <w:rFonts w:ascii="Arial" w:hAnsi="Arial" w:cs="Arial"/>
          <w:sz w:val="18"/>
          <w:szCs w:val="18"/>
        </w:rPr>
        <w:br w:type="page"/>
      </w:r>
    </w:p>
    <w:p w14:paraId="554A7110" w14:textId="77777777" w:rsidR="00A43992" w:rsidRDefault="00A43992" w:rsidP="00A43992">
      <w:pPr>
        <w:spacing w:line="240" w:lineRule="auto"/>
        <w:rPr>
          <w:rFonts w:ascii="Arial" w:hAnsi="Arial" w:cs="Arial"/>
          <w:sz w:val="18"/>
          <w:szCs w:val="18"/>
        </w:rPr>
      </w:pPr>
    </w:p>
    <w:p w14:paraId="23E05B1D" w14:textId="77777777" w:rsidR="00A43992" w:rsidRDefault="00A43992" w:rsidP="00A43992">
      <w:pPr>
        <w:spacing w:line="240" w:lineRule="auto"/>
        <w:rPr>
          <w:rFonts w:ascii="Arial" w:hAnsi="Arial" w:cs="Arial"/>
          <w:sz w:val="18"/>
          <w:szCs w:val="18"/>
        </w:rPr>
      </w:pPr>
    </w:p>
    <w:tbl>
      <w:tblPr>
        <w:tblW w:w="9087" w:type="dxa"/>
        <w:tblInd w:w="80" w:type="dxa"/>
        <w:tblLayout w:type="fixed"/>
        <w:tblLook w:val="04A0" w:firstRow="1" w:lastRow="0" w:firstColumn="1" w:lastColumn="0" w:noHBand="0" w:noVBand="1"/>
      </w:tblPr>
      <w:tblGrid>
        <w:gridCol w:w="6353"/>
        <w:gridCol w:w="1249"/>
        <w:gridCol w:w="236"/>
        <w:gridCol w:w="1249"/>
      </w:tblGrid>
      <w:tr w:rsidR="00A43992" w14:paraId="3E74D456" w14:textId="77777777" w:rsidTr="007211E3">
        <w:trPr>
          <w:trHeight w:val="240"/>
        </w:trPr>
        <w:tc>
          <w:tcPr>
            <w:tcW w:w="6353" w:type="dxa"/>
            <w:tcBorders>
              <w:top w:val="nil"/>
              <w:left w:val="nil"/>
              <w:bottom w:val="nil"/>
              <w:right w:val="nil"/>
            </w:tcBorders>
            <w:shd w:val="clear" w:color="FFFFFF" w:fill="FFFFFF"/>
            <w:vAlign w:val="bottom"/>
            <w:hideMark/>
          </w:tcPr>
          <w:p w14:paraId="71143B61" w14:textId="77777777" w:rsidR="00A43992" w:rsidRDefault="00A43992" w:rsidP="007211E3">
            <w:pPr>
              <w:rPr>
                <w:rFonts w:ascii="Arial" w:hAnsi="Arial" w:cs="Arial"/>
                <w:b/>
                <w:bCs/>
                <w:sz w:val="18"/>
                <w:szCs w:val="18"/>
              </w:rPr>
            </w:pPr>
            <w:bookmarkStart w:id="263" w:name="Note_OFATABLE1" w:colFirst="0" w:colLast="0"/>
            <w:r>
              <w:rPr>
                <w:rFonts w:ascii="Arial" w:hAnsi="Arial" w:cs="Arial"/>
                <w:b/>
                <w:bCs/>
                <w:sz w:val="18"/>
                <w:szCs w:val="18"/>
              </w:rPr>
              <w:t> </w:t>
            </w:r>
          </w:p>
        </w:tc>
        <w:tc>
          <w:tcPr>
            <w:tcW w:w="1249" w:type="dxa"/>
            <w:tcBorders>
              <w:top w:val="nil"/>
              <w:left w:val="nil"/>
              <w:bottom w:val="nil"/>
              <w:right w:val="nil"/>
            </w:tcBorders>
            <w:shd w:val="clear" w:color="FFFFFF" w:fill="FFFFFF"/>
            <w:vAlign w:val="bottom"/>
            <w:hideMark/>
          </w:tcPr>
          <w:p w14:paraId="3036DBE5" w14:textId="77777777" w:rsidR="00A43992" w:rsidRDefault="00A43992" w:rsidP="007211E3">
            <w:pPr>
              <w:jc w:val="right"/>
              <w:rPr>
                <w:rFonts w:ascii="Arial" w:hAnsi="Arial" w:cs="Arial"/>
                <w:b/>
                <w:bCs/>
                <w:sz w:val="18"/>
                <w:szCs w:val="18"/>
              </w:rPr>
            </w:pPr>
            <w:r>
              <w:rPr>
                <w:rFonts w:ascii="Arial" w:hAnsi="Arial" w:cs="Arial"/>
                <w:b/>
                <w:bCs/>
                <w:sz w:val="18"/>
                <w:szCs w:val="18"/>
              </w:rPr>
              <w:t>2016</w:t>
            </w:r>
          </w:p>
        </w:tc>
        <w:tc>
          <w:tcPr>
            <w:tcW w:w="236" w:type="dxa"/>
            <w:tcBorders>
              <w:top w:val="nil"/>
              <w:left w:val="nil"/>
              <w:bottom w:val="nil"/>
              <w:right w:val="nil"/>
            </w:tcBorders>
            <w:shd w:val="clear" w:color="FFFFFF" w:fill="FFFFFF"/>
            <w:noWrap/>
            <w:vAlign w:val="bottom"/>
            <w:hideMark/>
          </w:tcPr>
          <w:p w14:paraId="439EAA25" w14:textId="77777777" w:rsidR="00A43992" w:rsidRDefault="00A43992" w:rsidP="007211E3">
            <w:pPr>
              <w:rPr>
                <w:rFonts w:ascii="Arial" w:hAnsi="Arial" w:cs="Arial"/>
                <w:sz w:val="18"/>
                <w:szCs w:val="18"/>
              </w:rPr>
            </w:pPr>
            <w:r>
              <w:rPr>
                <w:rFonts w:ascii="Arial" w:hAnsi="Arial" w:cs="Arial"/>
                <w:sz w:val="18"/>
                <w:szCs w:val="18"/>
              </w:rPr>
              <w:t> </w:t>
            </w:r>
          </w:p>
        </w:tc>
        <w:tc>
          <w:tcPr>
            <w:tcW w:w="1249" w:type="dxa"/>
            <w:tcBorders>
              <w:top w:val="nil"/>
              <w:left w:val="nil"/>
              <w:bottom w:val="nil"/>
              <w:right w:val="nil"/>
            </w:tcBorders>
            <w:shd w:val="clear" w:color="FFFFFF" w:fill="FFFFFF"/>
            <w:vAlign w:val="bottom"/>
            <w:hideMark/>
          </w:tcPr>
          <w:p w14:paraId="38F231FF" w14:textId="77777777" w:rsidR="00A43992" w:rsidRDefault="00A43992" w:rsidP="007211E3">
            <w:pPr>
              <w:jc w:val="right"/>
              <w:rPr>
                <w:rFonts w:ascii="Arial" w:hAnsi="Arial" w:cs="Arial"/>
                <w:sz w:val="18"/>
                <w:szCs w:val="18"/>
              </w:rPr>
            </w:pPr>
            <w:r>
              <w:rPr>
                <w:rFonts w:ascii="Arial" w:hAnsi="Arial" w:cs="Arial"/>
                <w:sz w:val="18"/>
                <w:szCs w:val="18"/>
              </w:rPr>
              <w:t>2015</w:t>
            </w:r>
          </w:p>
        </w:tc>
      </w:tr>
      <w:bookmarkEnd w:id="263"/>
      <w:tr w:rsidR="00A43992" w14:paraId="0462B45E" w14:textId="77777777" w:rsidTr="007211E3">
        <w:trPr>
          <w:trHeight w:val="240"/>
        </w:trPr>
        <w:tc>
          <w:tcPr>
            <w:tcW w:w="6353" w:type="dxa"/>
            <w:tcBorders>
              <w:top w:val="nil"/>
              <w:left w:val="nil"/>
              <w:bottom w:val="nil"/>
              <w:right w:val="nil"/>
            </w:tcBorders>
            <w:shd w:val="clear" w:color="FFFFFF" w:fill="FFFFFF"/>
            <w:vAlign w:val="bottom"/>
            <w:hideMark/>
          </w:tcPr>
          <w:p w14:paraId="2302B2C6" w14:textId="77777777" w:rsidR="00A43992" w:rsidRDefault="00A43992" w:rsidP="007211E3">
            <w:pPr>
              <w:rPr>
                <w:rFonts w:ascii="Arial" w:hAnsi="Arial" w:cs="Arial"/>
                <w:b/>
                <w:bCs/>
                <w:sz w:val="18"/>
                <w:szCs w:val="18"/>
              </w:rPr>
            </w:pPr>
            <w:r>
              <w:rPr>
                <w:rFonts w:ascii="Arial" w:hAnsi="Arial" w:cs="Arial"/>
                <w:b/>
                <w:bCs/>
                <w:sz w:val="18"/>
                <w:szCs w:val="18"/>
              </w:rPr>
              <w:t> </w:t>
            </w:r>
          </w:p>
        </w:tc>
        <w:tc>
          <w:tcPr>
            <w:tcW w:w="1249" w:type="dxa"/>
            <w:tcBorders>
              <w:top w:val="nil"/>
              <w:left w:val="nil"/>
              <w:bottom w:val="nil"/>
              <w:right w:val="nil"/>
            </w:tcBorders>
            <w:shd w:val="clear" w:color="FFFFFF" w:fill="FFFFFF"/>
            <w:vAlign w:val="bottom"/>
            <w:hideMark/>
          </w:tcPr>
          <w:p w14:paraId="39910D01" w14:textId="77777777" w:rsidR="00A43992" w:rsidRDefault="00A43992" w:rsidP="007211E3">
            <w:pPr>
              <w:jc w:val="right"/>
              <w:rPr>
                <w:rFonts w:ascii="Arial" w:hAnsi="Arial" w:cs="Arial"/>
                <w:b/>
                <w:bCs/>
                <w:sz w:val="18"/>
                <w:szCs w:val="18"/>
              </w:rPr>
            </w:pPr>
            <w:r>
              <w:rPr>
                <w:rFonts w:ascii="Arial" w:hAnsi="Arial" w:cs="Arial"/>
                <w:b/>
                <w:bCs/>
                <w:sz w:val="18"/>
                <w:szCs w:val="18"/>
              </w:rPr>
              <w:t>$'000</w:t>
            </w:r>
          </w:p>
        </w:tc>
        <w:tc>
          <w:tcPr>
            <w:tcW w:w="236" w:type="dxa"/>
            <w:tcBorders>
              <w:top w:val="nil"/>
              <w:left w:val="nil"/>
              <w:bottom w:val="nil"/>
              <w:right w:val="nil"/>
            </w:tcBorders>
            <w:shd w:val="clear" w:color="FFFFFF" w:fill="FFFFFF"/>
            <w:noWrap/>
            <w:vAlign w:val="bottom"/>
            <w:hideMark/>
          </w:tcPr>
          <w:p w14:paraId="0CACA640" w14:textId="77777777" w:rsidR="00A43992" w:rsidRDefault="00A43992" w:rsidP="007211E3">
            <w:pPr>
              <w:rPr>
                <w:rFonts w:ascii="Arial" w:hAnsi="Arial" w:cs="Arial"/>
                <w:sz w:val="18"/>
                <w:szCs w:val="18"/>
              </w:rPr>
            </w:pPr>
            <w:r>
              <w:rPr>
                <w:rFonts w:ascii="Arial" w:hAnsi="Arial" w:cs="Arial"/>
                <w:sz w:val="18"/>
                <w:szCs w:val="18"/>
              </w:rPr>
              <w:t> </w:t>
            </w:r>
          </w:p>
        </w:tc>
        <w:tc>
          <w:tcPr>
            <w:tcW w:w="1249" w:type="dxa"/>
            <w:tcBorders>
              <w:top w:val="nil"/>
              <w:left w:val="nil"/>
              <w:bottom w:val="nil"/>
              <w:right w:val="nil"/>
            </w:tcBorders>
            <w:shd w:val="clear" w:color="FFFFFF" w:fill="FFFFFF"/>
            <w:vAlign w:val="bottom"/>
            <w:hideMark/>
          </w:tcPr>
          <w:p w14:paraId="56729248" w14:textId="77777777" w:rsidR="00A43992" w:rsidRDefault="00A43992" w:rsidP="007211E3">
            <w:pPr>
              <w:jc w:val="right"/>
              <w:rPr>
                <w:rFonts w:ascii="Arial" w:hAnsi="Arial" w:cs="Arial"/>
                <w:sz w:val="18"/>
                <w:szCs w:val="18"/>
              </w:rPr>
            </w:pPr>
            <w:r>
              <w:rPr>
                <w:rFonts w:ascii="Arial" w:hAnsi="Arial" w:cs="Arial"/>
                <w:sz w:val="18"/>
                <w:szCs w:val="18"/>
              </w:rPr>
              <w:t>$'000</w:t>
            </w:r>
          </w:p>
        </w:tc>
      </w:tr>
      <w:tr w:rsidR="00A43992" w14:paraId="70C48520" w14:textId="77777777" w:rsidTr="007211E3">
        <w:trPr>
          <w:trHeight w:val="255"/>
        </w:trPr>
        <w:tc>
          <w:tcPr>
            <w:tcW w:w="6353" w:type="dxa"/>
            <w:tcBorders>
              <w:top w:val="nil"/>
              <w:left w:val="nil"/>
              <w:bottom w:val="nil"/>
              <w:right w:val="nil"/>
            </w:tcBorders>
            <w:shd w:val="clear" w:color="FFFFFF" w:fill="FFFFFF"/>
            <w:noWrap/>
            <w:vAlign w:val="bottom"/>
            <w:hideMark/>
          </w:tcPr>
          <w:p w14:paraId="59AE3651" w14:textId="77777777" w:rsidR="00A43992" w:rsidRDefault="00A43992" w:rsidP="007211E3">
            <w:pPr>
              <w:rPr>
                <w:rFonts w:ascii="Arial" w:hAnsi="Arial" w:cs="Arial"/>
                <w:b/>
                <w:bCs/>
                <w:sz w:val="18"/>
                <w:szCs w:val="18"/>
                <w:u w:val="single"/>
              </w:rPr>
            </w:pPr>
            <w:r>
              <w:rPr>
                <w:rFonts w:ascii="Arial" w:hAnsi="Arial" w:cs="Arial"/>
                <w:b/>
                <w:bCs/>
                <w:sz w:val="18"/>
                <w:szCs w:val="18"/>
                <w:u w:val="single"/>
              </w:rPr>
              <w:t>Note 2.1C: Other financial assets</w:t>
            </w:r>
          </w:p>
        </w:tc>
        <w:tc>
          <w:tcPr>
            <w:tcW w:w="1249" w:type="dxa"/>
            <w:tcBorders>
              <w:top w:val="nil"/>
              <w:left w:val="nil"/>
              <w:bottom w:val="nil"/>
              <w:right w:val="nil"/>
            </w:tcBorders>
            <w:shd w:val="clear" w:color="FFFFFF" w:fill="FFFFFF"/>
            <w:noWrap/>
            <w:vAlign w:val="bottom"/>
            <w:hideMark/>
          </w:tcPr>
          <w:p w14:paraId="0B6695CC" w14:textId="77777777" w:rsidR="00A43992" w:rsidRDefault="00A43992" w:rsidP="007211E3">
            <w:pPr>
              <w:rPr>
                <w:rFonts w:ascii="Arial" w:hAnsi="Arial" w:cs="Arial"/>
                <w:sz w:val="18"/>
                <w:szCs w:val="18"/>
              </w:rPr>
            </w:pPr>
            <w:r>
              <w:rPr>
                <w:rFonts w:ascii="Arial" w:hAnsi="Arial" w:cs="Arial"/>
                <w:sz w:val="18"/>
                <w:szCs w:val="18"/>
              </w:rPr>
              <w:t> </w:t>
            </w:r>
          </w:p>
        </w:tc>
        <w:tc>
          <w:tcPr>
            <w:tcW w:w="236" w:type="dxa"/>
            <w:tcBorders>
              <w:top w:val="nil"/>
              <w:left w:val="nil"/>
              <w:bottom w:val="nil"/>
              <w:right w:val="nil"/>
            </w:tcBorders>
            <w:shd w:val="clear" w:color="FFFFFF" w:fill="FFFFFF"/>
            <w:noWrap/>
            <w:vAlign w:val="bottom"/>
            <w:hideMark/>
          </w:tcPr>
          <w:p w14:paraId="798D7AD0" w14:textId="77777777" w:rsidR="00A43992" w:rsidRDefault="00A43992" w:rsidP="007211E3">
            <w:pPr>
              <w:rPr>
                <w:rFonts w:ascii="Arial" w:hAnsi="Arial" w:cs="Arial"/>
                <w:sz w:val="18"/>
                <w:szCs w:val="18"/>
              </w:rPr>
            </w:pPr>
            <w:r>
              <w:rPr>
                <w:rFonts w:ascii="Arial" w:hAnsi="Arial" w:cs="Arial"/>
                <w:sz w:val="18"/>
                <w:szCs w:val="18"/>
              </w:rPr>
              <w:t> </w:t>
            </w:r>
          </w:p>
        </w:tc>
        <w:tc>
          <w:tcPr>
            <w:tcW w:w="1249" w:type="dxa"/>
            <w:tcBorders>
              <w:top w:val="nil"/>
              <w:left w:val="nil"/>
              <w:bottom w:val="nil"/>
              <w:right w:val="nil"/>
            </w:tcBorders>
            <w:shd w:val="clear" w:color="FFFFFF" w:fill="FFFFFF"/>
            <w:noWrap/>
            <w:vAlign w:val="bottom"/>
            <w:hideMark/>
          </w:tcPr>
          <w:p w14:paraId="43AD773F" w14:textId="77777777" w:rsidR="00A43992" w:rsidRDefault="00A43992" w:rsidP="007211E3">
            <w:pPr>
              <w:rPr>
                <w:rFonts w:ascii="Arial" w:hAnsi="Arial" w:cs="Arial"/>
                <w:sz w:val="18"/>
                <w:szCs w:val="18"/>
              </w:rPr>
            </w:pPr>
            <w:r>
              <w:rPr>
                <w:rFonts w:ascii="Arial" w:hAnsi="Arial" w:cs="Arial"/>
                <w:sz w:val="18"/>
                <w:szCs w:val="18"/>
              </w:rPr>
              <w:t> </w:t>
            </w:r>
          </w:p>
        </w:tc>
      </w:tr>
      <w:tr w:rsidR="00A43992" w14:paraId="7758A318" w14:textId="77777777" w:rsidTr="007211E3">
        <w:trPr>
          <w:trHeight w:val="255"/>
        </w:trPr>
        <w:tc>
          <w:tcPr>
            <w:tcW w:w="6353" w:type="dxa"/>
            <w:tcBorders>
              <w:top w:val="nil"/>
              <w:left w:val="nil"/>
              <w:bottom w:val="nil"/>
              <w:right w:val="nil"/>
            </w:tcBorders>
            <w:shd w:val="clear" w:color="FFFFFF" w:fill="FFFFFF"/>
            <w:vAlign w:val="bottom"/>
            <w:hideMark/>
          </w:tcPr>
          <w:p w14:paraId="3E340347" w14:textId="77777777" w:rsidR="00A43992" w:rsidRDefault="00A43992" w:rsidP="007211E3">
            <w:pPr>
              <w:rPr>
                <w:rFonts w:ascii="Arial" w:hAnsi="Arial" w:cs="Arial"/>
                <w:sz w:val="18"/>
                <w:szCs w:val="18"/>
              </w:rPr>
            </w:pPr>
            <w:r>
              <w:rPr>
                <w:rFonts w:ascii="Arial" w:hAnsi="Arial" w:cs="Arial"/>
                <w:sz w:val="18"/>
                <w:szCs w:val="18"/>
              </w:rPr>
              <w:t>Deposits</w:t>
            </w:r>
          </w:p>
        </w:tc>
        <w:tc>
          <w:tcPr>
            <w:tcW w:w="1249" w:type="dxa"/>
            <w:tcBorders>
              <w:top w:val="nil"/>
              <w:left w:val="nil"/>
              <w:bottom w:val="nil"/>
              <w:right w:val="nil"/>
            </w:tcBorders>
            <w:shd w:val="clear" w:color="FFFFFF" w:fill="FFFFFF"/>
            <w:noWrap/>
            <w:vAlign w:val="bottom"/>
            <w:hideMark/>
          </w:tcPr>
          <w:p w14:paraId="6C6E8EEF" w14:textId="77777777" w:rsidR="00A43992" w:rsidRDefault="00A43992" w:rsidP="007211E3">
            <w:pPr>
              <w:jc w:val="right"/>
              <w:rPr>
                <w:rFonts w:ascii="Arial" w:hAnsi="Arial" w:cs="Arial"/>
                <w:b/>
                <w:bCs/>
                <w:sz w:val="18"/>
                <w:szCs w:val="18"/>
              </w:rPr>
            </w:pPr>
            <w:r>
              <w:rPr>
                <w:rFonts w:ascii="Arial" w:hAnsi="Arial" w:cs="Arial"/>
                <w:b/>
                <w:bCs/>
                <w:sz w:val="18"/>
                <w:szCs w:val="18"/>
              </w:rPr>
              <w:t>33,194</w:t>
            </w:r>
          </w:p>
        </w:tc>
        <w:tc>
          <w:tcPr>
            <w:tcW w:w="236" w:type="dxa"/>
            <w:tcBorders>
              <w:top w:val="nil"/>
              <w:left w:val="nil"/>
              <w:bottom w:val="nil"/>
              <w:right w:val="nil"/>
            </w:tcBorders>
            <w:shd w:val="clear" w:color="FFFFFF" w:fill="FFFFFF"/>
            <w:noWrap/>
            <w:vAlign w:val="bottom"/>
            <w:hideMark/>
          </w:tcPr>
          <w:p w14:paraId="686E665A" w14:textId="77777777" w:rsidR="00A43992" w:rsidRDefault="00A43992" w:rsidP="007211E3">
            <w:pPr>
              <w:rPr>
                <w:rFonts w:ascii="Arial" w:hAnsi="Arial" w:cs="Arial"/>
                <w:sz w:val="18"/>
                <w:szCs w:val="18"/>
              </w:rPr>
            </w:pPr>
            <w:r>
              <w:rPr>
                <w:rFonts w:ascii="Arial" w:hAnsi="Arial" w:cs="Arial"/>
                <w:sz w:val="18"/>
                <w:szCs w:val="18"/>
              </w:rPr>
              <w:t> </w:t>
            </w:r>
          </w:p>
        </w:tc>
        <w:tc>
          <w:tcPr>
            <w:tcW w:w="1249" w:type="dxa"/>
            <w:tcBorders>
              <w:top w:val="nil"/>
              <w:left w:val="nil"/>
              <w:bottom w:val="nil"/>
              <w:right w:val="nil"/>
            </w:tcBorders>
            <w:shd w:val="clear" w:color="FFFFFF" w:fill="FFFFFF"/>
            <w:noWrap/>
            <w:vAlign w:val="bottom"/>
            <w:hideMark/>
          </w:tcPr>
          <w:p w14:paraId="6E596A87" w14:textId="77777777" w:rsidR="00A43992" w:rsidRDefault="00A43992" w:rsidP="007211E3">
            <w:pPr>
              <w:jc w:val="right"/>
              <w:rPr>
                <w:rFonts w:ascii="Arial" w:hAnsi="Arial" w:cs="Arial"/>
                <w:sz w:val="18"/>
                <w:szCs w:val="18"/>
              </w:rPr>
            </w:pPr>
            <w:r>
              <w:rPr>
                <w:rFonts w:ascii="Arial" w:hAnsi="Arial" w:cs="Arial"/>
                <w:sz w:val="18"/>
                <w:szCs w:val="18"/>
              </w:rPr>
              <w:t>-</w:t>
            </w:r>
          </w:p>
        </w:tc>
      </w:tr>
      <w:tr w:rsidR="00A43992" w14:paraId="027434ED" w14:textId="77777777" w:rsidTr="007211E3">
        <w:trPr>
          <w:trHeight w:val="255"/>
        </w:trPr>
        <w:tc>
          <w:tcPr>
            <w:tcW w:w="6353" w:type="dxa"/>
            <w:tcBorders>
              <w:top w:val="nil"/>
              <w:left w:val="nil"/>
              <w:bottom w:val="nil"/>
              <w:right w:val="nil"/>
            </w:tcBorders>
            <w:shd w:val="clear" w:color="FFFFFF" w:fill="FFFFFF"/>
            <w:vAlign w:val="bottom"/>
            <w:hideMark/>
          </w:tcPr>
          <w:p w14:paraId="1E75B8D8" w14:textId="77777777" w:rsidR="00A43992" w:rsidRDefault="00A43992" w:rsidP="007211E3">
            <w:pPr>
              <w:rPr>
                <w:rFonts w:ascii="Arial" w:hAnsi="Arial" w:cs="Arial"/>
                <w:b/>
                <w:bCs/>
                <w:sz w:val="18"/>
                <w:szCs w:val="18"/>
              </w:rPr>
            </w:pPr>
            <w:r>
              <w:rPr>
                <w:rFonts w:ascii="Arial" w:hAnsi="Arial" w:cs="Arial"/>
                <w:b/>
                <w:bCs/>
                <w:sz w:val="18"/>
                <w:szCs w:val="18"/>
              </w:rPr>
              <w:t>Total other financial assets</w:t>
            </w:r>
          </w:p>
        </w:tc>
        <w:tc>
          <w:tcPr>
            <w:tcW w:w="1249" w:type="dxa"/>
            <w:tcBorders>
              <w:top w:val="single" w:sz="4" w:space="0" w:color="auto"/>
              <w:left w:val="nil"/>
              <w:bottom w:val="single" w:sz="4" w:space="0" w:color="auto"/>
              <w:right w:val="nil"/>
            </w:tcBorders>
            <w:shd w:val="clear" w:color="FFFFFF" w:fill="FFFFFF"/>
            <w:noWrap/>
            <w:vAlign w:val="bottom"/>
            <w:hideMark/>
          </w:tcPr>
          <w:p w14:paraId="25410A51" w14:textId="77777777" w:rsidR="00A43992" w:rsidRDefault="00A43992" w:rsidP="007211E3">
            <w:pPr>
              <w:jc w:val="right"/>
              <w:rPr>
                <w:rFonts w:ascii="Arial" w:hAnsi="Arial" w:cs="Arial"/>
                <w:b/>
                <w:bCs/>
                <w:sz w:val="18"/>
                <w:szCs w:val="18"/>
              </w:rPr>
            </w:pPr>
            <w:r>
              <w:rPr>
                <w:rFonts w:ascii="Arial" w:hAnsi="Arial" w:cs="Arial"/>
                <w:b/>
                <w:bCs/>
                <w:sz w:val="18"/>
                <w:szCs w:val="18"/>
              </w:rPr>
              <w:t>33,194</w:t>
            </w:r>
          </w:p>
        </w:tc>
        <w:tc>
          <w:tcPr>
            <w:tcW w:w="236" w:type="dxa"/>
            <w:tcBorders>
              <w:top w:val="nil"/>
              <w:left w:val="nil"/>
              <w:bottom w:val="nil"/>
              <w:right w:val="nil"/>
            </w:tcBorders>
            <w:shd w:val="clear" w:color="FFFFFF" w:fill="FFFFFF"/>
            <w:noWrap/>
            <w:vAlign w:val="bottom"/>
            <w:hideMark/>
          </w:tcPr>
          <w:p w14:paraId="4B3582B7" w14:textId="77777777" w:rsidR="00A43992" w:rsidRDefault="00A43992" w:rsidP="007211E3">
            <w:pPr>
              <w:rPr>
                <w:rFonts w:ascii="Arial" w:hAnsi="Arial" w:cs="Arial"/>
                <w:sz w:val="18"/>
                <w:szCs w:val="18"/>
              </w:rPr>
            </w:pPr>
            <w:r>
              <w:rPr>
                <w:rFonts w:ascii="Arial" w:hAnsi="Arial" w:cs="Arial"/>
                <w:sz w:val="18"/>
                <w:szCs w:val="18"/>
              </w:rPr>
              <w:t> </w:t>
            </w:r>
          </w:p>
        </w:tc>
        <w:tc>
          <w:tcPr>
            <w:tcW w:w="1249" w:type="dxa"/>
            <w:tcBorders>
              <w:top w:val="single" w:sz="4" w:space="0" w:color="auto"/>
              <w:left w:val="nil"/>
              <w:bottom w:val="single" w:sz="4" w:space="0" w:color="auto"/>
              <w:right w:val="nil"/>
            </w:tcBorders>
            <w:shd w:val="clear" w:color="FFFFFF" w:fill="FFFFFF"/>
            <w:noWrap/>
            <w:vAlign w:val="bottom"/>
            <w:hideMark/>
          </w:tcPr>
          <w:p w14:paraId="5EE496A6" w14:textId="77777777" w:rsidR="00A43992" w:rsidRDefault="00A43992" w:rsidP="007211E3">
            <w:pPr>
              <w:jc w:val="right"/>
              <w:rPr>
                <w:rFonts w:ascii="Arial" w:hAnsi="Arial" w:cs="Arial"/>
                <w:sz w:val="18"/>
                <w:szCs w:val="18"/>
              </w:rPr>
            </w:pPr>
            <w:r>
              <w:rPr>
                <w:rFonts w:ascii="Arial" w:hAnsi="Arial" w:cs="Arial"/>
                <w:sz w:val="18"/>
                <w:szCs w:val="18"/>
              </w:rPr>
              <w:t>-</w:t>
            </w:r>
          </w:p>
        </w:tc>
      </w:tr>
      <w:tr w:rsidR="00A43992" w14:paraId="1F98DAB8" w14:textId="77777777" w:rsidTr="007211E3">
        <w:trPr>
          <w:trHeight w:val="255"/>
        </w:trPr>
        <w:tc>
          <w:tcPr>
            <w:tcW w:w="6353" w:type="dxa"/>
            <w:tcBorders>
              <w:top w:val="nil"/>
              <w:left w:val="nil"/>
              <w:bottom w:val="nil"/>
              <w:right w:val="nil"/>
            </w:tcBorders>
            <w:shd w:val="clear" w:color="FFFFFF" w:fill="FFFFFF"/>
            <w:noWrap/>
            <w:vAlign w:val="bottom"/>
            <w:hideMark/>
          </w:tcPr>
          <w:p w14:paraId="3F1F1AAD" w14:textId="77777777" w:rsidR="00A43992" w:rsidRDefault="00A43992" w:rsidP="007211E3">
            <w:pPr>
              <w:rPr>
                <w:rFonts w:ascii="Arial" w:hAnsi="Arial" w:cs="Arial"/>
                <w:sz w:val="18"/>
                <w:szCs w:val="18"/>
              </w:rPr>
            </w:pPr>
            <w:r>
              <w:rPr>
                <w:rFonts w:ascii="Arial" w:hAnsi="Arial" w:cs="Arial"/>
                <w:sz w:val="18"/>
                <w:szCs w:val="18"/>
              </w:rPr>
              <w:t> </w:t>
            </w:r>
          </w:p>
        </w:tc>
        <w:tc>
          <w:tcPr>
            <w:tcW w:w="1249" w:type="dxa"/>
            <w:tcBorders>
              <w:top w:val="nil"/>
              <w:left w:val="nil"/>
              <w:bottom w:val="nil"/>
              <w:right w:val="nil"/>
            </w:tcBorders>
            <w:shd w:val="clear" w:color="FFFFFF" w:fill="FFFFFF"/>
            <w:noWrap/>
            <w:vAlign w:val="bottom"/>
            <w:hideMark/>
          </w:tcPr>
          <w:p w14:paraId="274F29A1" w14:textId="77777777" w:rsidR="00A43992" w:rsidRDefault="00A43992" w:rsidP="007211E3">
            <w:pPr>
              <w:rPr>
                <w:rFonts w:ascii="Arial" w:hAnsi="Arial" w:cs="Arial"/>
                <w:sz w:val="18"/>
                <w:szCs w:val="18"/>
              </w:rPr>
            </w:pPr>
            <w:r>
              <w:rPr>
                <w:rFonts w:ascii="Arial" w:hAnsi="Arial" w:cs="Arial"/>
                <w:sz w:val="18"/>
                <w:szCs w:val="18"/>
              </w:rPr>
              <w:t> </w:t>
            </w:r>
          </w:p>
        </w:tc>
        <w:tc>
          <w:tcPr>
            <w:tcW w:w="236" w:type="dxa"/>
            <w:tcBorders>
              <w:top w:val="nil"/>
              <w:left w:val="nil"/>
              <w:bottom w:val="nil"/>
              <w:right w:val="nil"/>
            </w:tcBorders>
            <w:shd w:val="clear" w:color="FFFFFF" w:fill="FFFFFF"/>
            <w:noWrap/>
            <w:vAlign w:val="bottom"/>
            <w:hideMark/>
          </w:tcPr>
          <w:p w14:paraId="22FCDA9C" w14:textId="77777777" w:rsidR="00A43992" w:rsidRDefault="00A43992" w:rsidP="007211E3">
            <w:pPr>
              <w:rPr>
                <w:rFonts w:ascii="Arial" w:hAnsi="Arial" w:cs="Arial"/>
                <w:sz w:val="18"/>
                <w:szCs w:val="18"/>
              </w:rPr>
            </w:pPr>
            <w:r>
              <w:rPr>
                <w:rFonts w:ascii="Arial" w:hAnsi="Arial" w:cs="Arial"/>
                <w:sz w:val="18"/>
                <w:szCs w:val="18"/>
              </w:rPr>
              <w:t> </w:t>
            </w:r>
          </w:p>
        </w:tc>
        <w:tc>
          <w:tcPr>
            <w:tcW w:w="1249" w:type="dxa"/>
            <w:tcBorders>
              <w:top w:val="nil"/>
              <w:left w:val="nil"/>
              <w:bottom w:val="nil"/>
              <w:right w:val="nil"/>
            </w:tcBorders>
            <w:shd w:val="clear" w:color="FFFFFF" w:fill="FFFFFF"/>
            <w:noWrap/>
            <w:vAlign w:val="bottom"/>
            <w:hideMark/>
          </w:tcPr>
          <w:p w14:paraId="595B5355" w14:textId="77777777" w:rsidR="00A43992" w:rsidRDefault="00A43992" w:rsidP="007211E3">
            <w:pPr>
              <w:rPr>
                <w:rFonts w:ascii="Arial" w:hAnsi="Arial" w:cs="Arial"/>
                <w:sz w:val="18"/>
                <w:szCs w:val="18"/>
              </w:rPr>
            </w:pPr>
            <w:r>
              <w:rPr>
                <w:rFonts w:ascii="Arial" w:hAnsi="Arial" w:cs="Arial"/>
                <w:sz w:val="18"/>
                <w:szCs w:val="18"/>
              </w:rPr>
              <w:t> </w:t>
            </w:r>
          </w:p>
        </w:tc>
      </w:tr>
      <w:tr w:rsidR="00A43992" w14:paraId="66BDDD24" w14:textId="77777777" w:rsidTr="007211E3">
        <w:trPr>
          <w:trHeight w:val="255"/>
        </w:trPr>
        <w:tc>
          <w:tcPr>
            <w:tcW w:w="6353" w:type="dxa"/>
            <w:tcBorders>
              <w:top w:val="nil"/>
              <w:left w:val="nil"/>
              <w:bottom w:val="nil"/>
              <w:right w:val="nil"/>
            </w:tcBorders>
            <w:shd w:val="clear" w:color="FFFFFF" w:fill="FFFFFF"/>
            <w:vAlign w:val="bottom"/>
            <w:hideMark/>
          </w:tcPr>
          <w:p w14:paraId="460B7B77" w14:textId="77777777" w:rsidR="00A43992" w:rsidRDefault="00A43992" w:rsidP="007211E3">
            <w:pPr>
              <w:rPr>
                <w:rFonts w:ascii="Arial" w:hAnsi="Arial" w:cs="Arial"/>
                <w:sz w:val="18"/>
                <w:szCs w:val="18"/>
              </w:rPr>
            </w:pPr>
            <w:r>
              <w:rPr>
                <w:rFonts w:ascii="Arial" w:hAnsi="Arial" w:cs="Arial"/>
                <w:sz w:val="18"/>
                <w:szCs w:val="18"/>
              </w:rPr>
              <w:t>Total other financial assets - are expected to be recovered in:</w:t>
            </w:r>
          </w:p>
        </w:tc>
        <w:tc>
          <w:tcPr>
            <w:tcW w:w="1249" w:type="dxa"/>
            <w:tcBorders>
              <w:top w:val="nil"/>
              <w:left w:val="nil"/>
              <w:bottom w:val="nil"/>
              <w:right w:val="nil"/>
            </w:tcBorders>
            <w:shd w:val="clear" w:color="FFFFFF" w:fill="FFFFFF"/>
            <w:noWrap/>
            <w:vAlign w:val="bottom"/>
            <w:hideMark/>
          </w:tcPr>
          <w:p w14:paraId="418C6E08" w14:textId="77777777" w:rsidR="00A43992" w:rsidRDefault="00A43992" w:rsidP="007211E3">
            <w:pPr>
              <w:rPr>
                <w:rFonts w:ascii="Arial" w:hAnsi="Arial" w:cs="Arial"/>
                <w:sz w:val="18"/>
                <w:szCs w:val="18"/>
              </w:rPr>
            </w:pPr>
            <w:r>
              <w:rPr>
                <w:rFonts w:ascii="Arial" w:hAnsi="Arial" w:cs="Arial"/>
                <w:sz w:val="18"/>
                <w:szCs w:val="18"/>
              </w:rPr>
              <w:t> </w:t>
            </w:r>
          </w:p>
        </w:tc>
        <w:tc>
          <w:tcPr>
            <w:tcW w:w="236" w:type="dxa"/>
            <w:tcBorders>
              <w:top w:val="nil"/>
              <w:left w:val="nil"/>
              <w:bottom w:val="nil"/>
              <w:right w:val="nil"/>
            </w:tcBorders>
            <w:shd w:val="clear" w:color="FFFFFF" w:fill="FFFFFF"/>
            <w:noWrap/>
            <w:vAlign w:val="bottom"/>
            <w:hideMark/>
          </w:tcPr>
          <w:p w14:paraId="4365EEAA" w14:textId="77777777" w:rsidR="00A43992" w:rsidRDefault="00A43992" w:rsidP="007211E3">
            <w:pPr>
              <w:rPr>
                <w:rFonts w:ascii="Arial" w:hAnsi="Arial" w:cs="Arial"/>
                <w:sz w:val="18"/>
                <w:szCs w:val="18"/>
              </w:rPr>
            </w:pPr>
            <w:r>
              <w:rPr>
                <w:rFonts w:ascii="Arial" w:hAnsi="Arial" w:cs="Arial"/>
                <w:sz w:val="18"/>
                <w:szCs w:val="18"/>
              </w:rPr>
              <w:t> </w:t>
            </w:r>
          </w:p>
        </w:tc>
        <w:tc>
          <w:tcPr>
            <w:tcW w:w="1249" w:type="dxa"/>
            <w:tcBorders>
              <w:top w:val="nil"/>
              <w:left w:val="nil"/>
              <w:bottom w:val="nil"/>
              <w:right w:val="nil"/>
            </w:tcBorders>
            <w:shd w:val="clear" w:color="FFFFFF" w:fill="FFFFFF"/>
            <w:noWrap/>
            <w:vAlign w:val="bottom"/>
            <w:hideMark/>
          </w:tcPr>
          <w:p w14:paraId="3881CDB8" w14:textId="77777777" w:rsidR="00A43992" w:rsidRDefault="00A43992" w:rsidP="007211E3">
            <w:pPr>
              <w:rPr>
                <w:rFonts w:ascii="Arial" w:hAnsi="Arial" w:cs="Arial"/>
                <w:sz w:val="18"/>
                <w:szCs w:val="18"/>
              </w:rPr>
            </w:pPr>
            <w:r>
              <w:rPr>
                <w:rFonts w:ascii="Arial" w:hAnsi="Arial" w:cs="Arial"/>
                <w:sz w:val="18"/>
                <w:szCs w:val="18"/>
              </w:rPr>
              <w:t> </w:t>
            </w:r>
          </w:p>
        </w:tc>
      </w:tr>
      <w:tr w:rsidR="00A43992" w14:paraId="3E3E50AF" w14:textId="77777777" w:rsidTr="007211E3">
        <w:trPr>
          <w:trHeight w:val="255"/>
        </w:trPr>
        <w:tc>
          <w:tcPr>
            <w:tcW w:w="6353" w:type="dxa"/>
            <w:tcBorders>
              <w:top w:val="nil"/>
              <w:left w:val="nil"/>
              <w:bottom w:val="nil"/>
              <w:right w:val="nil"/>
            </w:tcBorders>
            <w:shd w:val="clear" w:color="FFFFFF" w:fill="FFFFFF"/>
            <w:noWrap/>
            <w:vAlign w:val="bottom"/>
            <w:hideMark/>
          </w:tcPr>
          <w:p w14:paraId="1CD98AFE" w14:textId="77777777" w:rsidR="00A43992" w:rsidRDefault="00A43992" w:rsidP="007211E3">
            <w:pPr>
              <w:ind w:firstLineChars="100" w:firstLine="180"/>
              <w:rPr>
                <w:rFonts w:ascii="Arial" w:hAnsi="Arial" w:cs="Arial"/>
                <w:sz w:val="18"/>
                <w:szCs w:val="18"/>
              </w:rPr>
            </w:pPr>
            <w:r>
              <w:rPr>
                <w:rFonts w:ascii="Arial" w:hAnsi="Arial" w:cs="Arial"/>
                <w:sz w:val="18"/>
                <w:szCs w:val="18"/>
              </w:rPr>
              <w:t>No more than 12 months</w:t>
            </w:r>
          </w:p>
        </w:tc>
        <w:tc>
          <w:tcPr>
            <w:tcW w:w="1249" w:type="dxa"/>
            <w:tcBorders>
              <w:top w:val="nil"/>
              <w:left w:val="nil"/>
              <w:bottom w:val="nil"/>
              <w:right w:val="nil"/>
            </w:tcBorders>
            <w:shd w:val="clear" w:color="FFFFFF" w:fill="FFFFFF"/>
            <w:noWrap/>
            <w:vAlign w:val="bottom"/>
            <w:hideMark/>
          </w:tcPr>
          <w:p w14:paraId="60B5EEBD" w14:textId="77777777" w:rsidR="00A43992" w:rsidRDefault="00A43992" w:rsidP="007211E3">
            <w:pPr>
              <w:jc w:val="right"/>
              <w:rPr>
                <w:rFonts w:ascii="Arial" w:hAnsi="Arial" w:cs="Arial"/>
                <w:b/>
                <w:bCs/>
                <w:sz w:val="18"/>
                <w:szCs w:val="18"/>
              </w:rPr>
            </w:pPr>
            <w:r>
              <w:rPr>
                <w:rFonts w:ascii="Arial" w:hAnsi="Arial" w:cs="Arial"/>
                <w:b/>
                <w:bCs/>
                <w:sz w:val="18"/>
                <w:szCs w:val="18"/>
              </w:rPr>
              <w:t>33,194</w:t>
            </w:r>
          </w:p>
        </w:tc>
        <w:tc>
          <w:tcPr>
            <w:tcW w:w="236" w:type="dxa"/>
            <w:tcBorders>
              <w:top w:val="nil"/>
              <w:left w:val="nil"/>
              <w:bottom w:val="nil"/>
              <w:right w:val="nil"/>
            </w:tcBorders>
            <w:shd w:val="clear" w:color="FFFFFF" w:fill="FFFFFF"/>
            <w:noWrap/>
            <w:vAlign w:val="bottom"/>
            <w:hideMark/>
          </w:tcPr>
          <w:p w14:paraId="3E94B8E7" w14:textId="77777777" w:rsidR="00A43992" w:rsidRDefault="00A43992" w:rsidP="007211E3">
            <w:pPr>
              <w:rPr>
                <w:rFonts w:ascii="Arial" w:hAnsi="Arial" w:cs="Arial"/>
                <w:sz w:val="18"/>
                <w:szCs w:val="18"/>
              </w:rPr>
            </w:pPr>
            <w:r>
              <w:rPr>
                <w:rFonts w:ascii="Arial" w:hAnsi="Arial" w:cs="Arial"/>
                <w:sz w:val="18"/>
                <w:szCs w:val="18"/>
              </w:rPr>
              <w:t> </w:t>
            </w:r>
          </w:p>
        </w:tc>
        <w:tc>
          <w:tcPr>
            <w:tcW w:w="1249" w:type="dxa"/>
            <w:tcBorders>
              <w:top w:val="nil"/>
              <w:left w:val="nil"/>
              <w:bottom w:val="nil"/>
              <w:right w:val="nil"/>
            </w:tcBorders>
            <w:shd w:val="clear" w:color="FFFFFF" w:fill="FFFFFF"/>
            <w:noWrap/>
            <w:vAlign w:val="bottom"/>
            <w:hideMark/>
          </w:tcPr>
          <w:p w14:paraId="6A865380" w14:textId="77777777" w:rsidR="00A43992" w:rsidRDefault="00A43992" w:rsidP="007211E3">
            <w:pPr>
              <w:jc w:val="right"/>
              <w:rPr>
                <w:rFonts w:ascii="Arial" w:hAnsi="Arial" w:cs="Arial"/>
                <w:sz w:val="18"/>
                <w:szCs w:val="18"/>
              </w:rPr>
            </w:pPr>
            <w:r>
              <w:rPr>
                <w:rFonts w:ascii="Arial" w:hAnsi="Arial" w:cs="Arial"/>
                <w:sz w:val="18"/>
                <w:szCs w:val="18"/>
              </w:rPr>
              <w:t> </w:t>
            </w:r>
          </w:p>
        </w:tc>
      </w:tr>
      <w:tr w:rsidR="00A43992" w14:paraId="2222CDD9" w14:textId="77777777" w:rsidTr="007211E3">
        <w:trPr>
          <w:trHeight w:val="255"/>
        </w:trPr>
        <w:tc>
          <w:tcPr>
            <w:tcW w:w="6353" w:type="dxa"/>
            <w:tcBorders>
              <w:top w:val="nil"/>
              <w:left w:val="nil"/>
              <w:bottom w:val="nil"/>
              <w:right w:val="nil"/>
            </w:tcBorders>
            <w:shd w:val="clear" w:color="FFFFFF" w:fill="FFFFFF"/>
            <w:vAlign w:val="bottom"/>
            <w:hideMark/>
          </w:tcPr>
          <w:p w14:paraId="77AA14B9" w14:textId="77777777" w:rsidR="00A43992" w:rsidRDefault="00A43992" w:rsidP="007211E3">
            <w:pPr>
              <w:rPr>
                <w:rFonts w:ascii="Arial" w:hAnsi="Arial" w:cs="Arial"/>
                <w:b/>
                <w:bCs/>
                <w:sz w:val="18"/>
                <w:szCs w:val="18"/>
              </w:rPr>
            </w:pPr>
            <w:r>
              <w:rPr>
                <w:rFonts w:ascii="Arial" w:hAnsi="Arial" w:cs="Arial"/>
                <w:b/>
                <w:bCs/>
                <w:sz w:val="18"/>
                <w:szCs w:val="18"/>
              </w:rPr>
              <w:t>Total other financial assets</w:t>
            </w:r>
          </w:p>
        </w:tc>
        <w:tc>
          <w:tcPr>
            <w:tcW w:w="1249" w:type="dxa"/>
            <w:tcBorders>
              <w:top w:val="single" w:sz="4" w:space="0" w:color="auto"/>
              <w:left w:val="nil"/>
              <w:bottom w:val="single" w:sz="4" w:space="0" w:color="auto"/>
              <w:right w:val="nil"/>
            </w:tcBorders>
            <w:shd w:val="clear" w:color="FFFFFF" w:fill="FFFFFF"/>
            <w:noWrap/>
            <w:vAlign w:val="bottom"/>
            <w:hideMark/>
          </w:tcPr>
          <w:p w14:paraId="52EA0487" w14:textId="77777777" w:rsidR="00A43992" w:rsidRDefault="00A43992" w:rsidP="007211E3">
            <w:pPr>
              <w:jc w:val="right"/>
              <w:rPr>
                <w:rFonts w:ascii="Arial" w:hAnsi="Arial" w:cs="Arial"/>
                <w:b/>
                <w:bCs/>
                <w:sz w:val="18"/>
                <w:szCs w:val="18"/>
              </w:rPr>
            </w:pPr>
            <w:r>
              <w:rPr>
                <w:rFonts w:ascii="Arial" w:hAnsi="Arial" w:cs="Arial"/>
                <w:b/>
                <w:bCs/>
                <w:sz w:val="18"/>
                <w:szCs w:val="18"/>
              </w:rPr>
              <w:t>33,194</w:t>
            </w:r>
          </w:p>
        </w:tc>
        <w:tc>
          <w:tcPr>
            <w:tcW w:w="236" w:type="dxa"/>
            <w:tcBorders>
              <w:top w:val="nil"/>
              <w:left w:val="nil"/>
              <w:bottom w:val="nil"/>
              <w:right w:val="nil"/>
            </w:tcBorders>
            <w:shd w:val="clear" w:color="FFFFFF" w:fill="FFFFFF"/>
            <w:noWrap/>
            <w:vAlign w:val="bottom"/>
            <w:hideMark/>
          </w:tcPr>
          <w:p w14:paraId="76BC8AAD" w14:textId="77777777" w:rsidR="00A43992" w:rsidRDefault="00A43992" w:rsidP="007211E3">
            <w:pPr>
              <w:rPr>
                <w:rFonts w:ascii="Arial" w:hAnsi="Arial" w:cs="Arial"/>
                <w:sz w:val="18"/>
                <w:szCs w:val="18"/>
              </w:rPr>
            </w:pPr>
            <w:r>
              <w:rPr>
                <w:rFonts w:ascii="Arial" w:hAnsi="Arial" w:cs="Arial"/>
                <w:sz w:val="18"/>
                <w:szCs w:val="18"/>
              </w:rPr>
              <w:t> </w:t>
            </w:r>
          </w:p>
        </w:tc>
        <w:tc>
          <w:tcPr>
            <w:tcW w:w="1249" w:type="dxa"/>
            <w:tcBorders>
              <w:top w:val="single" w:sz="4" w:space="0" w:color="auto"/>
              <w:left w:val="nil"/>
              <w:bottom w:val="single" w:sz="4" w:space="0" w:color="auto"/>
              <w:right w:val="nil"/>
            </w:tcBorders>
            <w:shd w:val="clear" w:color="FFFFFF" w:fill="FFFFFF"/>
            <w:noWrap/>
            <w:vAlign w:val="bottom"/>
            <w:hideMark/>
          </w:tcPr>
          <w:p w14:paraId="3A2114AC" w14:textId="77777777" w:rsidR="00A43992" w:rsidRDefault="00A43992" w:rsidP="007211E3">
            <w:pPr>
              <w:jc w:val="right"/>
              <w:rPr>
                <w:rFonts w:ascii="Arial" w:hAnsi="Arial" w:cs="Arial"/>
                <w:sz w:val="18"/>
                <w:szCs w:val="18"/>
              </w:rPr>
            </w:pPr>
            <w:r>
              <w:rPr>
                <w:rFonts w:ascii="Arial" w:hAnsi="Arial" w:cs="Arial"/>
                <w:sz w:val="18"/>
                <w:szCs w:val="18"/>
              </w:rPr>
              <w:t>-</w:t>
            </w:r>
          </w:p>
        </w:tc>
      </w:tr>
    </w:tbl>
    <w:p w14:paraId="2C3FBCA0" w14:textId="77777777" w:rsidR="00A43992" w:rsidRDefault="00A43992" w:rsidP="00A43992">
      <w:pPr>
        <w:spacing w:line="240" w:lineRule="auto"/>
        <w:rPr>
          <w:rFonts w:ascii="Arial" w:hAnsi="Arial" w:cs="Arial"/>
          <w:sz w:val="18"/>
          <w:szCs w:val="18"/>
        </w:rPr>
      </w:pPr>
    </w:p>
    <w:p w14:paraId="243401D8" w14:textId="77777777" w:rsidR="00A43992" w:rsidRDefault="00A43992" w:rsidP="00A43992">
      <w:pPr>
        <w:spacing w:line="240" w:lineRule="auto"/>
        <w:rPr>
          <w:rFonts w:ascii="Arial" w:hAnsi="Arial" w:cs="Arial"/>
          <w:sz w:val="18"/>
          <w:szCs w:val="18"/>
        </w:rPr>
      </w:pPr>
    </w:p>
    <w:p w14:paraId="7A378C63" w14:textId="60561ACB" w:rsidR="00A43992" w:rsidRPr="00F47522" w:rsidRDefault="00A43992" w:rsidP="00A43992">
      <w:pPr>
        <w:pStyle w:val="PolicytextDept"/>
        <w:outlineLvl w:val="0"/>
        <w:rPr>
          <w:b/>
        </w:rPr>
      </w:pPr>
      <w:bookmarkStart w:id="264" w:name="RANGE!D7:H29"/>
      <w:bookmarkEnd w:id="264"/>
      <w:r w:rsidRPr="00F47522">
        <w:rPr>
          <w:b/>
        </w:rPr>
        <w:t>Accounting Policy</w:t>
      </w:r>
    </w:p>
    <w:p w14:paraId="4011B8C3" w14:textId="77777777" w:rsidR="00A43992" w:rsidRPr="00F47522" w:rsidRDefault="00A43992" w:rsidP="00A43992">
      <w:pPr>
        <w:pStyle w:val="PolicytextDept"/>
        <w:rPr>
          <w:lang w:eastAsia="en-AU"/>
        </w:rPr>
      </w:pPr>
      <w:r w:rsidRPr="00F47522">
        <w:rPr>
          <w:lang w:eastAsia="en-AU"/>
        </w:rPr>
        <w:t>The Agency classifies all of its financial assets owing to their nature and purpose at the time of recognition.  Financial assets are recognised and derecognis</w:t>
      </w:r>
      <w:r>
        <w:rPr>
          <w:lang w:eastAsia="en-AU"/>
        </w:rPr>
        <w:t xml:space="preserve">ed upon trade date. </w:t>
      </w:r>
      <w:r w:rsidRPr="00F47522">
        <w:rPr>
          <w:lang w:eastAsia="en-AU"/>
        </w:rPr>
        <w:tab/>
      </w:r>
    </w:p>
    <w:p w14:paraId="02E9E1FE" w14:textId="449A8DEF" w:rsidR="00A43992" w:rsidRPr="00F47522" w:rsidRDefault="00A43992" w:rsidP="00A43992">
      <w:pPr>
        <w:pStyle w:val="PolicytextDept"/>
        <w:outlineLvl w:val="0"/>
        <w:rPr>
          <w:i/>
          <w:iCs/>
          <w:u w:val="single"/>
          <w:lang w:eastAsia="en-AU"/>
        </w:rPr>
      </w:pPr>
      <w:r w:rsidRPr="00F47522">
        <w:rPr>
          <w:i/>
          <w:iCs/>
          <w:u w:val="single"/>
          <w:lang w:eastAsia="en-AU"/>
        </w:rPr>
        <w:t>Loans and receivables</w:t>
      </w:r>
    </w:p>
    <w:p w14:paraId="618F75E2" w14:textId="77777777" w:rsidR="00A43992" w:rsidRDefault="00A43992" w:rsidP="00A43992">
      <w:pPr>
        <w:pStyle w:val="PolicytextDept"/>
        <w:rPr>
          <w:lang w:eastAsia="en-AU"/>
        </w:rPr>
      </w:pPr>
      <w:r w:rsidRPr="00F47522">
        <w:rPr>
          <w:lang w:eastAsia="en-AU"/>
        </w:rPr>
        <w:t>Trade receivables, loans and other receivables that have fixed or determinable payments that are not quoted in an active market are classified as ‘loans and receivables’ and are measured at amortised cost using the effective interest method less impairment. Interest is recognised by applying the effective interest rate.</w:t>
      </w:r>
    </w:p>
    <w:p w14:paraId="57AA4A2D" w14:textId="2DDD6676" w:rsidR="00A43992" w:rsidRPr="00E51BD8" w:rsidRDefault="00A43992" w:rsidP="00A43992">
      <w:pPr>
        <w:pStyle w:val="PolicytextDept"/>
        <w:outlineLvl w:val="0"/>
        <w:rPr>
          <w:i/>
          <w:iCs/>
          <w:u w:val="single"/>
          <w:lang w:eastAsia="en-AU"/>
        </w:rPr>
      </w:pPr>
      <w:r w:rsidRPr="00E51BD8">
        <w:rPr>
          <w:i/>
          <w:iCs/>
          <w:u w:val="single"/>
          <w:lang w:eastAsia="en-AU"/>
        </w:rPr>
        <w:t>Held-to-maturity investments</w:t>
      </w:r>
    </w:p>
    <w:p w14:paraId="3AEC807B" w14:textId="77777777" w:rsidR="00A43992" w:rsidRDefault="00A43992" w:rsidP="00A43992">
      <w:pPr>
        <w:pStyle w:val="PolicytextDept"/>
        <w:rPr>
          <w:lang w:eastAsia="en-AU"/>
        </w:rPr>
      </w:pPr>
      <w:r>
        <w:rPr>
          <w:lang w:eastAsia="en-AU"/>
        </w:rPr>
        <w:t>Non-derivative financial assets with fixed or determinable payments and fixed maturity dates that the Agency has the positive intent and ability to hold to maturity are classified as held-to-maturity investments. Held-to-maturity investments are recorded at amortised cost using the effective interest method less impairment, with revenue recognised on an effective yield basis. The Agency classifies other investments as held-to-maturity.</w:t>
      </w:r>
    </w:p>
    <w:p w14:paraId="1E09CA40" w14:textId="77777777" w:rsidR="00A43992" w:rsidRPr="00F47522" w:rsidRDefault="00A43992" w:rsidP="00A43992">
      <w:pPr>
        <w:pStyle w:val="PolicytextDept"/>
        <w:rPr>
          <w:lang w:eastAsia="en-AU"/>
        </w:rPr>
      </w:pPr>
      <w:r>
        <w:rPr>
          <w:lang w:eastAsia="en-AU"/>
        </w:rPr>
        <w:t xml:space="preserve">The Agency held-to-maturity investments are recognised in the Statement of Financial Position as other financial assets and are made up of negotiable certificates of deposit. At </w:t>
      </w:r>
      <w:r w:rsidRPr="009F178E">
        <w:rPr>
          <w:lang w:eastAsia="en-AU"/>
        </w:rPr>
        <w:fldChar w:fldCharType="begin"/>
      </w:r>
      <w:r w:rsidRPr="009F178E">
        <w:rPr>
          <w:lang w:eastAsia="en-AU"/>
        </w:rPr>
        <w:instrText xml:space="preserve"> DOCPROPERTY  pEnd  \* MERGEFORMAT </w:instrText>
      </w:r>
      <w:r w:rsidRPr="009F178E">
        <w:rPr>
          <w:lang w:eastAsia="en-AU"/>
        </w:rPr>
        <w:fldChar w:fldCharType="separate"/>
      </w:r>
      <w:r w:rsidR="00F337D2" w:rsidRPr="00F337D2">
        <w:rPr>
          <w:bCs w:val="0"/>
          <w:lang w:val="en-US" w:eastAsia="en-AU"/>
        </w:rPr>
        <w:t>30 June</w:t>
      </w:r>
      <w:r w:rsidRPr="009F178E">
        <w:rPr>
          <w:lang w:eastAsia="en-AU"/>
        </w:rPr>
        <w:fldChar w:fldCharType="end"/>
      </w:r>
      <w:r w:rsidRPr="009F178E">
        <w:rPr>
          <w:lang w:eastAsia="en-AU"/>
        </w:rPr>
        <w:t xml:space="preserve"> </w:t>
      </w:r>
      <w:r w:rsidRPr="009F178E">
        <w:rPr>
          <w:lang w:eastAsia="en-AU"/>
        </w:rPr>
        <w:fldChar w:fldCharType="begin"/>
      </w:r>
      <w:r w:rsidRPr="009F178E">
        <w:rPr>
          <w:lang w:eastAsia="en-AU"/>
        </w:rPr>
        <w:instrText xml:space="preserve"> DOCPROPERTY  crYear  \* MERGEFORMAT </w:instrText>
      </w:r>
      <w:r w:rsidRPr="009F178E">
        <w:rPr>
          <w:lang w:eastAsia="en-AU"/>
        </w:rPr>
        <w:fldChar w:fldCharType="separate"/>
      </w:r>
      <w:r w:rsidR="00F337D2" w:rsidRPr="00F337D2">
        <w:rPr>
          <w:bCs w:val="0"/>
          <w:lang w:val="en-US" w:eastAsia="en-AU"/>
        </w:rPr>
        <w:t>2016</w:t>
      </w:r>
      <w:r w:rsidRPr="009F178E">
        <w:rPr>
          <w:lang w:eastAsia="en-AU"/>
        </w:rPr>
        <w:fldChar w:fldCharType="end"/>
      </w:r>
      <w:r>
        <w:rPr>
          <w:lang w:eastAsia="en-AU"/>
        </w:rPr>
        <w:t xml:space="preserve"> there are three certificates of deposit maturing at different dates within the next 12 months. Interest rates range from 3.03% to 3.13%, payable upon maturity.</w:t>
      </w:r>
    </w:p>
    <w:p w14:paraId="78A0AB60" w14:textId="0D052181" w:rsidR="00A43992" w:rsidRPr="00F47522" w:rsidRDefault="00A43992" w:rsidP="00A43992">
      <w:pPr>
        <w:pStyle w:val="PolicytextDept"/>
        <w:outlineLvl w:val="0"/>
        <w:rPr>
          <w:i/>
          <w:iCs/>
          <w:u w:val="single"/>
          <w:lang w:eastAsia="en-AU"/>
        </w:rPr>
      </w:pPr>
      <w:r w:rsidRPr="00F47522">
        <w:rPr>
          <w:i/>
          <w:iCs/>
          <w:u w:val="single"/>
          <w:lang w:eastAsia="en-AU"/>
        </w:rPr>
        <w:t>Effective interest method</w:t>
      </w:r>
    </w:p>
    <w:p w14:paraId="46DB6F92" w14:textId="77777777" w:rsidR="00A43992" w:rsidRPr="00F47522" w:rsidRDefault="00A43992" w:rsidP="00A43992">
      <w:pPr>
        <w:pStyle w:val="PolicytextDept"/>
        <w:rPr>
          <w:i/>
          <w:lang w:eastAsia="en-AU"/>
        </w:rPr>
      </w:pPr>
      <w:r w:rsidRPr="00F47522">
        <w:rPr>
          <w:lang w:eastAsia="en-AU"/>
        </w:rPr>
        <w:t>Interest income is recognised on an effective interest rate basis. The effective interest method is a method of calculating the amortised cost of a financial instrument and allocating interest income over the relevant period.  The effective interest rate is the rate that exactly discounts estimated future cash receipts through the expected life of the financial instrument, or, where appropriate, a shorter period.</w:t>
      </w:r>
    </w:p>
    <w:p w14:paraId="6B540AE1" w14:textId="1FFF8AD2" w:rsidR="00A43992" w:rsidRPr="00F47522" w:rsidRDefault="00A43992" w:rsidP="00A43992">
      <w:pPr>
        <w:pStyle w:val="PolicytextDept"/>
        <w:outlineLvl w:val="0"/>
        <w:rPr>
          <w:i/>
          <w:u w:val="single"/>
          <w:lang w:eastAsia="en-AU"/>
        </w:rPr>
      </w:pPr>
      <w:r w:rsidRPr="00F47522">
        <w:rPr>
          <w:i/>
          <w:u w:val="single"/>
          <w:lang w:eastAsia="en-AU"/>
        </w:rPr>
        <w:t>Impairment of financial assets</w:t>
      </w:r>
    </w:p>
    <w:p w14:paraId="12324796" w14:textId="77777777" w:rsidR="00A43992" w:rsidRPr="00F47522" w:rsidRDefault="00A43992" w:rsidP="00A43992">
      <w:pPr>
        <w:pStyle w:val="PolicytextDept"/>
        <w:rPr>
          <w:lang w:eastAsia="en-AU"/>
        </w:rPr>
      </w:pPr>
      <w:r w:rsidRPr="00F47522">
        <w:rPr>
          <w:i/>
          <w:iCs/>
          <w:lang w:eastAsia="en-AU"/>
        </w:rPr>
        <w:t xml:space="preserve">Financial assets impairment </w:t>
      </w:r>
      <w:r w:rsidRPr="00F47522">
        <w:rPr>
          <w:lang w:eastAsia="en-AU"/>
        </w:rPr>
        <w:t>- financial assets are assessed for impairment at the end of each reporting period.</w:t>
      </w:r>
    </w:p>
    <w:p w14:paraId="2DF1040F" w14:textId="77777777" w:rsidR="00A43992" w:rsidRPr="00F47522" w:rsidRDefault="00A43992" w:rsidP="00A43992">
      <w:pPr>
        <w:pStyle w:val="PolicytextDept"/>
        <w:rPr>
          <w:lang w:eastAsia="en-AU"/>
        </w:rPr>
      </w:pPr>
      <w:r w:rsidRPr="00F47522">
        <w:rPr>
          <w:i/>
          <w:iCs/>
          <w:lang w:eastAsia="en-AU"/>
        </w:rPr>
        <w:t>Financial assets carried at amortised cost</w:t>
      </w:r>
      <w:r w:rsidRPr="00F47522">
        <w:rPr>
          <w:lang w:eastAsia="en-AU"/>
        </w:rPr>
        <w:t xml:space="preserve"> - if there is objective evidence that an impairment loss has been incurred for loans and receivables or held to maturity investments held at amortised cost, the amount of the loss is measured as the difference between the asset’s carrying amount and the present value of estimated future cash flows discounted at the asset’s original effective interest rate. The carrying amount is reduced by way of an</w:t>
      </w:r>
      <w:r>
        <w:rPr>
          <w:lang w:eastAsia="en-AU"/>
        </w:rPr>
        <w:t xml:space="preserve"> impairment</w:t>
      </w:r>
      <w:r w:rsidRPr="00F47522">
        <w:rPr>
          <w:lang w:eastAsia="en-AU"/>
        </w:rPr>
        <w:t xml:space="preserve"> allowance.  The loss is recognised in the Statement of Comprehensive Income.</w:t>
      </w:r>
    </w:p>
    <w:p w14:paraId="123580A1" w14:textId="77777777" w:rsidR="00A43992" w:rsidRDefault="00A43992" w:rsidP="00A43992">
      <w:pPr>
        <w:pStyle w:val="PolicytextDept"/>
        <w:rPr>
          <w:lang w:eastAsia="en-AU"/>
        </w:rPr>
        <w:sectPr w:rsidR="00A43992" w:rsidSect="007211E3">
          <w:pgSz w:w="11906" w:h="16838" w:code="9"/>
          <w:pgMar w:top="1670" w:right="1134" w:bottom="1134" w:left="1134" w:header="958" w:footer="737" w:gutter="0"/>
          <w:cols w:space="708"/>
          <w:docGrid w:linePitch="360"/>
        </w:sectPr>
      </w:pPr>
    </w:p>
    <w:p w14:paraId="2994576A" w14:textId="77777777" w:rsidR="00A43992" w:rsidRDefault="00A43992" w:rsidP="00A43992">
      <w:pPr>
        <w:pStyle w:val="SubHeading"/>
      </w:pPr>
      <w:bookmarkStart w:id="265" w:name="_Toc443469530"/>
      <w:bookmarkStart w:id="266" w:name="_Toc443577404"/>
      <w:bookmarkStart w:id="267" w:name="_Toc445194082"/>
      <w:bookmarkStart w:id="268" w:name="_Toc447030540"/>
      <w:bookmarkStart w:id="269" w:name="_Toc447030692"/>
      <w:bookmarkStart w:id="270" w:name="_Toc447030785"/>
      <w:bookmarkStart w:id="271" w:name="_Toc456865059"/>
      <w:r w:rsidRPr="005D6360">
        <w:lastRenderedPageBreak/>
        <w:t>Non-Financial Assets</w:t>
      </w:r>
      <w:bookmarkStart w:id="272" w:name="RANGE!D6:G26"/>
      <w:bookmarkStart w:id="273" w:name="RANGE!D6:D27"/>
      <w:bookmarkStart w:id="274" w:name="RANGE!D6:G27"/>
      <w:bookmarkEnd w:id="265"/>
      <w:bookmarkEnd w:id="266"/>
      <w:bookmarkEnd w:id="267"/>
      <w:bookmarkEnd w:id="268"/>
      <w:bookmarkEnd w:id="269"/>
      <w:bookmarkEnd w:id="270"/>
      <w:bookmarkEnd w:id="271"/>
      <w:bookmarkEnd w:id="272"/>
      <w:bookmarkEnd w:id="273"/>
      <w:bookmarkEnd w:id="274"/>
    </w:p>
    <w:tbl>
      <w:tblPr>
        <w:tblW w:w="13991" w:type="dxa"/>
        <w:tblInd w:w="80" w:type="dxa"/>
        <w:tblLayout w:type="fixed"/>
        <w:tblLook w:val="04A0" w:firstRow="1" w:lastRow="0" w:firstColumn="1" w:lastColumn="0" w:noHBand="0" w:noVBand="1"/>
      </w:tblPr>
      <w:tblGrid>
        <w:gridCol w:w="7034"/>
        <w:gridCol w:w="2226"/>
        <w:gridCol w:w="1883"/>
        <w:gridCol w:w="1424"/>
        <w:gridCol w:w="1424"/>
      </w:tblGrid>
      <w:tr w:rsidR="00A43992" w14:paraId="137BEF54" w14:textId="77777777" w:rsidTr="007211E3">
        <w:trPr>
          <w:trHeight w:val="255"/>
        </w:trPr>
        <w:tc>
          <w:tcPr>
            <w:tcW w:w="10302" w:type="dxa"/>
            <w:gridSpan w:val="3"/>
            <w:tcBorders>
              <w:top w:val="nil"/>
              <w:left w:val="nil"/>
              <w:bottom w:val="nil"/>
              <w:right w:val="nil"/>
            </w:tcBorders>
            <w:shd w:val="clear" w:color="FFFFFF" w:fill="FFFFFF"/>
            <w:noWrap/>
            <w:vAlign w:val="bottom"/>
            <w:hideMark/>
          </w:tcPr>
          <w:p w14:paraId="3AEA3674" w14:textId="77777777" w:rsidR="00A43992" w:rsidRDefault="00A43992" w:rsidP="007211E3">
            <w:pPr>
              <w:rPr>
                <w:rFonts w:ascii="Arial" w:hAnsi="Arial" w:cs="Arial"/>
                <w:b/>
                <w:bCs/>
                <w:sz w:val="18"/>
                <w:szCs w:val="18"/>
                <w:u w:val="single"/>
              </w:rPr>
            </w:pPr>
            <w:bookmarkStart w:id="275" w:name="Note_MTATABLE1" w:colFirst="0" w:colLast="0"/>
            <w:r>
              <w:rPr>
                <w:rFonts w:ascii="Arial" w:hAnsi="Arial" w:cs="Arial"/>
                <w:b/>
                <w:bCs/>
                <w:sz w:val="18"/>
                <w:szCs w:val="18"/>
                <w:u w:val="single"/>
              </w:rPr>
              <w:t>Note 2.2A: Reconciliation of the opening and closing balances of property, plant and equipment and intangibles for 2016</w:t>
            </w:r>
          </w:p>
        </w:tc>
        <w:tc>
          <w:tcPr>
            <w:tcW w:w="1316" w:type="dxa"/>
            <w:tcBorders>
              <w:top w:val="nil"/>
              <w:left w:val="nil"/>
              <w:bottom w:val="nil"/>
              <w:right w:val="nil"/>
            </w:tcBorders>
            <w:shd w:val="clear" w:color="FFFFFF" w:fill="FFFFFF"/>
            <w:noWrap/>
            <w:vAlign w:val="bottom"/>
            <w:hideMark/>
          </w:tcPr>
          <w:p w14:paraId="4637DBC7" w14:textId="77777777" w:rsidR="00A43992" w:rsidRDefault="00A43992" w:rsidP="007211E3">
            <w:pPr>
              <w:rPr>
                <w:rFonts w:ascii="Arial" w:hAnsi="Arial" w:cs="Arial"/>
                <w:sz w:val="18"/>
                <w:szCs w:val="18"/>
              </w:rPr>
            </w:pPr>
            <w:r>
              <w:rPr>
                <w:rFonts w:ascii="Arial" w:hAnsi="Arial" w:cs="Arial"/>
                <w:sz w:val="18"/>
                <w:szCs w:val="18"/>
              </w:rPr>
              <w:t> </w:t>
            </w:r>
          </w:p>
        </w:tc>
        <w:tc>
          <w:tcPr>
            <w:tcW w:w="1316" w:type="dxa"/>
            <w:tcBorders>
              <w:top w:val="nil"/>
              <w:left w:val="nil"/>
              <w:bottom w:val="nil"/>
              <w:right w:val="nil"/>
            </w:tcBorders>
            <w:shd w:val="clear" w:color="FFFFFF" w:fill="FFFFFF"/>
            <w:noWrap/>
            <w:vAlign w:val="bottom"/>
            <w:hideMark/>
          </w:tcPr>
          <w:p w14:paraId="67F740C0" w14:textId="77777777" w:rsidR="00A43992" w:rsidRDefault="00A43992" w:rsidP="007211E3">
            <w:pPr>
              <w:rPr>
                <w:rFonts w:ascii="Arial" w:hAnsi="Arial" w:cs="Arial"/>
                <w:sz w:val="18"/>
                <w:szCs w:val="18"/>
              </w:rPr>
            </w:pPr>
            <w:r>
              <w:rPr>
                <w:rFonts w:ascii="Arial" w:hAnsi="Arial" w:cs="Arial"/>
                <w:sz w:val="18"/>
                <w:szCs w:val="18"/>
              </w:rPr>
              <w:t> </w:t>
            </w:r>
          </w:p>
        </w:tc>
      </w:tr>
      <w:bookmarkEnd w:id="275"/>
      <w:tr w:rsidR="00A43992" w14:paraId="2D0F2E6E" w14:textId="77777777" w:rsidTr="007211E3">
        <w:trPr>
          <w:trHeight w:val="255"/>
        </w:trPr>
        <w:tc>
          <w:tcPr>
            <w:tcW w:w="6503" w:type="dxa"/>
            <w:tcBorders>
              <w:top w:val="nil"/>
              <w:left w:val="nil"/>
              <w:bottom w:val="nil"/>
              <w:right w:val="nil"/>
            </w:tcBorders>
            <w:shd w:val="clear" w:color="FFFFFF" w:fill="FFFFFF"/>
            <w:noWrap/>
            <w:vAlign w:val="bottom"/>
            <w:hideMark/>
          </w:tcPr>
          <w:p w14:paraId="14991A5F" w14:textId="77777777" w:rsidR="00A43992" w:rsidRDefault="00A43992" w:rsidP="007211E3">
            <w:pPr>
              <w:rPr>
                <w:rFonts w:ascii="Arial" w:hAnsi="Arial" w:cs="Arial"/>
                <w:sz w:val="18"/>
                <w:szCs w:val="18"/>
              </w:rPr>
            </w:pPr>
            <w:r>
              <w:rPr>
                <w:rFonts w:ascii="Arial" w:hAnsi="Arial" w:cs="Arial"/>
                <w:sz w:val="18"/>
                <w:szCs w:val="18"/>
              </w:rPr>
              <w:t> </w:t>
            </w:r>
          </w:p>
        </w:tc>
        <w:tc>
          <w:tcPr>
            <w:tcW w:w="2058" w:type="dxa"/>
            <w:tcBorders>
              <w:top w:val="nil"/>
              <w:left w:val="nil"/>
              <w:bottom w:val="nil"/>
              <w:right w:val="nil"/>
            </w:tcBorders>
            <w:shd w:val="clear" w:color="FFFFFF" w:fill="FFFFFF"/>
            <w:noWrap/>
            <w:vAlign w:val="bottom"/>
            <w:hideMark/>
          </w:tcPr>
          <w:p w14:paraId="50957279" w14:textId="77777777" w:rsidR="00A43992" w:rsidRDefault="00A43992" w:rsidP="007211E3">
            <w:pPr>
              <w:rPr>
                <w:rFonts w:ascii="Arial" w:hAnsi="Arial" w:cs="Arial"/>
                <w:sz w:val="18"/>
                <w:szCs w:val="18"/>
              </w:rPr>
            </w:pPr>
            <w:r>
              <w:rPr>
                <w:rFonts w:ascii="Arial" w:hAnsi="Arial" w:cs="Arial"/>
                <w:sz w:val="18"/>
                <w:szCs w:val="18"/>
              </w:rPr>
              <w:t> </w:t>
            </w:r>
          </w:p>
        </w:tc>
        <w:tc>
          <w:tcPr>
            <w:tcW w:w="1741" w:type="dxa"/>
            <w:tcBorders>
              <w:top w:val="nil"/>
              <w:left w:val="nil"/>
              <w:bottom w:val="nil"/>
              <w:right w:val="nil"/>
            </w:tcBorders>
            <w:shd w:val="clear" w:color="FFFFFF" w:fill="FFFFFF"/>
            <w:noWrap/>
            <w:vAlign w:val="bottom"/>
            <w:hideMark/>
          </w:tcPr>
          <w:p w14:paraId="10555C22" w14:textId="77777777" w:rsidR="00A43992" w:rsidRDefault="00A43992" w:rsidP="007211E3">
            <w:pPr>
              <w:rPr>
                <w:rFonts w:ascii="Arial" w:hAnsi="Arial" w:cs="Arial"/>
                <w:sz w:val="18"/>
                <w:szCs w:val="18"/>
              </w:rPr>
            </w:pPr>
            <w:r>
              <w:rPr>
                <w:rFonts w:ascii="Arial" w:hAnsi="Arial" w:cs="Arial"/>
                <w:sz w:val="18"/>
                <w:szCs w:val="18"/>
              </w:rPr>
              <w:t> </w:t>
            </w:r>
          </w:p>
        </w:tc>
        <w:tc>
          <w:tcPr>
            <w:tcW w:w="1316" w:type="dxa"/>
            <w:tcBorders>
              <w:top w:val="nil"/>
              <w:left w:val="nil"/>
              <w:bottom w:val="nil"/>
              <w:right w:val="nil"/>
            </w:tcBorders>
            <w:shd w:val="clear" w:color="FFFFFF" w:fill="FFFFFF"/>
            <w:noWrap/>
            <w:vAlign w:val="bottom"/>
            <w:hideMark/>
          </w:tcPr>
          <w:p w14:paraId="35BC4577" w14:textId="77777777" w:rsidR="00A43992" w:rsidRDefault="00A43992" w:rsidP="007211E3">
            <w:pPr>
              <w:rPr>
                <w:rFonts w:ascii="Arial" w:hAnsi="Arial" w:cs="Arial"/>
                <w:sz w:val="18"/>
                <w:szCs w:val="18"/>
              </w:rPr>
            </w:pPr>
            <w:r>
              <w:rPr>
                <w:rFonts w:ascii="Arial" w:hAnsi="Arial" w:cs="Arial"/>
                <w:sz w:val="18"/>
                <w:szCs w:val="18"/>
              </w:rPr>
              <w:t> </w:t>
            </w:r>
          </w:p>
        </w:tc>
        <w:tc>
          <w:tcPr>
            <w:tcW w:w="1316" w:type="dxa"/>
            <w:tcBorders>
              <w:top w:val="nil"/>
              <w:left w:val="nil"/>
              <w:bottom w:val="nil"/>
              <w:right w:val="nil"/>
            </w:tcBorders>
            <w:shd w:val="clear" w:color="FFFFFF" w:fill="FFFFFF"/>
            <w:noWrap/>
            <w:vAlign w:val="bottom"/>
            <w:hideMark/>
          </w:tcPr>
          <w:p w14:paraId="12C1BA27" w14:textId="77777777" w:rsidR="00A43992" w:rsidRDefault="00A43992" w:rsidP="007211E3">
            <w:pPr>
              <w:rPr>
                <w:rFonts w:ascii="Arial" w:hAnsi="Arial" w:cs="Arial"/>
                <w:sz w:val="18"/>
                <w:szCs w:val="18"/>
              </w:rPr>
            </w:pPr>
            <w:r>
              <w:rPr>
                <w:rFonts w:ascii="Arial" w:hAnsi="Arial" w:cs="Arial"/>
                <w:sz w:val="18"/>
                <w:szCs w:val="18"/>
              </w:rPr>
              <w:t> </w:t>
            </w:r>
          </w:p>
        </w:tc>
      </w:tr>
      <w:tr w:rsidR="00A43992" w14:paraId="6F441FF4" w14:textId="77777777" w:rsidTr="007211E3">
        <w:trPr>
          <w:trHeight w:val="705"/>
        </w:trPr>
        <w:tc>
          <w:tcPr>
            <w:tcW w:w="6503" w:type="dxa"/>
            <w:tcBorders>
              <w:top w:val="single" w:sz="4" w:space="0" w:color="auto"/>
              <w:left w:val="nil"/>
              <w:bottom w:val="nil"/>
              <w:right w:val="nil"/>
            </w:tcBorders>
            <w:shd w:val="clear" w:color="FFFFFF" w:fill="FFFFFF"/>
            <w:noWrap/>
            <w:vAlign w:val="bottom"/>
            <w:hideMark/>
          </w:tcPr>
          <w:p w14:paraId="3A74F7A5" w14:textId="77777777" w:rsidR="00A43992" w:rsidRDefault="00A43992" w:rsidP="007211E3">
            <w:pPr>
              <w:rPr>
                <w:rFonts w:ascii="Arial" w:hAnsi="Arial" w:cs="Arial"/>
                <w:sz w:val="18"/>
                <w:szCs w:val="18"/>
              </w:rPr>
            </w:pPr>
            <w:r>
              <w:rPr>
                <w:rFonts w:ascii="Arial" w:hAnsi="Arial" w:cs="Arial"/>
                <w:sz w:val="18"/>
                <w:szCs w:val="18"/>
              </w:rPr>
              <w:t> </w:t>
            </w:r>
          </w:p>
        </w:tc>
        <w:tc>
          <w:tcPr>
            <w:tcW w:w="2058" w:type="dxa"/>
            <w:tcBorders>
              <w:top w:val="single" w:sz="4" w:space="0" w:color="auto"/>
              <w:left w:val="nil"/>
              <w:bottom w:val="nil"/>
              <w:right w:val="nil"/>
            </w:tcBorders>
            <w:shd w:val="clear" w:color="FFFFFF" w:fill="FFFFFF"/>
            <w:hideMark/>
          </w:tcPr>
          <w:p w14:paraId="344D4BEF" w14:textId="77777777" w:rsidR="00A43992" w:rsidRDefault="00A43992" w:rsidP="007211E3">
            <w:pPr>
              <w:jc w:val="right"/>
              <w:rPr>
                <w:rFonts w:ascii="Arial" w:hAnsi="Arial" w:cs="Arial"/>
                <w:b/>
                <w:bCs/>
                <w:sz w:val="18"/>
                <w:szCs w:val="18"/>
              </w:rPr>
            </w:pPr>
            <w:bookmarkStart w:id="276" w:name="RANGE!F9:H9"/>
            <w:r>
              <w:rPr>
                <w:rFonts w:ascii="Arial" w:hAnsi="Arial" w:cs="Arial"/>
                <w:b/>
                <w:bCs/>
                <w:sz w:val="18"/>
                <w:szCs w:val="18"/>
              </w:rPr>
              <w:t>Buildings (leasehold improvements)</w:t>
            </w:r>
            <w:bookmarkEnd w:id="276"/>
          </w:p>
        </w:tc>
        <w:tc>
          <w:tcPr>
            <w:tcW w:w="1741" w:type="dxa"/>
            <w:tcBorders>
              <w:top w:val="single" w:sz="4" w:space="0" w:color="auto"/>
              <w:left w:val="nil"/>
              <w:bottom w:val="nil"/>
              <w:right w:val="nil"/>
            </w:tcBorders>
            <w:shd w:val="clear" w:color="FFFFFF" w:fill="FFFFFF"/>
            <w:hideMark/>
          </w:tcPr>
          <w:p w14:paraId="1466E53F" w14:textId="77777777" w:rsidR="00A43992" w:rsidRDefault="00A43992" w:rsidP="007211E3">
            <w:pPr>
              <w:jc w:val="right"/>
              <w:rPr>
                <w:rFonts w:ascii="Arial" w:hAnsi="Arial" w:cs="Arial"/>
                <w:b/>
                <w:bCs/>
                <w:sz w:val="18"/>
                <w:szCs w:val="18"/>
              </w:rPr>
            </w:pPr>
            <w:r>
              <w:rPr>
                <w:rFonts w:ascii="Arial" w:hAnsi="Arial" w:cs="Arial"/>
                <w:b/>
                <w:bCs/>
                <w:sz w:val="18"/>
                <w:szCs w:val="18"/>
              </w:rPr>
              <w:t>Property, plant &amp; equipment</w:t>
            </w:r>
          </w:p>
        </w:tc>
        <w:tc>
          <w:tcPr>
            <w:tcW w:w="1316" w:type="dxa"/>
            <w:tcBorders>
              <w:top w:val="single" w:sz="4" w:space="0" w:color="auto"/>
              <w:left w:val="nil"/>
              <w:bottom w:val="nil"/>
              <w:right w:val="nil"/>
            </w:tcBorders>
            <w:shd w:val="clear" w:color="FFFFFF" w:fill="FFFFFF"/>
            <w:vAlign w:val="bottom"/>
            <w:hideMark/>
          </w:tcPr>
          <w:p w14:paraId="4A75580F" w14:textId="77777777" w:rsidR="00A43992" w:rsidRDefault="00A43992" w:rsidP="007211E3">
            <w:pPr>
              <w:jc w:val="right"/>
              <w:rPr>
                <w:rFonts w:ascii="Arial" w:hAnsi="Arial" w:cs="Arial"/>
                <w:b/>
                <w:bCs/>
                <w:sz w:val="18"/>
                <w:szCs w:val="18"/>
              </w:rPr>
            </w:pPr>
            <w:r>
              <w:rPr>
                <w:rFonts w:ascii="Arial" w:hAnsi="Arial" w:cs="Arial"/>
                <w:b/>
                <w:bCs/>
                <w:sz w:val="18"/>
                <w:szCs w:val="18"/>
              </w:rPr>
              <w:t>Computer  software internally developed</w:t>
            </w:r>
          </w:p>
        </w:tc>
        <w:tc>
          <w:tcPr>
            <w:tcW w:w="1316" w:type="dxa"/>
            <w:tcBorders>
              <w:top w:val="single" w:sz="4" w:space="0" w:color="auto"/>
              <w:left w:val="nil"/>
              <w:bottom w:val="nil"/>
              <w:right w:val="nil"/>
            </w:tcBorders>
            <w:shd w:val="clear" w:color="FFFFFF" w:fill="FFFFFF"/>
            <w:vAlign w:val="bottom"/>
            <w:hideMark/>
          </w:tcPr>
          <w:p w14:paraId="12C01DCE" w14:textId="77777777" w:rsidR="00A43992" w:rsidRDefault="00A43992" w:rsidP="007211E3">
            <w:pPr>
              <w:jc w:val="right"/>
              <w:rPr>
                <w:rFonts w:ascii="Arial" w:hAnsi="Arial" w:cs="Arial"/>
                <w:b/>
                <w:bCs/>
                <w:sz w:val="18"/>
                <w:szCs w:val="18"/>
              </w:rPr>
            </w:pPr>
            <w:r>
              <w:rPr>
                <w:rFonts w:ascii="Arial" w:hAnsi="Arial" w:cs="Arial"/>
                <w:b/>
                <w:bCs/>
                <w:sz w:val="18"/>
                <w:szCs w:val="18"/>
              </w:rPr>
              <w:t>Total</w:t>
            </w:r>
          </w:p>
        </w:tc>
      </w:tr>
      <w:tr w:rsidR="00A43992" w14:paraId="1F413CA3" w14:textId="77777777" w:rsidTr="007211E3">
        <w:trPr>
          <w:trHeight w:val="255"/>
        </w:trPr>
        <w:tc>
          <w:tcPr>
            <w:tcW w:w="6503" w:type="dxa"/>
            <w:tcBorders>
              <w:top w:val="nil"/>
              <w:left w:val="nil"/>
              <w:bottom w:val="single" w:sz="4" w:space="0" w:color="auto"/>
              <w:right w:val="nil"/>
            </w:tcBorders>
            <w:shd w:val="clear" w:color="FFFFFF" w:fill="FFFFFF"/>
            <w:noWrap/>
            <w:vAlign w:val="bottom"/>
            <w:hideMark/>
          </w:tcPr>
          <w:p w14:paraId="238AD5B8" w14:textId="77777777" w:rsidR="00A43992" w:rsidRDefault="00A43992" w:rsidP="007211E3">
            <w:pPr>
              <w:rPr>
                <w:rFonts w:ascii="Arial" w:hAnsi="Arial" w:cs="Arial"/>
                <w:sz w:val="18"/>
                <w:szCs w:val="18"/>
              </w:rPr>
            </w:pPr>
            <w:r>
              <w:rPr>
                <w:rFonts w:ascii="Arial" w:hAnsi="Arial" w:cs="Arial"/>
                <w:sz w:val="18"/>
                <w:szCs w:val="18"/>
              </w:rPr>
              <w:t> </w:t>
            </w:r>
          </w:p>
        </w:tc>
        <w:tc>
          <w:tcPr>
            <w:tcW w:w="2058" w:type="dxa"/>
            <w:tcBorders>
              <w:top w:val="nil"/>
              <w:left w:val="nil"/>
              <w:bottom w:val="single" w:sz="4" w:space="0" w:color="auto"/>
              <w:right w:val="nil"/>
            </w:tcBorders>
            <w:shd w:val="clear" w:color="FFFFFF" w:fill="FFFFFF"/>
            <w:vAlign w:val="bottom"/>
            <w:hideMark/>
          </w:tcPr>
          <w:p w14:paraId="2035B3E9" w14:textId="77777777" w:rsidR="00A43992" w:rsidRDefault="00A43992" w:rsidP="007211E3">
            <w:pPr>
              <w:jc w:val="right"/>
              <w:rPr>
                <w:rFonts w:ascii="Arial" w:hAnsi="Arial" w:cs="Arial"/>
                <w:b/>
                <w:bCs/>
                <w:sz w:val="18"/>
                <w:szCs w:val="18"/>
              </w:rPr>
            </w:pPr>
            <w:r>
              <w:rPr>
                <w:rFonts w:ascii="Arial" w:hAnsi="Arial" w:cs="Arial"/>
                <w:b/>
                <w:bCs/>
                <w:sz w:val="18"/>
                <w:szCs w:val="18"/>
              </w:rPr>
              <w:t>$’000</w:t>
            </w:r>
          </w:p>
        </w:tc>
        <w:tc>
          <w:tcPr>
            <w:tcW w:w="1741" w:type="dxa"/>
            <w:tcBorders>
              <w:top w:val="nil"/>
              <w:left w:val="nil"/>
              <w:bottom w:val="single" w:sz="4" w:space="0" w:color="auto"/>
              <w:right w:val="nil"/>
            </w:tcBorders>
            <w:shd w:val="clear" w:color="FFFFFF" w:fill="FFFFFF"/>
            <w:vAlign w:val="bottom"/>
            <w:hideMark/>
          </w:tcPr>
          <w:p w14:paraId="4743B0BC" w14:textId="77777777" w:rsidR="00A43992" w:rsidRDefault="00A43992" w:rsidP="007211E3">
            <w:pPr>
              <w:jc w:val="right"/>
              <w:rPr>
                <w:rFonts w:ascii="Arial" w:hAnsi="Arial" w:cs="Arial"/>
                <w:b/>
                <w:bCs/>
                <w:sz w:val="18"/>
                <w:szCs w:val="18"/>
              </w:rPr>
            </w:pPr>
            <w:r>
              <w:rPr>
                <w:rFonts w:ascii="Arial" w:hAnsi="Arial" w:cs="Arial"/>
                <w:b/>
                <w:bCs/>
                <w:sz w:val="18"/>
                <w:szCs w:val="18"/>
              </w:rPr>
              <w:t>$’000</w:t>
            </w:r>
          </w:p>
        </w:tc>
        <w:tc>
          <w:tcPr>
            <w:tcW w:w="1316" w:type="dxa"/>
            <w:tcBorders>
              <w:top w:val="nil"/>
              <w:left w:val="nil"/>
              <w:bottom w:val="single" w:sz="4" w:space="0" w:color="auto"/>
              <w:right w:val="nil"/>
            </w:tcBorders>
            <w:shd w:val="clear" w:color="FFFFFF" w:fill="FFFFFF"/>
            <w:vAlign w:val="bottom"/>
            <w:hideMark/>
          </w:tcPr>
          <w:p w14:paraId="0ADFF3E4" w14:textId="77777777" w:rsidR="00A43992" w:rsidRDefault="00A43992" w:rsidP="007211E3">
            <w:pPr>
              <w:jc w:val="right"/>
              <w:rPr>
                <w:rFonts w:ascii="Arial" w:hAnsi="Arial" w:cs="Arial"/>
                <w:b/>
                <w:bCs/>
                <w:sz w:val="18"/>
                <w:szCs w:val="18"/>
              </w:rPr>
            </w:pPr>
            <w:r>
              <w:rPr>
                <w:rFonts w:ascii="Arial" w:hAnsi="Arial" w:cs="Arial"/>
                <w:b/>
                <w:bCs/>
                <w:sz w:val="18"/>
                <w:szCs w:val="18"/>
              </w:rPr>
              <w:t>$’000</w:t>
            </w:r>
          </w:p>
        </w:tc>
        <w:tc>
          <w:tcPr>
            <w:tcW w:w="1316" w:type="dxa"/>
            <w:tcBorders>
              <w:top w:val="nil"/>
              <w:left w:val="nil"/>
              <w:bottom w:val="single" w:sz="4" w:space="0" w:color="auto"/>
              <w:right w:val="nil"/>
            </w:tcBorders>
            <w:shd w:val="clear" w:color="FFFFFF" w:fill="FFFFFF"/>
            <w:vAlign w:val="bottom"/>
            <w:hideMark/>
          </w:tcPr>
          <w:p w14:paraId="4C9C3244" w14:textId="77777777" w:rsidR="00A43992" w:rsidRDefault="00A43992" w:rsidP="007211E3">
            <w:pPr>
              <w:jc w:val="right"/>
              <w:rPr>
                <w:rFonts w:ascii="Arial" w:hAnsi="Arial" w:cs="Arial"/>
                <w:b/>
                <w:bCs/>
                <w:sz w:val="18"/>
                <w:szCs w:val="18"/>
              </w:rPr>
            </w:pPr>
            <w:r>
              <w:rPr>
                <w:rFonts w:ascii="Arial" w:hAnsi="Arial" w:cs="Arial"/>
                <w:b/>
                <w:bCs/>
                <w:sz w:val="18"/>
                <w:szCs w:val="18"/>
              </w:rPr>
              <w:t>$’000</w:t>
            </w:r>
          </w:p>
        </w:tc>
      </w:tr>
      <w:tr w:rsidR="00A43992" w14:paraId="30DA2A81" w14:textId="77777777" w:rsidTr="007211E3">
        <w:trPr>
          <w:trHeight w:val="255"/>
        </w:trPr>
        <w:tc>
          <w:tcPr>
            <w:tcW w:w="6503" w:type="dxa"/>
            <w:tcBorders>
              <w:top w:val="nil"/>
              <w:left w:val="nil"/>
              <w:bottom w:val="nil"/>
              <w:right w:val="nil"/>
            </w:tcBorders>
            <w:shd w:val="clear" w:color="FFFFFF" w:fill="FFFFFF"/>
            <w:vAlign w:val="bottom"/>
            <w:hideMark/>
          </w:tcPr>
          <w:p w14:paraId="24BFFC34" w14:textId="77777777" w:rsidR="00A43992" w:rsidRDefault="00A43992" w:rsidP="007211E3">
            <w:pPr>
              <w:rPr>
                <w:rFonts w:ascii="Arial" w:hAnsi="Arial" w:cs="Arial"/>
                <w:b/>
                <w:bCs/>
                <w:sz w:val="18"/>
                <w:szCs w:val="18"/>
              </w:rPr>
            </w:pPr>
            <w:r>
              <w:rPr>
                <w:rFonts w:ascii="Arial" w:hAnsi="Arial" w:cs="Arial"/>
                <w:b/>
                <w:bCs/>
                <w:sz w:val="18"/>
                <w:szCs w:val="18"/>
              </w:rPr>
              <w:t>As at 1 July 2015</w:t>
            </w:r>
          </w:p>
        </w:tc>
        <w:tc>
          <w:tcPr>
            <w:tcW w:w="2058" w:type="dxa"/>
            <w:tcBorders>
              <w:top w:val="nil"/>
              <w:left w:val="nil"/>
              <w:bottom w:val="nil"/>
              <w:right w:val="nil"/>
            </w:tcBorders>
            <w:shd w:val="clear" w:color="FFFFFF" w:fill="FFFFFF"/>
            <w:noWrap/>
            <w:vAlign w:val="bottom"/>
            <w:hideMark/>
          </w:tcPr>
          <w:p w14:paraId="743B1933" w14:textId="77777777" w:rsidR="00A43992" w:rsidRDefault="00A43992" w:rsidP="007211E3">
            <w:pPr>
              <w:rPr>
                <w:rFonts w:ascii="Arial" w:hAnsi="Arial" w:cs="Arial"/>
                <w:sz w:val="18"/>
                <w:szCs w:val="18"/>
              </w:rPr>
            </w:pPr>
            <w:r>
              <w:rPr>
                <w:rFonts w:ascii="Arial" w:hAnsi="Arial" w:cs="Arial"/>
                <w:sz w:val="18"/>
                <w:szCs w:val="18"/>
              </w:rPr>
              <w:t> </w:t>
            </w:r>
          </w:p>
        </w:tc>
        <w:tc>
          <w:tcPr>
            <w:tcW w:w="1741" w:type="dxa"/>
            <w:tcBorders>
              <w:top w:val="nil"/>
              <w:left w:val="nil"/>
              <w:bottom w:val="nil"/>
              <w:right w:val="nil"/>
            </w:tcBorders>
            <w:shd w:val="clear" w:color="FFFFFF" w:fill="FFFFFF"/>
            <w:noWrap/>
            <w:vAlign w:val="bottom"/>
            <w:hideMark/>
          </w:tcPr>
          <w:p w14:paraId="1A42B037" w14:textId="77777777" w:rsidR="00A43992" w:rsidRDefault="00A43992" w:rsidP="007211E3">
            <w:pPr>
              <w:rPr>
                <w:rFonts w:ascii="Arial" w:hAnsi="Arial" w:cs="Arial"/>
                <w:sz w:val="18"/>
                <w:szCs w:val="18"/>
              </w:rPr>
            </w:pPr>
            <w:r>
              <w:rPr>
                <w:rFonts w:ascii="Arial" w:hAnsi="Arial" w:cs="Arial"/>
                <w:sz w:val="18"/>
                <w:szCs w:val="18"/>
              </w:rPr>
              <w:t> </w:t>
            </w:r>
          </w:p>
        </w:tc>
        <w:tc>
          <w:tcPr>
            <w:tcW w:w="1316" w:type="dxa"/>
            <w:tcBorders>
              <w:top w:val="nil"/>
              <w:left w:val="nil"/>
              <w:bottom w:val="nil"/>
              <w:right w:val="nil"/>
            </w:tcBorders>
            <w:shd w:val="clear" w:color="FFFFFF" w:fill="FFFFFF"/>
            <w:noWrap/>
            <w:vAlign w:val="bottom"/>
            <w:hideMark/>
          </w:tcPr>
          <w:p w14:paraId="0B6EFD09" w14:textId="77777777" w:rsidR="00A43992" w:rsidRDefault="00A43992" w:rsidP="007211E3">
            <w:pPr>
              <w:rPr>
                <w:rFonts w:ascii="Arial" w:hAnsi="Arial" w:cs="Arial"/>
                <w:sz w:val="18"/>
                <w:szCs w:val="18"/>
              </w:rPr>
            </w:pPr>
            <w:r>
              <w:rPr>
                <w:rFonts w:ascii="Arial" w:hAnsi="Arial" w:cs="Arial"/>
                <w:sz w:val="18"/>
                <w:szCs w:val="18"/>
              </w:rPr>
              <w:t> </w:t>
            </w:r>
          </w:p>
        </w:tc>
        <w:tc>
          <w:tcPr>
            <w:tcW w:w="1316" w:type="dxa"/>
            <w:tcBorders>
              <w:top w:val="nil"/>
              <w:left w:val="nil"/>
              <w:bottom w:val="nil"/>
              <w:right w:val="nil"/>
            </w:tcBorders>
            <w:shd w:val="clear" w:color="FFFFFF" w:fill="FFFFFF"/>
            <w:noWrap/>
            <w:vAlign w:val="bottom"/>
            <w:hideMark/>
          </w:tcPr>
          <w:p w14:paraId="3BEDE796" w14:textId="77777777" w:rsidR="00A43992" w:rsidRDefault="00A43992" w:rsidP="007211E3">
            <w:pPr>
              <w:rPr>
                <w:rFonts w:ascii="Arial" w:hAnsi="Arial" w:cs="Arial"/>
                <w:sz w:val="18"/>
                <w:szCs w:val="18"/>
              </w:rPr>
            </w:pPr>
            <w:r>
              <w:rPr>
                <w:rFonts w:ascii="Arial" w:hAnsi="Arial" w:cs="Arial"/>
                <w:sz w:val="18"/>
                <w:szCs w:val="18"/>
              </w:rPr>
              <w:t> </w:t>
            </w:r>
          </w:p>
        </w:tc>
      </w:tr>
      <w:tr w:rsidR="00A43992" w14:paraId="1BC57064" w14:textId="77777777" w:rsidTr="007211E3">
        <w:trPr>
          <w:trHeight w:val="255"/>
        </w:trPr>
        <w:tc>
          <w:tcPr>
            <w:tcW w:w="6503" w:type="dxa"/>
            <w:tcBorders>
              <w:top w:val="nil"/>
              <w:left w:val="nil"/>
              <w:bottom w:val="nil"/>
              <w:right w:val="nil"/>
            </w:tcBorders>
            <w:shd w:val="clear" w:color="FFFFFF" w:fill="FFFFFF"/>
            <w:vAlign w:val="bottom"/>
            <w:hideMark/>
          </w:tcPr>
          <w:p w14:paraId="3C9D5581" w14:textId="77777777" w:rsidR="00A43992" w:rsidRDefault="00A43992" w:rsidP="007211E3">
            <w:pPr>
              <w:rPr>
                <w:rFonts w:ascii="Arial" w:hAnsi="Arial" w:cs="Arial"/>
                <w:sz w:val="18"/>
                <w:szCs w:val="18"/>
              </w:rPr>
            </w:pPr>
            <w:r>
              <w:rPr>
                <w:rFonts w:ascii="Arial" w:hAnsi="Arial" w:cs="Arial"/>
                <w:sz w:val="18"/>
                <w:szCs w:val="18"/>
              </w:rPr>
              <w:t>Gross book value</w:t>
            </w:r>
          </w:p>
        </w:tc>
        <w:tc>
          <w:tcPr>
            <w:tcW w:w="2058" w:type="dxa"/>
            <w:tcBorders>
              <w:top w:val="nil"/>
              <w:left w:val="nil"/>
              <w:bottom w:val="nil"/>
              <w:right w:val="nil"/>
            </w:tcBorders>
            <w:shd w:val="clear" w:color="FFFFFF" w:fill="FFFFFF"/>
            <w:noWrap/>
            <w:vAlign w:val="bottom"/>
            <w:hideMark/>
          </w:tcPr>
          <w:p w14:paraId="7AE60A01" w14:textId="77777777" w:rsidR="00A43992" w:rsidRDefault="00A43992" w:rsidP="007211E3">
            <w:pPr>
              <w:jc w:val="right"/>
              <w:rPr>
                <w:rFonts w:ascii="Arial" w:hAnsi="Arial" w:cs="Arial"/>
                <w:b/>
                <w:bCs/>
                <w:sz w:val="18"/>
                <w:szCs w:val="18"/>
              </w:rPr>
            </w:pPr>
            <w:r>
              <w:rPr>
                <w:rFonts w:ascii="Arial" w:hAnsi="Arial" w:cs="Arial"/>
                <w:b/>
                <w:bCs/>
                <w:sz w:val="18"/>
                <w:szCs w:val="18"/>
              </w:rPr>
              <w:t>37,747</w:t>
            </w:r>
          </w:p>
        </w:tc>
        <w:tc>
          <w:tcPr>
            <w:tcW w:w="1741" w:type="dxa"/>
            <w:tcBorders>
              <w:top w:val="nil"/>
              <w:left w:val="nil"/>
              <w:bottom w:val="nil"/>
              <w:right w:val="nil"/>
            </w:tcBorders>
            <w:shd w:val="clear" w:color="FFFFFF" w:fill="FFFFFF"/>
            <w:noWrap/>
            <w:vAlign w:val="bottom"/>
            <w:hideMark/>
          </w:tcPr>
          <w:p w14:paraId="661AC7E4" w14:textId="77777777" w:rsidR="00A43992" w:rsidRDefault="00A43992" w:rsidP="007211E3">
            <w:pPr>
              <w:jc w:val="right"/>
              <w:rPr>
                <w:rFonts w:ascii="Arial" w:hAnsi="Arial" w:cs="Arial"/>
                <w:b/>
                <w:bCs/>
                <w:sz w:val="18"/>
                <w:szCs w:val="18"/>
              </w:rPr>
            </w:pPr>
            <w:r>
              <w:rPr>
                <w:rFonts w:ascii="Arial" w:hAnsi="Arial" w:cs="Arial"/>
                <w:b/>
                <w:bCs/>
                <w:sz w:val="18"/>
                <w:szCs w:val="18"/>
              </w:rPr>
              <w:t>2,298</w:t>
            </w:r>
          </w:p>
        </w:tc>
        <w:tc>
          <w:tcPr>
            <w:tcW w:w="1316" w:type="dxa"/>
            <w:tcBorders>
              <w:top w:val="nil"/>
              <w:left w:val="nil"/>
              <w:bottom w:val="nil"/>
              <w:right w:val="nil"/>
            </w:tcBorders>
            <w:shd w:val="clear" w:color="FFFFFF" w:fill="FFFFFF"/>
            <w:noWrap/>
            <w:vAlign w:val="bottom"/>
            <w:hideMark/>
          </w:tcPr>
          <w:p w14:paraId="2C7355AA" w14:textId="77777777" w:rsidR="00A43992" w:rsidRDefault="00A43992" w:rsidP="007211E3">
            <w:pPr>
              <w:jc w:val="right"/>
              <w:rPr>
                <w:rFonts w:ascii="Arial" w:hAnsi="Arial" w:cs="Arial"/>
                <w:b/>
                <w:bCs/>
                <w:sz w:val="18"/>
                <w:szCs w:val="18"/>
              </w:rPr>
            </w:pPr>
            <w:r>
              <w:rPr>
                <w:rFonts w:ascii="Arial" w:hAnsi="Arial" w:cs="Arial"/>
                <w:b/>
                <w:bCs/>
                <w:sz w:val="18"/>
                <w:szCs w:val="18"/>
              </w:rPr>
              <w:t>3,555</w:t>
            </w:r>
          </w:p>
        </w:tc>
        <w:tc>
          <w:tcPr>
            <w:tcW w:w="1316" w:type="dxa"/>
            <w:tcBorders>
              <w:top w:val="nil"/>
              <w:left w:val="nil"/>
              <w:bottom w:val="nil"/>
              <w:right w:val="nil"/>
            </w:tcBorders>
            <w:shd w:val="clear" w:color="FFFFFF" w:fill="FFFFFF"/>
            <w:noWrap/>
            <w:vAlign w:val="bottom"/>
            <w:hideMark/>
          </w:tcPr>
          <w:p w14:paraId="5FAA1A72" w14:textId="77777777" w:rsidR="00A43992" w:rsidRDefault="00A43992" w:rsidP="007211E3">
            <w:pPr>
              <w:jc w:val="right"/>
              <w:rPr>
                <w:rFonts w:ascii="Arial" w:hAnsi="Arial" w:cs="Arial"/>
                <w:b/>
                <w:bCs/>
                <w:sz w:val="18"/>
                <w:szCs w:val="18"/>
              </w:rPr>
            </w:pPr>
            <w:r>
              <w:rPr>
                <w:rFonts w:ascii="Arial" w:hAnsi="Arial" w:cs="Arial"/>
                <w:b/>
                <w:bCs/>
                <w:sz w:val="18"/>
                <w:szCs w:val="18"/>
              </w:rPr>
              <w:t>43,600</w:t>
            </w:r>
          </w:p>
        </w:tc>
      </w:tr>
      <w:tr w:rsidR="00A43992" w14:paraId="517CE4F2" w14:textId="77777777" w:rsidTr="007211E3">
        <w:trPr>
          <w:trHeight w:val="255"/>
        </w:trPr>
        <w:tc>
          <w:tcPr>
            <w:tcW w:w="6503" w:type="dxa"/>
            <w:tcBorders>
              <w:top w:val="nil"/>
              <w:left w:val="nil"/>
              <w:bottom w:val="nil"/>
              <w:right w:val="nil"/>
            </w:tcBorders>
            <w:shd w:val="clear" w:color="FFFFFF" w:fill="FFFFFF"/>
            <w:vAlign w:val="bottom"/>
            <w:hideMark/>
          </w:tcPr>
          <w:p w14:paraId="0075722A" w14:textId="77777777" w:rsidR="00A43992" w:rsidRDefault="00A43992" w:rsidP="007211E3">
            <w:pPr>
              <w:rPr>
                <w:rFonts w:ascii="Arial" w:hAnsi="Arial" w:cs="Arial"/>
                <w:sz w:val="18"/>
                <w:szCs w:val="18"/>
              </w:rPr>
            </w:pPr>
            <w:r>
              <w:rPr>
                <w:rFonts w:ascii="Arial" w:hAnsi="Arial" w:cs="Arial"/>
                <w:sz w:val="18"/>
                <w:szCs w:val="18"/>
              </w:rPr>
              <w:t>Accumulated depreciation and impairment</w:t>
            </w:r>
          </w:p>
        </w:tc>
        <w:tc>
          <w:tcPr>
            <w:tcW w:w="2058" w:type="dxa"/>
            <w:tcBorders>
              <w:top w:val="nil"/>
              <w:left w:val="nil"/>
              <w:bottom w:val="nil"/>
              <w:right w:val="nil"/>
            </w:tcBorders>
            <w:shd w:val="clear" w:color="FFFFFF" w:fill="FFFFFF"/>
            <w:noWrap/>
            <w:vAlign w:val="bottom"/>
            <w:hideMark/>
          </w:tcPr>
          <w:p w14:paraId="34A973D3" w14:textId="77777777" w:rsidR="00A43992" w:rsidRDefault="00A43992" w:rsidP="007211E3">
            <w:pPr>
              <w:jc w:val="right"/>
              <w:rPr>
                <w:rFonts w:ascii="Arial" w:hAnsi="Arial" w:cs="Arial"/>
                <w:b/>
                <w:bCs/>
                <w:sz w:val="18"/>
                <w:szCs w:val="18"/>
              </w:rPr>
            </w:pPr>
            <w:r>
              <w:rPr>
                <w:rFonts w:ascii="Arial" w:hAnsi="Arial" w:cs="Arial"/>
                <w:b/>
                <w:bCs/>
                <w:sz w:val="18"/>
                <w:szCs w:val="18"/>
              </w:rPr>
              <w:t>(11,284)</w:t>
            </w:r>
          </w:p>
        </w:tc>
        <w:tc>
          <w:tcPr>
            <w:tcW w:w="1741" w:type="dxa"/>
            <w:tcBorders>
              <w:top w:val="nil"/>
              <w:left w:val="nil"/>
              <w:bottom w:val="nil"/>
              <w:right w:val="nil"/>
            </w:tcBorders>
            <w:shd w:val="clear" w:color="FFFFFF" w:fill="FFFFFF"/>
            <w:noWrap/>
            <w:vAlign w:val="bottom"/>
            <w:hideMark/>
          </w:tcPr>
          <w:p w14:paraId="63CD32D4" w14:textId="77777777" w:rsidR="00A43992" w:rsidRDefault="00A43992" w:rsidP="007211E3">
            <w:pPr>
              <w:jc w:val="right"/>
              <w:rPr>
                <w:rFonts w:ascii="Arial" w:hAnsi="Arial" w:cs="Arial"/>
                <w:b/>
                <w:bCs/>
                <w:sz w:val="18"/>
                <w:szCs w:val="18"/>
              </w:rPr>
            </w:pPr>
            <w:r>
              <w:rPr>
                <w:rFonts w:ascii="Arial" w:hAnsi="Arial" w:cs="Arial"/>
                <w:b/>
                <w:bCs/>
                <w:sz w:val="18"/>
                <w:szCs w:val="18"/>
              </w:rPr>
              <w:t>(842)</w:t>
            </w:r>
          </w:p>
        </w:tc>
        <w:tc>
          <w:tcPr>
            <w:tcW w:w="1316" w:type="dxa"/>
            <w:tcBorders>
              <w:top w:val="nil"/>
              <w:left w:val="nil"/>
              <w:bottom w:val="nil"/>
              <w:right w:val="nil"/>
            </w:tcBorders>
            <w:shd w:val="clear" w:color="FFFFFF" w:fill="FFFFFF"/>
            <w:noWrap/>
            <w:vAlign w:val="bottom"/>
            <w:hideMark/>
          </w:tcPr>
          <w:p w14:paraId="5223D7CD" w14:textId="77777777" w:rsidR="00A43992" w:rsidRDefault="00A43992" w:rsidP="007211E3">
            <w:pPr>
              <w:jc w:val="right"/>
              <w:rPr>
                <w:rFonts w:ascii="Arial" w:hAnsi="Arial" w:cs="Arial"/>
                <w:b/>
                <w:bCs/>
                <w:sz w:val="18"/>
                <w:szCs w:val="18"/>
              </w:rPr>
            </w:pPr>
            <w:r>
              <w:rPr>
                <w:rFonts w:ascii="Arial" w:hAnsi="Arial" w:cs="Arial"/>
                <w:b/>
                <w:bCs/>
                <w:sz w:val="18"/>
                <w:szCs w:val="18"/>
              </w:rPr>
              <w:t>(139)</w:t>
            </w:r>
          </w:p>
        </w:tc>
        <w:tc>
          <w:tcPr>
            <w:tcW w:w="1316" w:type="dxa"/>
            <w:tcBorders>
              <w:top w:val="nil"/>
              <w:left w:val="nil"/>
              <w:bottom w:val="nil"/>
              <w:right w:val="nil"/>
            </w:tcBorders>
            <w:shd w:val="clear" w:color="FFFFFF" w:fill="FFFFFF"/>
            <w:noWrap/>
            <w:vAlign w:val="bottom"/>
            <w:hideMark/>
          </w:tcPr>
          <w:p w14:paraId="441AC178" w14:textId="77777777" w:rsidR="00A43992" w:rsidRDefault="00A43992" w:rsidP="007211E3">
            <w:pPr>
              <w:jc w:val="right"/>
              <w:rPr>
                <w:rFonts w:ascii="Arial" w:hAnsi="Arial" w:cs="Arial"/>
                <w:b/>
                <w:bCs/>
                <w:sz w:val="18"/>
                <w:szCs w:val="18"/>
              </w:rPr>
            </w:pPr>
            <w:r>
              <w:rPr>
                <w:rFonts w:ascii="Arial" w:hAnsi="Arial" w:cs="Arial"/>
                <w:b/>
                <w:bCs/>
                <w:sz w:val="18"/>
                <w:szCs w:val="18"/>
              </w:rPr>
              <w:t>(12,265)</w:t>
            </w:r>
          </w:p>
        </w:tc>
      </w:tr>
      <w:tr w:rsidR="00A43992" w14:paraId="0314C94A" w14:textId="77777777" w:rsidTr="007211E3">
        <w:trPr>
          <w:trHeight w:val="255"/>
        </w:trPr>
        <w:tc>
          <w:tcPr>
            <w:tcW w:w="6503" w:type="dxa"/>
            <w:tcBorders>
              <w:top w:val="single" w:sz="4" w:space="0" w:color="auto"/>
              <w:left w:val="nil"/>
              <w:bottom w:val="single" w:sz="4" w:space="0" w:color="auto"/>
              <w:right w:val="nil"/>
            </w:tcBorders>
            <w:shd w:val="clear" w:color="FFFFFF" w:fill="FFFFFF"/>
            <w:vAlign w:val="bottom"/>
            <w:hideMark/>
          </w:tcPr>
          <w:p w14:paraId="3F67F546" w14:textId="77777777" w:rsidR="00A43992" w:rsidRDefault="00A43992" w:rsidP="007211E3">
            <w:pPr>
              <w:rPr>
                <w:rFonts w:ascii="Arial" w:hAnsi="Arial" w:cs="Arial"/>
                <w:b/>
                <w:bCs/>
                <w:sz w:val="18"/>
                <w:szCs w:val="18"/>
              </w:rPr>
            </w:pPr>
            <w:r>
              <w:rPr>
                <w:rFonts w:ascii="Arial" w:hAnsi="Arial" w:cs="Arial"/>
                <w:b/>
                <w:bCs/>
                <w:sz w:val="18"/>
                <w:szCs w:val="18"/>
              </w:rPr>
              <w:t>Net book value 1 July 2015</w:t>
            </w:r>
          </w:p>
        </w:tc>
        <w:tc>
          <w:tcPr>
            <w:tcW w:w="2058" w:type="dxa"/>
            <w:tcBorders>
              <w:top w:val="single" w:sz="4" w:space="0" w:color="auto"/>
              <w:left w:val="nil"/>
              <w:bottom w:val="single" w:sz="4" w:space="0" w:color="auto"/>
              <w:right w:val="nil"/>
            </w:tcBorders>
            <w:shd w:val="clear" w:color="FFFFFF" w:fill="FFFFFF"/>
            <w:noWrap/>
            <w:vAlign w:val="bottom"/>
            <w:hideMark/>
          </w:tcPr>
          <w:p w14:paraId="123964B6" w14:textId="77777777" w:rsidR="00A43992" w:rsidRDefault="00A43992" w:rsidP="007211E3">
            <w:pPr>
              <w:jc w:val="right"/>
              <w:rPr>
                <w:rFonts w:ascii="Arial" w:hAnsi="Arial" w:cs="Arial"/>
                <w:b/>
                <w:bCs/>
                <w:sz w:val="18"/>
                <w:szCs w:val="18"/>
              </w:rPr>
            </w:pPr>
            <w:r>
              <w:rPr>
                <w:rFonts w:ascii="Arial" w:hAnsi="Arial" w:cs="Arial"/>
                <w:b/>
                <w:bCs/>
                <w:sz w:val="18"/>
                <w:szCs w:val="18"/>
              </w:rPr>
              <w:t>26,463</w:t>
            </w:r>
          </w:p>
        </w:tc>
        <w:tc>
          <w:tcPr>
            <w:tcW w:w="1741" w:type="dxa"/>
            <w:tcBorders>
              <w:top w:val="single" w:sz="4" w:space="0" w:color="auto"/>
              <w:left w:val="nil"/>
              <w:bottom w:val="single" w:sz="4" w:space="0" w:color="auto"/>
              <w:right w:val="nil"/>
            </w:tcBorders>
            <w:shd w:val="clear" w:color="FFFFFF" w:fill="FFFFFF"/>
            <w:noWrap/>
            <w:vAlign w:val="bottom"/>
            <w:hideMark/>
          </w:tcPr>
          <w:p w14:paraId="3ED94B45" w14:textId="77777777" w:rsidR="00A43992" w:rsidRDefault="00A43992" w:rsidP="007211E3">
            <w:pPr>
              <w:jc w:val="right"/>
              <w:rPr>
                <w:rFonts w:ascii="Arial" w:hAnsi="Arial" w:cs="Arial"/>
                <w:b/>
                <w:bCs/>
                <w:sz w:val="18"/>
                <w:szCs w:val="18"/>
              </w:rPr>
            </w:pPr>
            <w:r>
              <w:rPr>
                <w:rFonts w:ascii="Arial" w:hAnsi="Arial" w:cs="Arial"/>
                <w:b/>
                <w:bCs/>
                <w:sz w:val="18"/>
                <w:szCs w:val="18"/>
              </w:rPr>
              <w:t>1,456</w:t>
            </w:r>
          </w:p>
        </w:tc>
        <w:tc>
          <w:tcPr>
            <w:tcW w:w="1316" w:type="dxa"/>
            <w:tcBorders>
              <w:top w:val="single" w:sz="4" w:space="0" w:color="auto"/>
              <w:left w:val="nil"/>
              <w:bottom w:val="single" w:sz="4" w:space="0" w:color="auto"/>
              <w:right w:val="nil"/>
            </w:tcBorders>
            <w:shd w:val="clear" w:color="FFFFFF" w:fill="FFFFFF"/>
            <w:noWrap/>
            <w:vAlign w:val="bottom"/>
            <w:hideMark/>
          </w:tcPr>
          <w:p w14:paraId="312975E7" w14:textId="77777777" w:rsidR="00A43992" w:rsidRDefault="00A43992" w:rsidP="007211E3">
            <w:pPr>
              <w:jc w:val="right"/>
              <w:rPr>
                <w:rFonts w:ascii="Arial" w:hAnsi="Arial" w:cs="Arial"/>
                <w:b/>
                <w:bCs/>
                <w:sz w:val="18"/>
                <w:szCs w:val="18"/>
              </w:rPr>
            </w:pPr>
            <w:r>
              <w:rPr>
                <w:rFonts w:ascii="Arial" w:hAnsi="Arial" w:cs="Arial"/>
                <w:b/>
                <w:bCs/>
                <w:sz w:val="18"/>
                <w:szCs w:val="18"/>
              </w:rPr>
              <w:t>3,416</w:t>
            </w:r>
          </w:p>
        </w:tc>
        <w:tc>
          <w:tcPr>
            <w:tcW w:w="1316" w:type="dxa"/>
            <w:tcBorders>
              <w:top w:val="single" w:sz="4" w:space="0" w:color="auto"/>
              <w:left w:val="nil"/>
              <w:bottom w:val="single" w:sz="4" w:space="0" w:color="auto"/>
              <w:right w:val="nil"/>
            </w:tcBorders>
            <w:shd w:val="clear" w:color="FFFFFF" w:fill="FFFFFF"/>
            <w:noWrap/>
            <w:vAlign w:val="bottom"/>
            <w:hideMark/>
          </w:tcPr>
          <w:p w14:paraId="1E9CDE9C" w14:textId="77777777" w:rsidR="00A43992" w:rsidRDefault="00A43992" w:rsidP="007211E3">
            <w:pPr>
              <w:jc w:val="right"/>
              <w:rPr>
                <w:rFonts w:ascii="Arial" w:hAnsi="Arial" w:cs="Arial"/>
                <w:b/>
                <w:bCs/>
                <w:sz w:val="18"/>
                <w:szCs w:val="18"/>
              </w:rPr>
            </w:pPr>
            <w:r>
              <w:rPr>
                <w:rFonts w:ascii="Arial" w:hAnsi="Arial" w:cs="Arial"/>
                <w:b/>
                <w:bCs/>
                <w:sz w:val="18"/>
                <w:szCs w:val="18"/>
              </w:rPr>
              <w:t>31,335</w:t>
            </w:r>
          </w:p>
        </w:tc>
      </w:tr>
      <w:tr w:rsidR="00A43992" w14:paraId="60B9E368" w14:textId="77777777" w:rsidTr="007211E3">
        <w:trPr>
          <w:trHeight w:val="255"/>
        </w:trPr>
        <w:tc>
          <w:tcPr>
            <w:tcW w:w="6503" w:type="dxa"/>
            <w:tcBorders>
              <w:top w:val="nil"/>
              <w:left w:val="nil"/>
              <w:bottom w:val="nil"/>
              <w:right w:val="nil"/>
            </w:tcBorders>
            <w:shd w:val="clear" w:color="FFFFFF" w:fill="FFFFFF"/>
            <w:noWrap/>
            <w:vAlign w:val="bottom"/>
            <w:hideMark/>
          </w:tcPr>
          <w:p w14:paraId="4F7ABB5A" w14:textId="77777777" w:rsidR="00A43992" w:rsidRDefault="00A43992" w:rsidP="007211E3">
            <w:pPr>
              <w:rPr>
                <w:rFonts w:ascii="Arial" w:hAnsi="Arial" w:cs="Arial"/>
                <w:b/>
                <w:bCs/>
                <w:sz w:val="18"/>
                <w:szCs w:val="18"/>
              </w:rPr>
            </w:pPr>
            <w:r>
              <w:rPr>
                <w:rFonts w:ascii="Arial" w:hAnsi="Arial" w:cs="Arial"/>
                <w:b/>
                <w:bCs/>
                <w:sz w:val="18"/>
                <w:szCs w:val="18"/>
              </w:rPr>
              <w:t> </w:t>
            </w:r>
          </w:p>
        </w:tc>
        <w:tc>
          <w:tcPr>
            <w:tcW w:w="2058" w:type="dxa"/>
            <w:tcBorders>
              <w:top w:val="nil"/>
              <w:left w:val="nil"/>
              <w:bottom w:val="nil"/>
              <w:right w:val="nil"/>
            </w:tcBorders>
            <w:shd w:val="clear" w:color="FFFFFF" w:fill="FFFFFF"/>
            <w:noWrap/>
            <w:vAlign w:val="bottom"/>
            <w:hideMark/>
          </w:tcPr>
          <w:p w14:paraId="327250A1" w14:textId="77777777" w:rsidR="00A43992" w:rsidRDefault="00A43992" w:rsidP="007211E3">
            <w:pPr>
              <w:jc w:val="right"/>
              <w:rPr>
                <w:rFonts w:ascii="Arial" w:hAnsi="Arial" w:cs="Arial"/>
                <w:b/>
                <w:bCs/>
                <w:sz w:val="18"/>
                <w:szCs w:val="18"/>
              </w:rPr>
            </w:pPr>
            <w:r>
              <w:rPr>
                <w:rFonts w:ascii="Arial" w:hAnsi="Arial" w:cs="Arial"/>
                <w:b/>
                <w:bCs/>
                <w:sz w:val="18"/>
                <w:szCs w:val="18"/>
              </w:rPr>
              <w:t> </w:t>
            </w:r>
          </w:p>
        </w:tc>
        <w:tc>
          <w:tcPr>
            <w:tcW w:w="1741" w:type="dxa"/>
            <w:tcBorders>
              <w:top w:val="nil"/>
              <w:left w:val="nil"/>
              <w:bottom w:val="nil"/>
              <w:right w:val="nil"/>
            </w:tcBorders>
            <w:shd w:val="clear" w:color="FFFFFF" w:fill="FFFFFF"/>
            <w:noWrap/>
            <w:vAlign w:val="bottom"/>
            <w:hideMark/>
          </w:tcPr>
          <w:p w14:paraId="668BEE4D" w14:textId="77777777" w:rsidR="00A43992" w:rsidRDefault="00A43992" w:rsidP="007211E3">
            <w:pPr>
              <w:jc w:val="right"/>
              <w:rPr>
                <w:rFonts w:ascii="Arial" w:hAnsi="Arial" w:cs="Arial"/>
                <w:b/>
                <w:bCs/>
                <w:sz w:val="18"/>
                <w:szCs w:val="18"/>
              </w:rPr>
            </w:pPr>
            <w:r>
              <w:rPr>
                <w:rFonts w:ascii="Arial" w:hAnsi="Arial" w:cs="Arial"/>
                <w:b/>
                <w:bCs/>
                <w:sz w:val="18"/>
                <w:szCs w:val="18"/>
              </w:rPr>
              <w:t> </w:t>
            </w:r>
          </w:p>
        </w:tc>
        <w:tc>
          <w:tcPr>
            <w:tcW w:w="1316" w:type="dxa"/>
            <w:tcBorders>
              <w:top w:val="nil"/>
              <w:left w:val="nil"/>
              <w:bottom w:val="nil"/>
              <w:right w:val="nil"/>
            </w:tcBorders>
            <w:shd w:val="clear" w:color="FFFFFF" w:fill="FFFFFF"/>
            <w:noWrap/>
            <w:vAlign w:val="bottom"/>
            <w:hideMark/>
          </w:tcPr>
          <w:p w14:paraId="2141FA8F" w14:textId="77777777" w:rsidR="00A43992" w:rsidRDefault="00A43992" w:rsidP="007211E3">
            <w:pPr>
              <w:jc w:val="right"/>
              <w:rPr>
                <w:rFonts w:ascii="Arial" w:hAnsi="Arial" w:cs="Arial"/>
                <w:b/>
                <w:bCs/>
                <w:sz w:val="18"/>
                <w:szCs w:val="18"/>
              </w:rPr>
            </w:pPr>
            <w:r>
              <w:rPr>
                <w:rFonts w:ascii="Arial" w:hAnsi="Arial" w:cs="Arial"/>
                <w:b/>
                <w:bCs/>
                <w:sz w:val="18"/>
                <w:szCs w:val="18"/>
              </w:rPr>
              <w:t> </w:t>
            </w:r>
          </w:p>
        </w:tc>
        <w:tc>
          <w:tcPr>
            <w:tcW w:w="1316" w:type="dxa"/>
            <w:tcBorders>
              <w:top w:val="nil"/>
              <w:left w:val="nil"/>
              <w:bottom w:val="nil"/>
              <w:right w:val="nil"/>
            </w:tcBorders>
            <w:shd w:val="clear" w:color="FFFFFF" w:fill="FFFFFF"/>
            <w:noWrap/>
            <w:vAlign w:val="bottom"/>
            <w:hideMark/>
          </w:tcPr>
          <w:p w14:paraId="7B35F9B7" w14:textId="77777777" w:rsidR="00A43992" w:rsidRDefault="00A43992" w:rsidP="007211E3">
            <w:pPr>
              <w:jc w:val="right"/>
              <w:rPr>
                <w:rFonts w:ascii="Arial" w:hAnsi="Arial" w:cs="Arial"/>
                <w:b/>
                <w:bCs/>
                <w:sz w:val="18"/>
                <w:szCs w:val="18"/>
              </w:rPr>
            </w:pPr>
            <w:r>
              <w:rPr>
                <w:rFonts w:ascii="Arial" w:hAnsi="Arial" w:cs="Arial"/>
                <w:b/>
                <w:bCs/>
                <w:sz w:val="18"/>
                <w:szCs w:val="18"/>
              </w:rPr>
              <w:t> </w:t>
            </w:r>
          </w:p>
        </w:tc>
      </w:tr>
      <w:tr w:rsidR="00A43992" w14:paraId="78ED0BC6" w14:textId="77777777" w:rsidTr="007211E3">
        <w:trPr>
          <w:trHeight w:val="255"/>
        </w:trPr>
        <w:tc>
          <w:tcPr>
            <w:tcW w:w="6503" w:type="dxa"/>
            <w:tcBorders>
              <w:top w:val="nil"/>
              <w:left w:val="nil"/>
              <w:bottom w:val="nil"/>
              <w:right w:val="nil"/>
            </w:tcBorders>
            <w:shd w:val="clear" w:color="FFFFFF" w:fill="FFFFFF"/>
            <w:vAlign w:val="bottom"/>
            <w:hideMark/>
          </w:tcPr>
          <w:p w14:paraId="5655E56C" w14:textId="77777777" w:rsidR="00A43992" w:rsidRDefault="00A43992" w:rsidP="007211E3">
            <w:pPr>
              <w:rPr>
                <w:rFonts w:ascii="Arial" w:hAnsi="Arial" w:cs="Arial"/>
                <w:sz w:val="18"/>
                <w:szCs w:val="18"/>
              </w:rPr>
            </w:pPr>
            <w:r>
              <w:rPr>
                <w:rFonts w:ascii="Arial" w:hAnsi="Arial" w:cs="Arial"/>
                <w:sz w:val="18"/>
                <w:szCs w:val="18"/>
              </w:rPr>
              <w:t>Additions</w:t>
            </w:r>
          </w:p>
        </w:tc>
        <w:tc>
          <w:tcPr>
            <w:tcW w:w="2058" w:type="dxa"/>
            <w:tcBorders>
              <w:top w:val="nil"/>
              <w:left w:val="nil"/>
              <w:bottom w:val="nil"/>
              <w:right w:val="nil"/>
            </w:tcBorders>
            <w:shd w:val="clear" w:color="FFFFFF" w:fill="FFFFFF"/>
            <w:noWrap/>
            <w:vAlign w:val="bottom"/>
            <w:hideMark/>
          </w:tcPr>
          <w:p w14:paraId="384F3581" w14:textId="77777777" w:rsidR="00A43992" w:rsidRDefault="00A43992" w:rsidP="007211E3">
            <w:pPr>
              <w:jc w:val="right"/>
              <w:rPr>
                <w:rFonts w:ascii="Arial" w:hAnsi="Arial" w:cs="Arial"/>
                <w:b/>
                <w:bCs/>
                <w:sz w:val="18"/>
                <w:szCs w:val="18"/>
              </w:rPr>
            </w:pPr>
            <w:r>
              <w:rPr>
                <w:rFonts w:ascii="Arial" w:hAnsi="Arial" w:cs="Arial"/>
                <w:b/>
                <w:bCs/>
                <w:sz w:val="18"/>
                <w:szCs w:val="18"/>
              </w:rPr>
              <w:t> </w:t>
            </w:r>
          </w:p>
        </w:tc>
        <w:tc>
          <w:tcPr>
            <w:tcW w:w="1741" w:type="dxa"/>
            <w:tcBorders>
              <w:top w:val="nil"/>
              <w:left w:val="nil"/>
              <w:bottom w:val="nil"/>
              <w:right w:val="nil"/>
            </w:tcBorders>
            <w:shd w:val="clear" w:color="FFFFFF" w:fill="FFFFFF"/>
            <w:noWrap/>
            <w:vAlign w:val="bottom"/>
            <w:hideMark/>
          </w:tcPr>
          <w:p w14:paraId="51C46476" w14:textId="77777777" w:rsidR="00A43992" w:rsidRDefault="00A43992" w:rsidP="007211E3">
            <w:pPr>
              <w:jc w:val="right"/>
              <w:rPr>
                <w:rFonts w:ascii="Arial" w:hAnsi="Arial" w:cs="Arial"/>
                <w:b/>
                <w:bCs/>
                <w:sz w:val="18"/>
                <w:szCs w:val="18"/>
              </w:rPr>
            </w:pPr>
            <w:r>
              <w:rPr>
                <w:rFonts w:ascii="Arial" w:hAnsi="Arial" w:cs="Arial"/>
                <w:b/>
                <w:bCs/>
                <w:sz w:val="18"/>
                <w:szCs w:val="18"/>
              </w:rPr>
              <w:t> </w:t>
            </w:r>
          </w:p>
        </w:tc>
        <w:tc>
          <w:tcPr>
            <w:tcW w:w="1316" w:type="dxa"/>
            <w:tcBorders>
              <w:top w:val="nil"/>
              <w:left w:val="nil"/>
              <w:bottom w:val="nil"/>
              <w:right w:val="nil"/>
            </w:tcBorders>
            <w:shd w:val="clear" w:color="FFFFFF" w:fill="FFFFFF"/>
            <w:noWrap/>
            <w:vAlign w:val="bottom"/>
            <w:hideMark/>
          </w:tcPr>
          <w:p w14:paraId="764EF175" w14:textId="77777777" w:rsidR="00A43992" w:rsidRDefault="00A43992" w:rsidP="007211E3">
            <w:pPr>
              <w:jc w:val="right"/>
              <w:rPr>
                <w:rFonts w:ascii="Arial" w:hAnsi="Arial" w:cs="Arial"/>
                <w:b/>
                <w:bCs/>
                <w:sz w:val="18"/>
                <w:szCs w:val="18"/>
              </w:rPr>
            </w:pPr>
            <w:r>
              <w:rPr>
                <w:rFonts w:ascii="Arial" w:hAnsi="Arial" w:cs="Arial"/>
                <w:b/>
                <w:bCs/>
                <w:sz w:val="18"/>
                <w:szCs w:val="18"/>
              </w:rPr>
              <w:t> </w:t>
            </w:r>
          </w:p>
        </w:tc>
        <w:tc>
          <w:tcPr>
            <w:tcW w:w="1316" w:type="dxa"/>
            <w:tcBorders>
              <w:top w:val="nil"/>
              <w:left w:val="nil"/>
              <w:bottom w:val="nil"/>
              <w:right w:val="nil"/>
            </w:tcBorders>
            <w:shd w:val="clear" w:color="FFFFFF" w:fill="FFFFFF"/>
            <w:noWrap/>
            <w:vAlign w:val="bottom"/>
            <w:hideMark/>
          </w:tcPr>
          <w:p w14:paraId="4D92199A" w14:textId="77777777" w:rsidR="00A43992" w:rsidRDefault="00A43992" w:rsidP="007211E3">
            <w:pPr>
              <w:jc w:val="right"/>
              <w:rPr>
                <w:rFonts w:ascii="Arial" w:hAnsi="Arial" w:cs="Arial"/>
                <w:b/>
                <w:bCs/>
                <w:sz w:val="18"/>
                <w:szCs w:val="18"/>
              </w:rPr>
            </w:pPr>
            <w:r>
              <w:rPr>
                <w:rFonts w:ascii="Arial" w:hAnsi="Arial" w:cs="Arial"/>
                <w:b/>
                <w:bCs/>
                <w:sz w:val="18"/>
                <w:szCs w:val="18"/>
              </w:rPr>
              <w:t> </w:t>
            </w:r>
          </w:p>
        </w:tc>
      </w:tr>
      <w:tr w:rsidR="00A43992" w14:paraId="473132EE" w14:textId="77777777" w:rsidTr="007211E3">
        <w:trPr>
          <w:trHeight w:val="255"/>
        </w:trPr>
        <w:tc>
          <w:tcPr>
            <w:tcW w:w="6503" w:type="dxa"/>
            <w:tcBorders>
              <w:top w:val="nil"/>
              <w:left w:val="nil"/>
              <w:bottom w:val="nil"/>
              <w:right w:val="nil"/>
            </w:tcBorders>
            <w:shd w:val="clear" w:color="FFFFFF" w:fill="FFFFFF"/>
            <w:noWrap/>
            <w:vAlign w:val="bottom"/>
            <w:hideMark/>
          </w:tcPr>
          <w:p w14:paraId="38E99B2C" w14:textId="77777777" w:rsidR="00A43992" w:rsidRDefault="00A43992" w:rsidP="007211E3">
            <w:pPr>
              <w:ind w:firstLineChars="100" w:firstLine="180"/>
              <w:rPr>
                <w:rFonts w:ascii="Arial" w:hAnsi="Arial" w:cs="Arial"/>
                <w:sz w:val="18"/>
                <w:szCs w:val="18"/>
              </w:rPr>
            </w:pPr>
            <w:r>
              <w:rPr>
                <w:rFonts w:ascii="Arial" w:hAnsi="Arial" w:cs="Arial"/>
                <w:sz w:val="18"/>
                <w:szCs w:val="18"/>
              </w:rPr>
              <w:t>Purchase or internally developed</w:t>
            </w:r>
          </w:p>
        </w:tc>
        <w:tc>
          <w:tcPr>
            <w:tcW w:w="2058" w:type="dxa"/>
            <w:tcBorders>
              <w:top w:val="nil"/>
              <w:left w:val="nil"/>
              <w:bottom w:val="nil"/>
              <w:right w:val="nil"/>
            </w:tcBorders>
            <w:shd w:val="clear" w:color="FFFFFF" w:fill="FFFFFF"/>
            <w:noWrap/>
            <w:vAlign w:val="bottom"/>
            <w:hideMark/>
          </w:tcPr>
          <w:p w14:paraId="74F2C4B7" w14:textId="77777777" w:rsidR="00A43992" w:rsidRDefault="00A43992" w:rsidP="007211E3">
            <w:pPr>
              <w:jc w:val="right"/>
              <w:rPr>
                <w:rFonts w:ascii="Arial" w:hAnsi="Arial" w:cs="Arial"/>
                <w:b/>
                <w:bCs/>
                <w:sz w:val="18"/>
                <w:szCs w:val="18"/>
              </w:rPr>
            </w:pPr>
            <w:r>
              <w:rPr>
                <w:rFonts w:ascii="Arial" w:hAnsi="Arial" w:cs="Arial"/>
                <w:b/>
                <w:bCs/>
                <w:sz w:val="18"/>
                <w:szCs w:val="18"/>
              </w:rPr>
              <w:t>3,829</w:t>
            </w:r>
          </w:p>
        </w:tc>
        <w:tc>
          <w:tcPr>
            <w:tcW w:w="1741" w:type="dxa"/>
            <w:tcBorders>
              <w:top w:val="nil"/>
              <w:left w:val="nil"/>
              <w:bottom w:val="nil"/>
              <w:right w:val="nil"/>
            </w:tcBorders>
            <w:shd w:val="clear" w:color="FFFFFF" w:fill="FFFFFF"/>
            <w:noWrap/>
            <w:vAlign w:val="bottom"/>
            <w:hideMark/>
          </w:tcPr>
          <w:p w14:paraId="2071A99A" w14:textId="77777777" w:rsidR="00A43992" w:rsidRDefault="00A43992" w:rsidP="007211E3">
            <w:pPr>
              <w:jc w:val="right"/>
              <w:rPr>
                <w:rFonts w:ascii="Arial" w:hAnsi="Arial" w:cs="Arial"/>
                <w:b/>
                <w:bCs/>
                <w:sz w:val="18"/>
                <w:szCs w:val="18"/>
              </w:rPr>
            </w:pPr>
            <w:r>
              <w:rPr>
                <w:rFonts w:ascii="Arial" w:hAnsi="Arial" w:cs="Arial"/>
                <w:b/>
                <w:bCs/>
                <w:sz w:val="18"/>
                <w:szCs w:val="18"/>
              </w:rPr>
              <w:t>396</w:t>
            </w:r>
          </w:p>
        </w:tc>
        <w:tc>
          <w:tcPr>
            <w:tcW w:w="1316" w:type="dxa"/>
            <w:tcBorders>
              <w:top w:val="nil"/>
              <w:left w:val="nil"/>
              <w:bottom w:val="nil"/>
              <w:right w:val="nil"/>
            </w:tcBorders>
            <w:shd w:val="clear" w:color="FFFFFF" w:fill="FFFFFF"/>
            <w:noWrap/>
            <w:vAlign w:val="bottom"/>
            <w:hideMark/>
          </w:tcPr>
          <w:p w14:paraId="43843C02" w14:textId="77777777" w:rsidR="00A43992" w:rsidRDefault="00A43992" w:rsidP="007211E3">
            <w:pPr>
              <w:jc w:val="right"/>
              <w:rPr>
                <w:rFonts w:ascii="Arial" w:hAnsi="Arial" w:cs="Arial"/>
                <w:b/>
                <w:bCs/>
                <w:sz w:val="18"/>
                <w:szCs w:val="18"/>
              </w:rPr>
            </w:pPr>
            <w:r>
              <w:rPr>
                <w:rFonts w:ascii="Arial" w:hAnsi="Arial" w:cs="Arial"/>
                <w:b/>
                <w:bCs/>
                <w:sz w:val="18"/>
                <w:szCs w:val="18"/>
              </w:rPr>
              <w:t>-</w:t>
            </w:r>
          </w:p>
        </w:tc>
        <w:tc>
          <w:tcPr>
            <w:tcW w:w="1316" w:type="dxa"/>
            <w:tcBorders>
              <w:top w:val="nil"/>
              <w:left w:val="nil"/>
              <w:bottom w:val="nil"/>
              <w:right w:val="nil"/>
            </w:tcBorders>
            <w:shd w:val="clear" w:color="FFFFFF" w:fill="FFFFFF"/>
            <w:noWrap/>
            <w:vAlign w:val="bottom"/>
            <w:hideMark/>
          </w:tcPr>
          <w:p w14:paraId="42FEE202" w14:textId="77777777" w:rsidR="00A43992" w:rsidRDefault="00A43992" w:rsidP="007211E3">
            <w:pPr>
              <w:jc w:val="right"/>
              <w:rPr>
                <w:rFonts w:ascii="Arial" w:hAnsi="Arial" w:cs="Arial"/>
                <w:b/>
                <w:bCs/>
                <w:sz w:val="18"/>
                <w:szCs w:val="18"/>
              </w:rPr>
            </w:pPr>
            <w:r>
              <w:rPr>
                <w:rFonts w:ascii="Arial" w:hAnsi="Arial" w:cs="Arial"/>
                <w:b/>
                <w:bCs/>
                <w:sz w:val="18"/>
                <w:szCs w:val="18"/>
              </w:rPr>
              <w:t>4,225</w:t>
            </w:r>
          </w:p>
        </w:tc>
      </w:tr>
      <w:tr w:rsidR="00A43992" w14:paraId="3AAC8A4C" w14:textId="77777777" w:rsidTr="007211E3">
        <w:trPr>
          <w:trHeight w:val="255"/>
        </w:trPr>
        <w:tc>
          <w:tcPr>
            <w:tcW w:w="6503" w:type="dxa"/>
            <w:tcBorders>
              <w:top w:val="nil"/>
              <w:left w:val="nil"/>
              <w:bottom w:val="nil"/>
              <w:right w:val="nil"/>
            </w:tcBorders>
            <w:shd w:val="clear" w:color="FFFFFF" w:fill="FFFFFF"/>
            <w:vAlign w:val="bottom"/>
            <w:hideMark/>
          </w:tcPr>
          <w:p w14:paraId="457BA3E3" w14:textId="77777777" w:rsidR="00A43992" w:rsidRDefault="00A43992" w:rsidP="007211E3">
            <w:pPr>
              <w:ind w:firstLineChars="100" w:firstLine="180"/>
              <w:rPr>
                <w:rFonts w:ascii="Arial" w:hAnsi="Arial" w:cs="Arial"/>
                <w:sz w:val="18"/>
                <w:szCs w:val="18"/>
              </w:rPr>
            </w:pPr>
            <w:r>
              <w:rPr>
                <w:rFonts w:ascii="Arial" w:hAnsi="Arial" w:cs="Arial"/>
                <w:sz w:val="18"/>
                <w:szCs w:val="18"/>
              </w:rPr>
              <w:t>Assets first found</w:t>
            </w:r>
          </w:p>
        </w:tc>
        <w:tc>
          <w:tcPr>
            <w:tcW w:w="2058" w:type="dxa"/>
            <w:tcBorders>
              <w:top w:val="nil"/>
              <w:left w:val="nil"/>
              <w:bottom w:val="nil"/>
              <w:right w:val="nil"/>
            </w:tcBorders>
            <w:shd w:val="clear" w:color="FFFFFF" w:fill="FFFFFF"/>
            <w:noWrap/>
            <w:vAlign w:val="bottom"/>
            <w:hideMark/>
          </w:tcPr>
          <w:p w14:paraId="334B039F" w14:textId="77777777" w:rsidR="00A43992" w:rsidRDefault="00A43992" w:rsidP="007211E3">
            <w:pPr>
              <w:jc w:val="right"/>
              <w:rPr>
                <w:rFonts w:ascii="Arial" w:hAnsi="Arial" w:cs="Arial"/>
                <w:b/>
                <w:bCs/>
                <w:sz w:val="18"/>
                <w:szCs w:val="18"/>
              </w:rPr>
            </w:pPr>
            <w:r>
              <w:rPr>
                <w:rFonts w:ascii="Arial" w:hAnsi="Arial" w:cs="Arial"/>
                <w:b/>
                <w:bCs/>
                <w:sz w:val="18"/>
                <w:szCs w:val="18"/>
              </w:rPr>
              <w:t>-</w:t>
            </w:r>
          </w:p>
        </w:tc>
        <w:tc>
          <w:tcPr>
            <w:tcW w:w="1741" w:type="dxa"/>
            <w:tcBorders>
              <w:top w:val="nil"/>
              <w:left w:val="nil"/>
              <w:bottom w:val="nil"/>
              <w:right w:val="nil"/>
            </w:tcBorders>
            <w:shd w:val="clear" w:color="FFFFFF" w:fill="FFFFFF"/>
            <w:noWrap/>
            <w:vAlign w:val="bottom"/>
            <w:hideMark/>
          </w:tcPr>
          <w:p w14:paraId="5FD6C187" w14:textId="77777777" w:rsidR="00A43992" w:rsidRDefault="00A43992" w:rsidP="007211E3">
            <w:pPr>
              <w:jc w:val="right"/>
              <w:rPr>
                <w:rFonts w:ascii="Arial" w:hAnsi="Arial" w:cs="Arial"/>
                <w:b/>
                <w:bCs/>
                <w:sz w:val="18"/>
                <w:szCs w:val="18"/>
              </w:rPr>
            </w:pPr>
            <w:r>
              <w:rPr>
                <w:rFonts w:ascii="Arial" w:hAnsi="Arial" w:cs="Arial"/>
                <w:b/>
                <w:bCs/>
                <w:sz w:val="18"/>
                <w:szCs w:val="18"/>
              </w:rPr>
              <w:t>143</w:t>
            </w:r>
          </w:p>
        </w:tc>
        <w:tc>
          <w:tcPr>
            <w:tcW w:w="1316" w:type="dxa"/>
            <w:tcBorders>
              <w:top w:val="nil"/>
              <w:left w:val="nil"/>
              <w:bottom w:val="nil"/>
              <w:right w:val="nil"/>
            </w:tcBorders>
            <w:shd w:val="clear" w:color="FFFFFF" w:fill="FFFFFF"/>
            <w:noWrap/>
            <w:vAlign w:val="bottom"/>
            <w:hideMark/>
          </w:tcPr>
          <w:p w14:paraId="4CCB3EEB" w14:textId="77777777" w:rsidR="00A43992" w:rsidRDefault="00A43992" w:rsidP="007211E3">
            <w:pPr>
              <w:jc w:val="right"/>
              <w:rPr>
                <w:rFonts w:ascii="Arial" w:hAnsi="Arial" w:cs="Arial"/>
                <w:b/>
                <w:bCs/>
                <w:sz w:val="18"/>
                <w:szCs w:val="18"/>
              </w:rPr>
            </w:pPr>
            <w:r>
              <w:rPr>
                <w:rFonts w:ascii="Arial" w:hAnsi="Arial" w:cs="Arial"/>
                <w:b/>
                <w:bCs/>
                <w:sz w:val="18"/>
                <w:szCs w:val="18"/>
              </w:rPr>
              <w:t>-</w:t>
            </w:r>
          </w:p>
        </w:tc>
        <w:tc>
          <w:tcPr>
            <w:tcW w:w="1316" w:type="dxa"/>
            <w:tcBorders>
              <w:top w:val="nil"/>
              <w:left w:val="nil"/>
              <w:bottom w:val="nil"/>
              <w:right w:val="nil"/>
            </w:tcBorders>
            <w:shd w:val="clear" w:color="FFFFFF" w:fill="FFFFFF"/>
            <w:noWrap/>
            <w:vAlign w:val="bottom"/>
            <w:hideMark/>
          </w:tcPr>
          <w:p w14:paraId="2C39A646" w14:textId="77777777" w:rsidR="00A43992" w:rsidRDefault="00A43992" w:rsidP="007211E3">
            <w:pPr>
              <w:jc w:val="right"/>
              <w:rPr>
                <w:rFonts w:ascii="Arial" w:hAnsi="Arial" w:cs="Arial"/>
                <w:b/>
                <w:bCs/>
                <w:sz w:val="18"/>
                <w:szCs w:val="18"/>
              </w:rPr>
            </w:pPr>
            <w:r>
              <w:rPr>
                <w:rFonts w:ascii="Arial" w:hAnsi="Arial" w:cs="Arial"/>
                <w:b/>
                <w:bCs/>
                <w:sz w:val="18"/>
                <w:szCs w:val="18"/>
              </w:rPr>
              <w:t>143</w:t>
            </w:r>
          </w:p>
        </w:tc>
      </w:tr>
      <w:tr w:rsidR="00A43992" w14:paraId="70A20487" w14:textId="77777777" w:rsidTr="007211E3">
        <w:trPr>
          <w:trHeight w:val="255"/>
        </w:trPr>
        <w:tc>
          <w:tcPr>
            <w:tcW w:w="6503" w:type="dxa"/>
            <w:tcBorders>
              <w:top w:val="nil"/>
              <w:left w:val="nil"/>
              <w:bottom w:val="nil"/>
              <w:right w:val="nil"/>
            </w:tcBorders>
            <w:shd w:val="clear" w:color="FFFFFF" w:fill="FFFFFF"/>
            <w:vAlign w:val="bottom"/>
            <w:hideMark/>
          </w:tcPr>
          <w:p w14:paraId="0842484D" w14:textId="77777777" w:rsidR="00A43992" w:rsidRDefault="00A43992" w:rsidP="007211E3">
            <w:pPr>
              <w:rPr>
                <w:rFonts w:ascii="Arial" w:hAnsi="Arial" w:cs="Arial"/>
                <w:sz w:val="18"/>
                <w:szCs w:val="18"/>
              </w:rPr>
            </w:pPr>
            <w:r>
              <w:rPr>
                <w:rFonts w:ascii="Arial" w:hAnsi="Arial" w:cs="Arial"/>
                <w:sz w:val="18"/>
                <w:szCs w:val="18"/>
              </w:rPr>
              <w:t>Revaluations in other comprehensive income</w:t>
            </w:r>
          </w:p>
        </w:tc>
        <w:tc>
          <w:tcPr>
            <w:tcW w:w="2058" w:type="dxa"/>
            <w:tcBorders>
              <w:top w:val="nil"/>
              <w:left w:val="nil"/>
              <w:bottom w:val="nil"/>
              <w:right w:val="nil"/>
            </w:tcBorders>
            <w:shd w:val="clear" w:color="FFFFFF" w:fill="FFFFFF"/>
            <w:noWrap/>
            <w:vAlign w:val="bottom"/>
            <w:hideMark/>
          </w:tcPr>
          <w:p w14:paraId="71DC5868" w14:textId="77777777" w:rsidR="00A43992" w:rsidRDefault="00A43992" w:rsidP="007211E3">
            <w:pPr>
              <w:jc w:val="right"/>
              <w:rPr>
                <w:rFonts w:ascii="Arial" w:hAnsi="Arial" w:cs="Arial"/>
                <w:b/>
                <w:bCs/>
                <w:sz w:val="18"/>
                <w:szCs w:val="18"/>
              </w:rPr>
            </w:pPr>
            <w:r>
              <w:rPr>
                <w:rFonts w:ascii="Arial" w:hAnsi="Arial" w:cs="Arial"/>
                <w:b/>
                <w:bCs/>
                <w:sz w:val="18"/>
                <w:szCs w:val="18"/>
              </w:rPr>
              <w:t>1,881</w:t>
            </w:r>
          </w:p>
        </w:tc>
        <w:tc>
          <w:tcPr>
            <w:tcW w:w="1741" w:type="dxa"/>
            <w:tcBorders>
              <w:top w:val="nil"/>
              <w:left w:val="nil"/>
              <w:bottom w:val="nil"/>
              <w:right w:val="nil"/>
            </w:tcBorders>
            <w:shd w:val="clear" w:color="FFFFFF" w:fill="FFFFFF"/>
            <w:noWrap/>
            <w:vAlign w:val="bottom"/>
            <w:hideMark/>
          </w:tcPr>
          <w:p w14:paraId="2D3894F4" w14:textId="77777777" w:rsidR="00A43992" w:rsidRDefault="00A43992" w:rsidP="007211E3">
            <w:pPr>
              <w:jc w:val="right"/>
              <w:rPr>
                <w:rFonts w:ascii="Arial" w:hAnsi="Arial" w:cs="Arial"/>
                <w:b/>
                <w:bCs/>
                <w:sz w:val="18"/>
                <w:szCs w:val="18"/>
              </w:rPr>
            </w:pPr>
            <w:r>
              <w:rPr>
                <w:rFonts w:ascii="Arial" w:hAnsi="Arial" w:cs="Arial"/>
                <w:b/>
                <w:bCs/>
                <w:sz w:val="18"/>
                <w:szCs w:val="18"/>
              </w:rPr>
              <w:t>-</w:t>
            </w:r>
          </w:p>
        </w:tc>
        <w:tc>
          <w:tcPr>
            <w:tcW w:w="1316" w:type="dxa"/>
            <w:tcBorders>
              <w:top w:val="nil"/>
              <w:left w:val="nil"/>
              <w:bottom w:val="nil"/>
              <w:right w:val="nil"/>
            </w:tcBorders>
            <w:shd w:val="clear" w:color="FFFFFF" w:fill="FFFFFF"/>
            <w:noWrap/>
            <w:vAlign w:val="bottom"/>
            <w:hideMark/>
          </w:tcPr>
          <w:p w14:paraId="6EB72230" w14:textId="77777777" w:rsidR="00A43992" w:rsidRDefault="00A43992" w:rsidP="007211E3">
            <w:pPr>
              <w:jc w:val="right"/>
              <w:rPr>
                <w:rFonts w:ascii="Arial" w:hAnsi="Arial" w:cs="Arial"/>
                <w:b/>
                <w:bCs/>
                <w:sz w:val="18"/>
                <w:szCs w:val="18"/>
              </w:rPr>
            </w:pPr>
            <w:r>
              <w:rPr>
                <w:rFonts w:ascii="Arial" w:hAnsi="Arial" w:cs="Arial"/>
                <w:b/>
                <w:bCs/>
                <w:sz w:val="18"/>
                <w:szCs w:val="18"/>
              </w:rPr>
              <w:t>-</w:t>
            </w:r>
          </w:p>
        </w:tc>
        <w:tc>
          <w:tcPr>
            <w:tcW w:w="1316" w:type="dxa"/>
            <w:tcBorders>
              <w:top w:val="nil"/>
              <w:left w:val="nil"/>
              <w:bottom w:val="nil"/>
              <w:right w:val="nil"/>
            </w:tcBorders>
            <w:shd w:val="clear" w:color="FFFFFF" w:fill="FFFFFF"/>
            <w:noWrap/>
            <w:vAlign w:val="bottom"/>
            <w:hideMark/>
          </w:tcPr>
          <w:p w14:paraId="02A78B92" w14:textId="77777777" w:rsidR="00A43992" w:rsidRDefault="00A43992" w:rsidP="007211E3">
            <w:pPr>
              <w:jc w:val="right"/>
              <w:rPr>
                <w:rFonts w:ascii="Arial" w:hAnsi="Arial" w:cs="Arial"/>
                <w:b/>
                <w:bCs/>
                <w:sz w:val="18"/>
                <w:szCs w:val="18"/>
              </w:rPr>
            </w:pPr>
            <w:r>
              <w:rPr>
                <w:rFonts w:ascii="Arial" w:hAnsi="Arial" w:cs="Arial"/>
                <w:b/>
                <w:bCs/>
                <w:sz w:val="18"/>
                <w:szCs w:val="18"/>
              </w:rPr>
              <w:t>1,881</w:t>
            </w:r>
          </w:p>
        </w:tc>
      </w:tr>
      <w:tr w:rsidR="00A43992" w14:paraId="00632EE6" w14:textId="77777777" w:rsidTr="007211E3">
        <w:trPr>
          <w:trHeight w:val="255"/>
        </w:trPr>
        <w:tc>
          <w:tcPr>
            <w:tcW w:w="6503" w:type="dxa"/>
            <w:tcBorders>
              <w:top w:val="nil"/>
              <w:left w:val="nil"/>
              <w:bottom w:val="nil"/>
              <w:right w:val="nil"/>
            </w:tcBorders>
            <w:shd w:val="clear" w:color="FFFFFF" w:fill="FFFFFF"/>
            <w:vAlign w:val="bottom"/>
            <w:hideMark/>
          </w:tcPr>
          <w:p w14:paraId="12949A7F" w14:textId="77777777" w:rsidR="00A43992" w:rsidRDefault="00A43992" w:rsidP="007211E3">
            <w:pPr>
              <w:rPr>
                <w:rFonts w:ascii="Arial" w:hAnsi="Arial" w:cs="Arial"/>
                <w:sz w:val="18"/>
                <w:szCs w:val="18"/>
              </w:rPr>
            </w:pPr>
            <w:r>
              <w:rPr>
                <w:rFonts w:ascii="Arial" w:hAnsi="Arial" w:cs="Arial"/>
                <w:sz w:val="18"/>
                <w:szCs w:val="18"/>
              </w:rPr>
              <w:t>Depreciation expense</w:t>
            </w:r>
          </w:p>
        </w:tc>
        <w:tc>
          <w:tcPr>
            <w:tcW w:w="2058" w:type="dxa"/>
            <w:tcBorders>
              <w:top w:val="nil"/>
              <w:left w:val="nil"/>
              <w:bottom w:val="nil"/>
              <w:right w:val="nil"/>
            </w:tcBorders>
            <w:shd w:val="clear" w:color="FFFFFF" w:fill="FFFFFF"/>
            <w:noWrap/>
            <w:vAlign w:val="bottom"/>
            <w:hideMark/>
          </w:tcPr>
          <w:p w14:paraId="69F7B075" w14:textId="77777777" w:rsidR="00A43992" w:rsidRDefault="00A43992" w:rsidP="007211E3">
            <w:pPr>
              <w:jc w:val="right"/>
              <w:rPr>
                <w:rFonts w:ascii="Arial" w:hAnsi="Arial" w:cs="Arial"/>
                <w:b/>
                <w:bCs/>
                <w:sz w:val="18"/>
                <w:szCs w:val="18"/>
              </w:rPr>
            </w:pPr>
            <w:r>
              <w:rPr>
                <w:rFonts w:ascii="Arial" w:hAnsi="Arial" w:cs="Arial"/>
                <w:b/>
                <w:bCs/>
                <w:sz w:val="18"/>
                <w:szCs w:val="18"/>
              </w:rPr>
              <w:t>(7,766)</w:t>
            </w:r>
          </w:p>
        </w:tc>
        <w:tc>
          <w:tcPr>
            <w:tcW w:w="1741" w:type="dxa"/>
            <w:tcBorders>
              <w:top w:val="nil"/>
              <w:left w:val="nil"/>
              <w:bottom w:val="nil"/>
              <w:right w:val="nil"/>
            </w:tcBorders>
            <w:shd w:val="clear" w:color="FFFFFF" w:fill="FFFFFF"/>
            <w:noWrap/>
            <w:vAlign w:val="bottom"/>
            <w:hideMark/>
          </w:tcPr>
          <w:p w14:paraId="5E396CCB" w14:textId="77777777" w:rsidR="00A43992" w:rsidRDefault="00A43992" w:rsidP="007211E3">
            <w:pPr>
              <w:jc w:val="right"/>
              <w:rPr>
                <w:rFonts w:ascii="Arial" w:hAnsi="Arial" w:cs="Arial"/>
                <w:b/>
                <w:bCs/>
                <w:sz w:val="18"/>
                <w:szCs w:val="18"/>
              </w:rPr>
            </w:pPr>
            <w:r>
              <w:rPr>
                <w:rFonts w:ascii="Arial" w:hAnsi="Arial" w:cs="Arial"/>
                <w:b/>
                <w:bCs/>
                <w:sz w:val="18"/>
                <w:szCs w:val="18"/>
              </w:rPr>
              <w:t>(805)</w:t>
            </w:r>
          </w:p>
        </w:tc>
        <w:tc>
          <w:tcPr>
            <w:tcW w:w="1316" w:type="dxa"/>
            <w:tcBorders>
              <w:top w:val="nil"/>
              <w:left w:val="nil"/>
              <w:bottom w:val="nil"/>
              <w:right w:val="nil"/>
            </w:tcBorders>
            <w:shd w:val="clear" w:color="FFFFFF" w:fill="FFFFFF"/>
            <w:noWrap/>
            <w:vAlign w:val="bottom"/>
            <w:hideMark/>
          </w:tcPr>
          <w:p w14:paraId="5C0F7DFD" w14:textId="77777777" w:rsidR="00A43992" w:rsidRDefault="00A43992" w:rsidP="007211E3">
            <w:pPr>
              <w:jc w:val="right"/>
              <w:rPr>
                <w:rFonts w:ascii="Arial" w:hAnsi="Arial" w:cs="Arial"/>
                <w:b/>
                <w:bCs/>
                <w:sz w:val="18"/>
                <w:szCs w:val="18"/>
              </w:rPr>
            </w:pPr>
            <w:r>
              <w:rPr>
                <w:rFonts w:ascii="Arial" w:hAnsi="Arial" w:cs="Arial"/>
                <w:b/>
                <w:bCs/>
                <w:sz w:val="18"/>
                <w:szCs w:val="18"/>
              </w:rPr>
              <w:t>(315)</w:t>
            </w:r>
          </w:p>
        </w:tc>
        <w:tc>
          <w:tcPr>
            <w:tcW w:w="1316" w:type="dxa"/>
            <w:tcBorders>
              <w:top w:val="nil"/>
              <w:left w:val="nil"/>
              <w:bottom w:val="nil"/>
              <w:right w:val="nil"/>
            </w:tcBorders>
            <w:shd w:val="clear" w:color="FFFFFF" w:fill="FFFFFF"/>
            <w:noWrap/>
            <w:vAlign w:val="bottom"/>
            <w:hideMark/>
          </w:tcPr>
          <w:p w14:paraId="59612F5F" w14:textId="77777777" w:rsidR="00A43992" w:rsidRDefault="00A43992" w:rsidP="007211E3">
            <w:pPr>
              <w:jc w:val="right"/>
              <w:rPr>
                <w:rFonts w:ascii="Arial" w:hAnsi="Arial" w:cs="Arial"/>
                <w:b/>
                <w:bCs/>
                <w:sz w:val="18"/>
                <w:szCs w:val="18"/>
              </w:rPr>
            </w:pPr>
            <w:r>
              <w:rPr>
                <w:rFonts w:ascii="Arial" w:hAnsi="Arial" w:cs="Arial"/>
                <w:b/>
                <w:bCs/>
                <w:sz w:val="18"/>
                <w:szCs w:val="18"/>
              </w:rPr>
              <w:t>(8,886)</w:t>
            </w:r>
          </w:p>
        </w:tc>
      </w:tr>
      <w:tr w:rsidR="00A43992" w14:paraId="0B65349A" w14:textId="77777777" w:rsidTr="007211E3">
        <w:trPr>
          <w:trHeight w:val="255"/>
        </w:trPr>
        <w:tc>
          <w:tcPr>
            <w:tcW w:w="6503" w:type="dxa"/>
            <w:tcBorders>
              <w:top w:val="nil"/>
              <w:left w:val="nil"/>
              <w:bottom w:val="nil"/>
              <w:right w:val="nil"/>
            </w:tcBorders>
            <w:shd w:val="clear" w:color="FFFFFF" w:fill="FFFFFF"/>
            <w:vAlign w:val="bottom"/>
            <w:hideMark/>
          </w:tcPr>
          <w:p w14:paraId="780AE9CB" w14:textId="77777777" w:rsidR="00A43992" w:rsidRDefault="00A43992" w:rsidP="007211E3">
            <w:pPr>
              <w:rPr>
                <w:rFonts w:ascii="Arial" w:hAnsi="Arial" w:cs="Arial"/>
                <w:sz w:val="18"/>
                <w:szCs w:val="18"/>
              </w:rPr>
            </w:pPr>
            <w:r>
              <w:rPr>
                <w:rFonts w:ascii="Arial" w:hAnsi="Arial" w:cs="Arial"/>
                <w:sz w:val="18"/>
                <w:szCs w:val="18"/>
              </w:rPr>
              <w:t xml:space="preserve">Impairment </w:t>
            </w:r>
            <w:proofErr w:type="spellStart"/>
            <w:r>
              <w:rPr>
                <w:rFonts w:ascii="Arial" w:hAnsi="Arial" w:cs="Arial"/>
                <w:sz w:val="18"/>
                <w:szCs w:val="18"/>
              </w:rPr>
              <w:t>recognised</w:t>
            </w:r>
            <w:proofErr w:type="spellEnd"/>
            <w:r>
              <w:rPr>
                <w:rFonts w:ascii="Arial" w:hAnsi="Arial" w:cs="Arial"/>
                <w:sz w:val="18"/>
                <w:szCs w:val="18"/>
              </w:rPr>
              <w:t xml:space="preserve"> in net cost of services</w:t>
            </w:r>
          </w:p>
        </w:tc>
        <w:tc>
          <w:tcPr>
            <w:tcW w:w="2058" w:type="dxa"/>
            <w:tcBorders>
              <w:top w:val="nil"/>
              <w:left w:val="nil"/>
              <w:bottom w:val="nil"/>
              <w:right w:val="nil"/>
            </w:tcBorders>
            <w:shd w:val="clear" w:color="FFFFFF" w:fill="FFFFFF"/>
            <w:noWrap/>
            <w:vAlign w:val="bottom"/>
            <w:hideMark/>
          </w:tcPr>
          <w:p w14:paraId="55B81273" w14:textId="77777777" w:rsidR="00A43992" w:rsidRDefault="00A43992" w:rsidP="007211E3">
            <w:pPr>
              <w:jc w:val="right"/>
              <w:rPr>
                <w:rFonts w:ascii="Arial" w:hAnsi="Arial" w:cs="Arial"/>
                <w:b/>
                <w:bCs/>
                <w:sz w:val="18"/>
                <w:szCs w:val="18"/>
              </w:rPr>
            </w:pPr>
            <w:r>
              <w:rPr>
                <w:rFonts w:ascii="Arial" w:hAnsi="Arial" w:cs="Arial"/>
                <w:b/>
                <w:bCs/>
                <w:sz w:val="18"/>
                <w:szCs w:val="18"/>
              </w:rPr>
              <w:t>-</w:t>
            </w:r>
          </w:p>
        </w:tc>
        <w:tc>
          <w:tcPr>
            <w:tcW w:w="1741" w:type="dxa"/>
            <w:tcBorders>
              <w:top w:val="nil"/>
              <w:left w:val="nil"/>
              <w:bottom w:val="nil"/>
              <w:right w:val="nil"/>
            </w:tcBorders>
            <w:shd w:val="clear" w:color="FFFFFF" w:fill="FFFFFF"/>
            <w:noWrap/>
            <w:vAlign w:val="bottom"/>
            <w:hideMark/>
          </w:tcPr>
          <w:p w14:paraId="11A897D4" w14:textId="77777777" w:rsidR="00A43992" w:rsidRDefault="00A43992" w:rsidP="007211E3">
            <w:pPr>
              <w:jc w:val="right"/>
              <w:rPr>
                <w:rFonts w:ascii="Arial" w:hAnsi="Arial" w:cs="Arial"/>
                <w:b/>
                <w:bCs/>
                <w:sz w:val="18"/>
                <w:szCs w:val="18"/>
              </w:rPr>
            </w:pPr>
            <w:r>
              <w:rPr>
                <w:rFonts w:ascii="Arial" w:hAnsi="Arial" w:cs="Arial"/>
                <w:b/>
                <w:bCs/>
                <w:sz w:val="18"/>
                <w:szCs w:val="18"/>
              </w:rPr>
              <w:t>-</w:t>
            </w:r>
          </w:p>
        </w:tc>
        <w:tc>
          <w:tcPr>
            <w:tcW w:w="1316" w:type="dxa"/>
            <w:tcBorders>
              <w:top w:val="nil"/>
              <w:left w:val="nil"/>
              <w:bottom w:val="nil"/>
              <w:right w:val="nil"/>
            </w:tcBorders>
            <w:shd w:val="clear" w:color="FFFFFF" w:fill="FFFFFF"/>
            <w:noWrap/>
            <w:vAlign w:val="bottom"/>
            <w:hideMark/>
          </w:tcPr>
          <w:p w14:paraId="0BD54F86" w14:textId="77777777" w:rsidR="00A43992" w:rsidRDefault="00A43992" w:rsidP="007211E3">
            <w:pPr>
              <w:jc w:val="right"/>
              <w:rPr>
                <w:rFonts w:ascii="Arial" w:hAnsi="Arial" w:cs="Arial"/>
                <w:b/>
                <w:bCs/>
                <w:sz w:val="18"/>
                <w:szCs w:val="18"/>
              </w:rPr>
            </w:pPr>
            <w:r>
              <w:rPr>
                <w:rFonts w:ascii="Arial" w:hAnsi="Arial" w:cs="Arial"/>
                <w:b/>
                <w:bCs/>
                <w:sz w:val="18"/>
                <w:szCs w:val="18"/>
              </w:rPr>
              <w:t>(1,589)</w:t>
            </w:r>
          </w:p>
        </w:tc>
        <w:tc>
          <w:tcPr>
            <w:tcW w:w="1316" w:type="dxa"/>
            <w:tcBorders>
              <w:top w:val="nil"/>
              <w:left w:val="nil"/>
              <w:bottom w:val="nil"/>
              <w:right w:val="nil"/>
            </w:tcBorders>
            <w:shd w:val="clear" w:color="FFFFFF" w:fill="FFFFFF"/>
            <w:noWrap/>
            <w:vAlign w:val="bottom"/>
            <w:hideMark/>
          </w:tcPr>
          <w:p w14:paraId="1158814D" w14:textId="77777777" w:rsidR="00A43992" w:rsidRDefault="00A43992" w:rsidP="007211E3">
            <w:pPr>
              <w:jc w:val="right"/>
              <w:rPr>
                <w:rFonts w:ascii="Arial" w:hAnsi="Arial" w:cs="Arial"/>
                <w:b/>
                <w:bCs/>
                <w:sz w:val="18"/>
                <w:szCs w:val="18"/>
              </w:rPr>
            </w:pPr>
            <w:r>
              <w:rPr>
                <w:rFonts w:ascii="Arial" w:hAnsi="Arial" w:cs="Arial"/>
                <w:b/>
                <w:bCs/>
                <w:sz w:val="18"/>
                <w:szCs w:val="18"/>
              </w:rPr>
              <w:t>(1,589)</w:t>
            </w:r>
          </w:p>
        </w:tc>
      </w:tr>
      <w:tr w:rsidR="00A43992" w14:paraId="1B390376" w14:textId="77777777" w:rsidTr="007211E3">
        <w:trPr>
          <w:trHeight w:val="255"/>
        </w:trPr>
        <w:tc>
          <w:tcPr>
            <w:tcW w:w="6503" w:type="dxa"/>
            <w:tcBorders>
              <w:top w:val="nil"/>
              <w:left w:val="nil"/>
              <w:bottom w:val="nil"/>
              <w:right w:val="nil"/>
            </w:tcBorders>
            <w:shd w:val="clear" w:color="FFFFFF" w:fill="FFFFFF"/>
            <w:vAlign w:val="bottom"/>
            <w:hideMark/>
          </w:tcPr>
          <w:p w14:paraId="449FB251" w14:textId="77777777" w:rsidR="00A43992" w:rsidRDefault="00A43992" w:rsidP="007211E3">
            <w:pPr>
              <w:rPr>
                <w:rFonts w:ascii="Arial" w:hAnsi="Arial" w:cs="Arial"/>
                <w:sz w:val="18"/>
                <w:szCs w:val="18"/>
              </w:rPr>
            </w:pPr>
            <w:r>
              <w:rPr>
                <w:rFonts w:ascii="Arial" w:hAnsi="Arial" w:cs="Arial"/>
                <w:sz w:val="18"/>
                <w:szCs w:val="18"/>
              </w:rPr>
              <w:lastRenderedPageBreak/>
              <w:t>Disposals</w:t>
            </w:r>
          </w:p>
        </w:tc>
        <w:tc>
          <w:tcPr>
            <w:tcW w:w="2058" w:type="dxa"/>
            <w:tcBorders>
              <w:top w:val="nil"/>
              <w:left w:val="nil"/>
              <w:bottom w:val="nil"/>
              <w:right w:val="nil"/>
            </w:tcBorders>
            <w:shd w:val="clear" w:color="FFFFFF" w:fill="FFFFFF"/>
            <w:noWrap/>
            <w:vAlign w:val="bottom"/>
            <w:hideMark/>
          </w:tcPr>
          <w:p w14:paraId="3D889402" w14:textId="77777777" w:rsidR="00A43992" w:rsidRDefault="00A43992" w:rsidP="007211E3">
            <w:pPr>
              <w:jc w:val="right"/>
              <w:rPr>
                <w:rFonts w:ascii="Arial" w:hAnsi="Arial" w:cs="Arial"/>
                <w:b/>
                <w:bCs/>
                <w:sz w:val="18"/>
                <w:szCs w:val="18"/>
              </w:rPr>
            </w:pPr>
            <w:r>
              <w:rPr>
                <w:rFonts w:ascii="Arial" w:hAnsi="Arial" w:cs="Arial"/>
                <w:b/>
                <w:bCs/>
                <w:sz w:val="18"/>
                <w:szCs w:val="18"/>
              </w:rPr>
              <w:t> </w:t>
            </w:r>
          </w:p>
        </w:tc>
        <w:tc>
          <w:tcPr>
            <w:tcW w:w="1741" w:type="dxa"/>
            <w:tcBorders>
              <w:top w:val="nil"/>
              <w:left w:val="nil"/>
              <w:bottom w:val="nil"/>
              <w:right w:val="nil"/>
            </w:tcBorders>
            <w:shd w:val="clear" w:color="FFFFFF" w:fill="FFFFFF"/>
            <w:noWrap/>
            <w:vAlign w:val="bottom"/>
            <w:hideMark/>
          </w:tcPr>
          <w:p w14:paraId="3BA2EE9D" w14:textId="77777777" w:rsidR="00A43992" w:rsidRDefault="00A43992" w:rsidP="007211E3">
            <w:pPr>
              <w:jc w:val="right"/>
              <w:rPr>
                <w:rFonts w:ascii="Arial" w:hAnsi="Arial" w:cs="Arial"/>
                <w:b/>
                <w:bCs/>
                <w:sz w:val="18"/>
                <w:szCs w:val="18"/>
              </w:rPr>
            </w:pPr>
            <w:r>
              <w:rPr>
                <w:rFonts w:ascii="Arial" w:hAnsi="Arial" w:cs="Arial"/>
                <w:b/>
                <w:bCs/>
                <w:sz w:val="18"/>
                <w:szCs w:val="18"/>
              </w:rPr>
              <w:t> </w:t>
            </w:r>
          </w:p>
        </w:tc>
        <w:tc>
          <w:tcPr>
            <w:tcW w:w="1316" w:type="dxa"/>
            <w:tcBorders>
              <w:top w:val="nil"/>
              <w:left w:val="nil"/>
              <w:bottom w:val="nil"/>
              <w:right w:val="nil"/>
            </w:tcBorders>
            <w:shd w:val="clear" w:color="FFFFFF" w:fill="FFFFFF"/>
            <w:noWrap/>
            <w:vAlign w:val="bottom"/>
            <w:hideMark/>
          </w:tcPr>
          <w:p w14:paraId="74A8C75C" w14:textId="77777777" w:rsidR="00A43992" w:rsidRDefault="00A43992" w:rsidP="007211E3">
            <w:pPr>
              <w:jc w:val="right"/>
              <w:rPr>
                <w:rFonts w:ascii="Arial" w:hAnsi="Arial" w:cs="Arial"/>
                <w:b/>
                <w:bCs/>
                <w:sz w:val="18"/>
                <w:szCs w:val="18"/>
              </w:rPr>
            </w:pPr>
            <w:r>
              <w:rPr>
                <w:rFonts w:ascii="Arial" w:hAnsi="Arial" w:cs="Arial"/>
                <w:b/>
                <w:bCs/>
                <w:sz w:val="18"/>
                <w:szCs w:val="18"/>
              </w:rPr>
              <w:t> </w:t>
            </w:r>
          </w:p>
        </w:tc>
        <w:tc>
          <w:tcPr>
            <w:tcW w:w="1316" w:type="dxa"/>
            <w:tcBorders>
              <w:top w:val="nil"/>
              <w:left w:val="nil"/>
              <w:bottom w:val="nil"/>
              <w:right w:val="nil"/>
            </w:tcBorders>
            <w:shd w:val="clear" w:color="FFFFFF" w:fill="FFFFFF"/>
            <w:noWrap/>
            <w:vAlign w:val="bottom"/>
            <w:hideMark/>
          </w:tcPr>
          <w:p w14:paraId="09F51BD2" w14:textId="77777777" w:rsidR="00A43992" w:rsidRDefault="00A43992" w:rsidP="007211E3">
            <w:pPr>
              <w:jc w:val="right"/>
              <w:rPr>
                <w:rFonts w:ascii="Arial" w:hAnsi="Arial" w:cs="Arial"/>
                <w:b/>
                <w:bCs/>
                <w:sz w:val="18"/>
                <w:szCs w:val="18"/>
              </w:rPr>
            </w:pPr>
            <w:r>
              <w:rPr>
                <w:rFonts w:ascii="Arial" w:hAnsi="Arial" w:cs="Arial"/>
                <w:b/>
                <w:bCs/>
                <w:sz w:val="18"/>
                <w:szCs w:val="18"/>
              </w:rPr>
              <w:t> </w:t>
            </w:r>
          </w:p>
        </w:tc>
      </w:tr>
      <w:tr w:rsidR="00A43992" w14:paraId="60AA2781" w14:textId="77777777" w:rsidTr="007211E3">
        <w:trPr>
          <w:trHeight w:val="255"/>
        </w:trPr>
        <w:tc>
          <w:tcPr>
            <w:tcW w:w="6503" w:type="dxa"/>
            <w:tcBorders>
              <w:top w:val="nil"/>
              <w:left w:val="nil"/>
              <w:bottom w:val="nil"/>
              <w:right w:val="nil"/>
            </w:tcBorders>
            <w:shd w:val="clear" w:color="FFFFFF" w:fill="FFFFFF"/>
            <w:noWrap/>
            <w:vAlign w:val="bottom"/>
            <w:hideMark/>
          </w:tcPr>
          <w:p w14:paraId="754673DF" w14:textId="77777777" w:rsidR="00A43992" w:rsidRDefault="00A43992" w:rsidP="007211E3">
            <w:pPr>
              <w:ind w:firstLineChars="100" w:firstLine="180"/>
              <w:rPr>
                <w:rFonts w:ascii="Arial" w:hAnsi="Arial" w:cs="Arial"/>
                <w:sz w:val="18"/>
                <w:szCs w:val="18"/>
              </w:rPr>
            </w:pPr>
            <w:r>
              <w:rPr>
                <w:rFonts w:ascii="Arial" w:hAnsi="Arial" w:cs="Arial"/>
                <w:sz w:val="18"/>
                <w:szCs w:val="18"/>
              </w:rPr>
              <w:t>Write Offs</w:t>
            </w:r>
          </w:p>
        </w:tc>
        <w:tc>
          <w:tcPr>
            <w:tcW w:w="2058" w:type="dxa"/>
            <w:tcBorders>
              <w:top w:val="nil"/>
              <w:left w:val="nil"/>
              <w:bottom w:val="nil"/>
              <w:right w:val="nil"/>
            </w:tcBorders>
            <w:shd w:val="clear" w:color="FFFFFF" w:fill="FFFFFF"/>
            <w:noWrap/>
            <w:vAlign w:val="bottom"/>
            <w:hideMark/>
          </w:tcPr>
          <w:p w14:paraId="2AD82015" w14:textId="77777777" w:rsidR="00A43992" w:rsidRDefault="00A43992" w:rsidP="007211E3">
            <w:pPr>
              <w:jc w:val="right"/>
              <w:rPr>
                <w:rFonts w:ascii="Arial" w:hAnsi="Arial" w:cs="Arial"/>
                <w:b/>
                <w:bCs/>
                <w:sz w:val="18"/>
                <w:szCs w:val="18"/>
              </w:rPr>
            </w:pPr>
            <w:r>
              <w:rPr>
                <w:rFonts w:ascii="Arial" w:hAnsi="Arial" w:cs="Arial"/>
                <w:b/>
                <w:bCs/>
                <w:sz w:val="18"/>
                <w:szCs w:val="18"/>
              </w:rPr>
              <w:t>(106)</w:t>
            </w:r>
          </w:p>
        </w:tc>
        <w:tc>
          <w:tcPr>
            <w:tcW w:w="1741" w:type="dxa"/>
            <w:tcBorders>
              <w:top w:val="nil"/>
              <w:left w:val="nil"/>
              <w:bottom w:val="nil"/>
              <w:right w:val="nil"/>
            </w:tcBorders>
            <w:shd w:val="clear" w:color="FFFFFF" w:fill="FFFFFF"/>
            <w:noWrap/>
            <w:vAlign w:val="bottom"/>
            <w:hideMark/>
          </w:tcPr>
          <w:p w14:paraId="40539906" w14:textId="77777777" w:rsidR="00A43992" w:rsidRDefault="00A43992" w:rsidP="007211E3">
            <w:pPr>
              <w:jc w:val="right"/>
              <w:rPr>
                <w:rFonts w:ascii="Arial" w:hAnsi="Arial" w:cs="Arial"/>
                <w:b/>
                <w:bCs/>
                <w:sz w:val="18"/>
                <w:szCs w:val="18"/>
              </w:rPr>
            </w:pPr>
            <w:r>
              <w:rPr>
                <w:rFonts w:ascii="Arial" w:hAnsi="Arial" w:cs="Arial"/>
                <w:b/>
                <w:bCs/>
                <w:sz w:val="18"/>
                <w:szCs w:val="18"/>
              </w:rPr>
              <w:t>(178)</w:t>
            </w:r>
          </w:p>
        </w:tc>
        <w:tc>
          <w:tcPr>
            <w:tcW w:w="1316" w:type="dxa"/>
            <w:tcBorders>
              <w:top w:val="nil"/>
              <w:left w:val="nil"/>
              <w:bottom w:val="nil"/>
              <w:right w:val="nil"/>
            </w:tcBorders>
            <w:shd w:val="clear" w:color="FFFFFF" w:fill="FFFFFF"/>
            <w:noWrap/>
            <w:vAlign w:val="bottom"/>
            <w:hideMark/>
          </w:tcPr>
          <w:p w14:paraId="62225B63" w14:textId="77777777" w:rsidR="00A43992" w:rsidRDefault="00A43992" w:rsidP="007211E3">
            <w:pPr>
              <w:jc w:val="right"/>
              <w:rPr>
                <w:rFonts w:ascii="Arial" w:hAnsi="Arial" w:cs="Arial"/>
                <w:b/>
                <w:bCs/>
                <w:sz w:val="18"/>
                <w:szCs w:val="18"/>
              </w:rPr>
            </w:pPr>
            <w:r>
              <w:rPr>
                <w:rFonts w:ascii="Arial" w:hAnsi="Arial" w:cs="Arial"/>
                <w:b/>
                <w:bCs/>
                <w:sz w:val="18"/>
                <w:szCs w:val="18"/>
              </w:rPr>
              <w:t>(1,512)</w:t>
            </w:r>
          </w:p>
        </w:tc>
        <w:tc>
          <w:tcPr>
            <w:tcW w:w="1316" w:type="dxa"/>
            <w:tcBorders>
              <w:top w:val="nil"/>
              <w:left w:val="nil"/>
              <w:bottom w:val="nil"/>
              <w:right w:val="nil"/>
            </w:tcBorders>
            <w:shd w:val="clear" w:color="FFFFFF" w:fill="FFFFFF"/>
            <w:noWrap/>
            <w:vAlign w:val="bottom"/>
            <w:hideMark/>
          </w:tcPr>
          <w:p w14:paraId="5B18C77F" w14:textId="77777777" w:rsidR="00A43992" w:rsidRDefault="00A43992" w:rsidP="007211E3">
            <w:pPr>
              <w:jc w:val="right"/>
              <w:rPr>
                <w:rFonts w:ascii="Arial" w:hAnsi="Arial" w:cs="Arial"/>
                <w:b/>
                <w:bCs/>
                <w:sz w:val="18"/>
                <w:szCs w:val="18"/>
              </w:rPr>
            </w:pPr>
            <w:r>
              <w:rPr>
                <w:rFonts w:ascii="Arial" w:hAnsi="Arial" w:cs="Arial"/>
                <w:b/>
                <w:bCs/>
                <w:sz w:val="18"/>
                <w:szCs w:val="18"/>
              </w:rPr>
              <w:t>(1,796)</w:t>
            </w:r>
          </w:p>
        </w:tc>
      </w:tr>
      <w:tr w:rsidR="00A43992" w14:paraId="5DF3C162" w14:textId="77777777" w:rsidTr="007211E3">
        <w:trPr>
          <w:trHeight w:val="255"/>
        </w:trPr>
        <w:tc>
          <w:tcPr>
            <w:tcW w:w="6503" w:type="dxa"/>
            <w:tcBorders>
              <w:top w:val="single" w:sz="4" w:space="0" w:color="auto"/>
              <w:left w:val="nil"/>
              <w:bottom w:val="single" w:sz="4" w:space="0" w:color="auto"/>
              <w:right w:val="nil"/>
            </w:tcBorders>
            <w:shd w:val="clear" w:color="FFFFFF" w:fill="FFFFFF"/>
            <w:vAlign w:val="bottom"/>
            <w:hideMark/>
          </w:tcPr>
          <w:p w14:paraId="7ABA6DEE" w14:textId="77777777" w:rsidR="00A43992" w:rsidRDefault="00A43992" w:rsidP="007211E3">
            <w:pPr>
              <w:rPr>
                <w:rFonts w:ascii="Arial" w:hAnsi="Arial" w:cs="Arial"/>
                <w:b/>
                <w:bCs/>
                <w:sz w:val="18"/>
                <w:szCs w:val="18"/>
              </w:rPr>
            </w:pPr>
            <w:r>
              <w:rPr>
                <w:rFonts w:ascii="Arial" w:hAnsi="Arial" w:cs="Arial"/>
                <w:b/>
                <w:bCs/>
                <w:sz w:val="18"/>
                <w:szCs w:val="18"/>
              </w:rPr>
              <w:t>Net book value 30 June 2016</w:t>
            </w:r>
          </w:p>
        </w:tc>
        <w:tc>
          <w:tcPr>
            <w:tcW w:w="2058" w:type="dxa"/>
            <w:tcBorders>
              <w:top w:val="single" w:sz="4" w:space="0" w:color="auto"/>
              <w:left w:val="nil"/>
              <w:bottom w:val="single" w:sz="4" w:space="0" w:color="auto"/>
              <w:right w:val="nil"/>
            </w:tcBorders>
            <w:shd w:val="clear" w:color="FFFFFF" w:fill="FFFFFF"/>
            <w:noWrap/>
            <w:vAlign w:val="bottom"/>
            <w:hideMark/>
          </w:tcPr>
          <w:p w14:paraId="5D183D25" w14:textId="77777777" w:rsidR="00A43992" w:rsidRDefault="00A43992" w:rsidP="007211E3">
            <w:pPr>
              <w:jc w:val="right"/>
              <w:rPr>
                <w:rFonts w:ascii="Arial" w:hAnsi="Arial" w:cs="Arial"/>
                <w:b/>
                <w:bCs/>
                <w:sz w:val="18"/>
                <w:szCs w:val="18"/>
              </w:rPr>
            </w:pPr>
            <w:r>
              <w:rPr>
                <w:rFonts w:ascii="Arial" w:hAnsi="Arial" w:cs="Arial"/>
                <w:b/>
                <w:bCs/>
                <w:sz w:val="18"/>
                <w:szCs w:val="18"/>
              </w:rPr>
              <w:t>24,301</w:t>
            </w:r>
          </w:p>
        </w:tc>
        <w:tc>
          <w:tcPr>
            <w:tcW w:w="1741" w:type="dxa"/>
            <w:tcBorders>
              <w:top w:val="single" w:sz="4" w:space="0" w:color="auto"/>
              <w:left w:val="nil"/>
              <w:bottom w:val="single" w:sz="4" w:space="0" w:color="auto"/>
              <w:right w:val="nil"/>
            </w:tcBorders>
            <w:shd w:val="clear" w:color="FFFFFF" w:fill="FFFFFF"/>
            <w:noWrap/>
            <w:vAlign w:val="bottom"/>
            <w:hideMark/>
          </w:tcPr>
          <w:p w14:paraId="05EE8DAF" w14:textId="77777777" w:rsidR="00A43992" w:rsidRDefault="00A43992" w:rsidP="007211E3">
            <w:pPr>
              <w:jc w:val="right"/>
              <w:rPr>
                <w:rFonts w:ascii="Arial" w:hAnsi="Arial" w:cs="Arial"/>
                <w:b/>
                <w:bCs/>
                <w:sz w:val="18"/>
                <w:szCs w:val="18"/>
              </w:rPr>
            </w:pPr>
            <w:r>
              <w:rPr>
                <w:rFonts w:ascii="Arial" w:hAnsi="Arial" w:cs="Arial"/>
                <w:b/>
                <w:bCs/>
                <w:sz w:val="18"/>
                <w:szCs w:val="18"/>
              </w:rPr>
              <w:t>1,012</w:t>
            </w:r>
          </w:p>
        </w:tc>
        <w:tc>
          <w:tcPr>
            <w:tcW w:w="1316" w:type="dxa"/>
            <w:tcBorders>
              <w:top w:val="single" w:sz="4" w:space="0" w:color="auto"/>
              <w:left w:val="nil"/>
              <w:bottom w:val="single" w:sz="4" w:space="0" w:color="auto"/>
              <w:right w:val="nil"/>
            </w:tcBorders>
            <w:shd w:val="clear" w:color="FFFFFF" w:fill="FFFFFF"/>
            <w:noWrap/>
            <w:vAlign w:val="bottom"/>
            <w:hideMark/>
          </w:tcPr>
          <w:p w14:paraId="2BBE32DD" w14:textId="77777777" w:rsidR="00A43992" w:rsidRDefault="00A43992" w:rsidP="007211E3">
            <w:pPr>
              <w:jc w:val="right"/>
              <w:rPr>
                <w:rFonts w:ascii="Arial" w:hAnsi="Arial" w:cs="Arial"/>
                <w:b/>
                <w:bCs/>
                <w:sz w:val="18"/>
                <w:szCs w:val="18"/>
              </w:rPr>
            </w:pPr>
            <w:r>
              <w:rPr>
                <w:rFonts w:ascii="Arial" w:hAnsi="Arial" w:cs="Arial"/>
                <w:b/>
                <w:bCs/>
                <w:sz w:val="18"/>
                <w:szCs w:val="18"/>
              </w:rPr>
              <w:t>-</w:t>
            </w:r>
          </w:p>
        </w:tc>
        <w:tc>
          <w:tcPr>
            <w:tcW w:w="1316" w:type="dxa"/>
            <w:tcBorders>
              <w:top w:val="single" w:sz="4" w:space="0" w:color="auto"/>
              <w:left w:val="nil"/>
              <w:bottom w:val="single" w:sz="4" w:space="0" w:color="auto"/>
              <w:right w:val="nil"/>
            </w:tcBorders>
            <w:shd w:val="clear" w:color="FFFFFF" w:fill="FFFFFF"/>
            <w:noWrap/>
            <w:vAlign w:val="bottom"/>
            <w:hideMark/>
          </w:tcPr>
          <w:p w14:paraId="3AB21C48" w14:textId="77777777" w:rsidR="00A43992" w:rsidRDefault="00A43992" w:rsidP="007211E3">
            <w:pPr>
              <w:jc w:val="right"/>
              <w:rPr>
                <w:rFonts w:ascii="Arial" w:hAnsi="Arial" w:cs="Arial"/>
                <w:b/>
                <w:bCs/>
                <w:sz w:val="18"/>
                <w:szCs w:val="18"/>
              </w:rPr>
            </w:pPr>
            <w:r>
              <w:rPr>
                <w:rFonts w:ascii="Arial" w:hAnsi="Arial" w:cs="Arial"/>
                <w:b/>
                <w:bCs/>
                <w:sz w:val="18"/>
                <w:szCs w:val="18"/>
              </w:rPr>
              <w:t>25,313</w:t>
            </w:r>
          </w:p>
        </w:tc>
      </w:tr>
      <w:tr w:rsidR="00A43992" w14:paraId="7AE6CA6E" w14:textId="77777777" w:rsidTr="007211E3">
        <w:trPr>
          <w:trHeight w:val="255"/>
        </w:trPr>
        <w:tc>
          <w:tcPr>
            <w:tcW w:w="6503" w:type="dxa"/>
            <w:tcBorders>
              <w:top w:val="nil"/>
              <w:left w:val="nil"/>
              <w:bottom w:val="nil"/>
              <w:right w:val="nil"/>
            </w:tcBorders>
            <w:shd w:val="clear" w:color="FFFFFF" w:fill="FFFFFF"/>
            <w:noWrap/>
            <w:vAlign w:val="bottom"/>
            <w:hideMark/>
          </w:tcPr>
          <w:p w14:paraId="6B4EB486" w14:textId="77777777" w:rsidR="00A43992" w:rsidRDefault="00A43992" w:rsidP="007211E3">
            <w:pPr>
              <w:rPr>
                <w:rFonts w:ascii="Arial" w:hAnsi="Arial" w:cs="Arial"/>
                <w:b/>
                <w:bCs/>
                <w:sz w:val="18"/>
                <w:szCs w:val="18"/>
              </w:rPr>
            </w:pPr>
            <w:r>
              <w:rPr>
                <w:rFonts w:ascii="Arial" w:hAnsi="Arial" w:cs="Arial"/>
                <w:b/>
                <w:bCs/>
                <w:sz w:val="18"/>
                <w:szCs w:val="18"/>
              </w:rPr>
              <w:t> </w:t>
            </w:r>
          </w:p>
        </w:tc>
        <w:tc>
          <w:tcPr>
            <w:tcW w:w="2058" w:type="dxa"/>
            <w:tcBorders>
              <w:top w:val="nil"/>
              <w:left w:val="nil"/>
              <w:bottom w:val="nil"/>
              <w:right w:val="nil"/>
            </w:tcBorders>
            <w:shd w:val="clear" w:color="FFFFFF" w:fill="FFFFFF"/>
            <w:noWrap/>
            <w:vAlign w:val="bottom"/>
            <w:hideMark/>
          </w:tcPr>
          <w:p w14:paraId="45707669" w14:textId="77777777" w:rsidR="00A43992" w:rsidRDefault="00A43992" w:rsidP="007211E3">
            <w:pPr>
              <w:rPr>
                <w:rFonts w:ascii="Arial" w:hAnsi="Arial" w:cs="Arial"/>
                <w:b/>
                <w:bCs/>
                <w:sz w:val="18"/>
                <w:szCs w:val="18"/>
              </w:rPr>
            </w:pPr>
            <w:r>
              <w:rPr>
                <w:rFonts w:ascii="Arial" w:hAnsi="Arial" w:cs="Arial"/>
                <w:b/>
                <w:bCs/>
                <w:sz w:val="18"/>
                <w:szCs w:val="18"/>
              </w:rPr>
              <w:t> </w:t>
            </w:r>
          </w:p>
        </w:tc>
        <w:tc>
          <w:tcPr>
            <w:tcW w:w="1741" w:type="dxa"/>
            <w:tcBorders>
              <w:top w:val="nil"/>
              <w:left w:val="nil"/>
              <w:bottom w:val="nil"/>
              <w:right w:val="nil"/>
            </w:tcBorders>
            <w:shd w:val="clear" w:color="FFFFFF" w:fill="FFFFFF"/>
            <w:noWrap/>
            <w:vAlign w:val="bottom"/>
            <w:hideMark/>
          </w:tcPr>
          <w:p w14:paraId="067B6C32" w14:textId="77777777" w:rsidR="00A43992" w:rsidRDefault="00A43992" w:rsidP="007211E3">
            <w:pPr>
              <w:rPr>
                <w:rFonts w:ascii="Arial" w:hAnsi="Arial" w:cs="Arial"/>
                <w:b/>
                <w:bCs/>
                <w:sz w:val="18"/>
                <w:szCs w:val="18"/>
              </w:rPr>
            </w:pPr>
            <w:r>
              <w:rPr>
                <w:rFonts w:ascii="Arial" w:hAnsi="Arial" w:cs="Arial"/>
                <w:b/>
                <w:bCs/>
                <w:sz w:val="18"/>
                <w:szCs w:val="18"/>
              </w:rPr>
              <w:t> </w:t>
            </w:r>
          </w:p>
        </w:tc>
        <w:tc>
          <w:tcPr>
            <w:tcW w:w="1316" w:type="dxa"/>
            <w:tcBorders>
              <w:top w:val="nil"/>
              <w:left w:val="nil"/>
              <w:bottom w:val="nil"/>
              <w:right w:val="nil"/>
            </w:tcBorders>
            <w:shd w:val="clear" w:color="FFFFFF" w:fill="FFFFFF"/>
            <w:noWrap/>
            <w:vAlign w:val="bottom"/>
            <w:hideMark/>
          </w:tcPr>
          <w:p w14:paraId="47F269AB" w14:textId="77777777" w:rsidR="00A43992" w:rsidRDefault="00A43992" w:rsidP="007211E3">
            <w:pPr>
              <w:rPr>
                <w:rFonts w:ascii="Arial" w:hAnsi="Arial" w:cs="Arial"/>
                <w:b/>
                <w:bCs/>
                <w:sz w:val="18"/>
                <w:szCs w:val="18"/>
              </w:rPr>
            </w:pPr>
            <w:r>
              <w:rPr>
                <w:rFonts w:ascii="Arial" w:hAnsi="Arial" w:cs="Arial"/>
                <w:b/>
                <w:bCs/>
                <w:sz w:val="18"/>
                <w:szCs w:val="18"/>
              </w:rPr>
              <w:t> </w:t>
            </w:r>
          </w:p>
        </w:tc>
        <w:tc>
          <w:tcPr>
            <w:tcW w:w="1316" w:type="dxa"/>
            <w:tcBorders>
              <w:top w:val="nil"/>
              <w:left w:val="nil"/>
              <w:bottom w:val="nil"/>
              <w:right w:val="nil"/>
            </w:tcBorders>
            <w:shd w:val="clear" w:color="FFFFFF" w:fill="FFFFFF"/>
            <w:noWrap/>
            <w:vAlign w:val="bottom"/>
            <w:hideMark/>
          </w:tcPr>
          <w:p w14:paraId="39CCA51B" w14:textId="77777777" w:rsidR="00A43992" w:rsidRDefault="00A43992" w:rsidP="007211E3">
            <w:pPr>
              <w:rPr>
                <w:rFonts w:ascii="Arial" w:hAnsi="Arial" w:cs="Arial"/>
                <w:b/>
                <w:bCs/>
                <w:sz w:val="18"/>
                <w:szCs w:val="18"/>
              </w:rPr>
            </w:pPr>
            <w:r>
              <w:rPr>
                <w:rFonts w:ascii="Arial" w:hAnsi="Arial" w:cs="Arial"/>
                <w:b/>
                <w:bCs/>
                <w:sz w:val="18"/>
                <w:szCs w:val="18"/>
              </w:rPr>
              <w:t> </w:t>
            </w:r>
          </w:p>
        </w:tc>
      </w:tr>
      <w:tr w:rsidR="00A43992" w14:paraId="5C24C2F9" w14:textId="77777777" w:rsidTr="007211E3">
        <w:trPr>
          <w:trHeight w:val="255"/>
        </w:trPr>
        <w:tc>
          <w:tcPr>
            <w:tcW w:w="6503" w:type="dxa"/>
            <w:tcBorders>
              <w:top w:val="nil"/>
              <w:left w:val="nil"/>
              <w:bottom w:val="nil"/>
              <w:right w:val="nil"/>
            </w:tcBorders>
            <w:shd w:val="clear" w:color="FFFFFF" w:fill="FFFFFF"/>
            <w:vAlign w:val="bottom"/>
            <w:hideMark/>
          </w:tcPr>
          <w:p w14:paraId="02F0E510" w14:textId="77777777" w:rsidR="00A43992" w:rsidRDefault="00A43992" w:rsidP="007211E3">
            <w:pPr>
              <w:rPr>
                <w:rFonts w:ascii="Arial" w:hAnsi="Arial" w:cs="Arial"/>
                <w:b/>
                <w:bCs/>
                <w:sz w:val="18"/>
                <w:szCs w:val="18"/>
              </w:rPr>
            </w:pPr>
            <w:r>
              <w:rPr>
                <w:rFonts w:ascii="Arial" w:hAnsi="Arial" w:cs="Arial"/>
                <w:b/>
                <w:bCs/>
                <w:sz w:val="18"/>
                <w:szCs w:val="18"/>
              </w:rPr>
              <w:t>Net book value as of 30 June 2016 represented by:</w:t>
            </w:r>
          </w:p>
        </w:tc>
        <w:tc>
          <w:tcPr>
            <w:tcW w:w="2058" w:type="dxa"/>
            <w:tcBorders>
              <w:top w:val="nil"/>
              <w:left w:val="nil"/>
              <w:bottom w:val="nil"/>
              <w:right w:val="nil"/>
            </w:tcBorders>
            <w:shd w:val="clear" w:color="FFFFFF" w:fill="FFFFFF"/>
            <w:noWrap/>
            <w:vAlign w:val="bottom"/>
            <w:hideMark/>
          </w:tcPr>
          <w:p w14:paraId="6E90371B" w14:textId="77777777" w:rsidR="00A43992" w:rsidRDefault="00A43992" w:rsidP="007211E3">
            <w:pPr>
              <w:rPr>
                <w:rFonts w:ascii="Arial" w:hAnsi="Arial" w:cs="Arial"/>
                <w:b/>
                <w:bCs/>
                <w:sz w:val="18"/>
                <w:szCs w:val="18"/>
              </w:rPr>
            </w:pPr>
            <w:r>
              <w:rPr>
                <w:rFonts w:ascii="Arial" w:hAnsi="Arial" w:cs="Arial"/>
                <w:b/>
                <w:bCs/>
                <w:sz w:val="18"/>
                <w:szCs w:val="18"/>
              </w:rPr>
              <w:t> </w:t>
            </w:r>
          </w:p>
        </w:tc>
        <w:tc>
          <w:tcPr>
            <w:tcW w:w="1741" w:type="dxa"/>
            <w:tcBorders>
              <w:top w:val="nil"/>
              <w:left w:val="nil"/>
              <w:bottom w:val="nil"/>
              <w:right w:val="nil"/>
            </w:tcBorders>
            <w:shd w:val="clear" w:color="FFFFFF" w:fill="FFFFFF"/>
            <w:noWrap/>
            <w:vAlign w:val="bottom"/>
            <w:hideMark/>
          </w:tcPr>
          <w:p w14:paraId="2D9EEBAA" w14:textId="77777777" w:rsidR="00A43992" w:rsidRDefault="00A43992" w:rsidP="007211E3">
            <w:pPr>
              <w:rPr>
                <w:rFonts w:ascii="Arial" w:hAnsi="Arial" w:cs="Arial"/>
                <w:b/>
                <w:bCs/>
                <w:sz w:val="18"/>
                <w:szCs w:val="18"/>
              </w:rPr>
            </w:pPr>
            <w:r>
              <w:rPr>
                <w:rFonts w:ascii="Arial" w:hAnsi="Arial" w:cs="Arial"/>
                <w:b/>
                <w:bCs/>
                <w:sz w:val="18"/>
                <w:szCs w:val="18"/>
              </w:rPr>
              <w:t> </w:t>
            </w:r>
          </w:p>
        </w:tc>
        <w:tc>
          <w:tcPr>
            <w:tcW w:w="1316" w:type="dxa"/>
            <w:tcBorders>
              <w:top w:val="nil"/>
              <w:left w:val="nil"/>
              <w:bottom w:val="nil"/>
              <w:right w:val="nil"/>
            </w:tcBorders>
            <w:shd w:val="clear" w:color="FFFFFF" w:fill="FFFFFF"/>
            <w:noWrap/>
            <w:vAlign w:val="bottom"/>
            <w:hideMark/>
          </w:tcPr>
          <w:p w14:paraId="44C3B60B" w14:textId="77777777" w:rsidR="00A43992" w:rsidRDefault="00A43992" w:rsidP="007211E3">
            <w:pPr>
              <w:rPr>
                <w:rFonts w:ascii="Arial" w:hAnsi="Arial" w:cs="Arial"/>
                <w:b/>
                <w:bCs/>
                <w:sz w:val="18"/>
                <w:szCs w:val="18"/>
              </w:rPr>
            </w:pPr>
            <w:r>
              <w:rPr>
                <w:rFonts w:ascii="Arial" w:hAnsi="Arial" w:cs="Arial"/>
                <w:b/>
                <w:bCs/>
                <w:sz w:val="18"/>
                <w:szCs w:val="18"/>
              </w:rPr>
              <w:t> </w:t>
            </w:r>
          </w:p>
        </w:tc>
        <w:tc>
          <w:tcPr>
            <w:tcW w:w="1316" w:type="dxa"/>
            <w:tcBorders>
              <w:top w:val="nil"/>
              <w:left w:val="nil"/>
              <w:bottom w:val="nil"/>
              <w:right w:val="nil"/>
            </w:tcBorders>
            <w:shd w:val="clear" w:color="FFFFFF" w:fill="FFFFFF"/>
            <w:noWrap/>
            <w:vAlign w:val="bottom"/>
            <w:hideMark/>
          </w:tcPr>
          <w:p w14:paraId="232BA34F" w14:textId="77777777" w:rsidR="00A43992" w:rsidRDefault="00A43992" w:rsidP="007211E3">
            <w:pPr>
              <w:rPr>
                <w:rFonts w:ascii="Arial" w:hAnsi="Arial" w:cs="Arial"/>
                <w:b/>
                <w:bCs/>
                <w:sz w:val="18"/>
                <w:szCs w:val="18"/>
              </w:rPr>
            </w:pPr>
            <w:r>
              <w:rPr>
                <w:rFonts w:ascii="Arial" w:hAnsi="Arial" w:cs="Arial"/>
                <w:b/>
                <w:bCs/>
                <w:sz w:val="18"/>
                <w:szCs w:val="18"/>
              </w:rPr>
              <w:t> </w:t>
            </w:r>
          </w:p>
        </w:tc>
      </w:tr>
      <w:tr w:rsidR="00A43992" w14:paraId="4AB45938" w14:textId="77777777" w:rsidTr="007211E3">
        <w:trPr>
          <w:trHeight w:val="255"/>
        </w:trPr>
        <w:tc>
          <w:tcPr>
            <w:tcW w:w="6503" w:type="dxa"/>
            <w:tcBorders>
              <w:top w:val="nil"/>
              <w:left w:val="nil"/>
              <w:bottom w:val="nil"/>
              <w:right w:val="nil"/>
            </w:tcBorders>
            <w:shd w:val="clear" w:color="FFFFFF" w:fill="FFFFFF"/>
            <w:vAlign w:val="bottom"/>
            <w:hideMark/>
          </w:tcPr>
          <w:p w14:paraId="0958A9EB" w14:textId="77777777" w:rsidR="00A43992" w:rsidRDefault="00A43992" w:rsidP="007211E3">
            <w:pPr>
              <w:rPr>
                <w:rFonts w:ascii="Arial" w:hAnsi="Arial" w:cs="Arial"/>
                <w:sz w:val="18"/>
                <w:szCs w:val="18"/>
              </w:rPr>
            </w:pPr>
            <w:r>
              <w:rPr>
                <w:rFonts w:ascii="Arial" w:hAnsi="Arial" w:cs="Arial"/>
                <w:sz w:val="18"/>
                <w:szCs w:val="18"/>
              </w:rPr>
              <w:t>Gross book value</w:t>
            </w:r>
          </w:p>
        </w:tc>
        <w:tc>
          <w:tcPr>
            <w:tcW w:w="2058" w:type="dxa"/>
            <w:tcBorders>
              <w:top w:val="nil"/>
              <w:left w:val="nil"/>
              <w:bottom w:val="nil"/>
              <w:right w:val="nil"/>
            </w:tcBorders>
            <w:shd w:val="clear" w:color="FFFFFF" w:fill="FFFFFF"/>
            <w:noWrap/>
            <w:vAlign w:val="bottom"/>
            <w:hideMark/>
          </w:tcPr>
          <w:p w14:paraId="297B5F95" w14:textId="77777777" w:rsidR="00A43992" w:rsidRDefault="00A43992" w:rsidP="007211E3">
            <w:pPr>
              <w:jc w:val="right"/>
              <w:rPr>
                <w:rFonts w:ascii="Arial" w:hAnsi="Arial" w:cs="Arial"/>
                <w:b/>
                <w:bCs/>
                <w:sz w:val="18"/>
                <w:szCs w:val="18"/>
              </w:rPr>
            </w:pPr>
            <w:r>
              <w:rPr>
                <w:rFonts w:ascii="Arial" w:hAnsi="Arial" w:cs="Arial"/>
                <w:b/>
                <w:bCs/>
                <w:sz w:val="18"/>
                <w:szCs w:val="18"/>
              </w:rPr>
              <w:t>43,254</w:t>
            </w:r>
          </w:p>
        </w:tc>
        <w:tc>
          <w:tcPr>
            <w:tcW w:w="1741" w:type="dxa"/>
            <w:tcBorders>
              <w:top w:val="nil"/>
              <w:left w:val="nil"/>
              <w:bottom w:val="nil"/>
              <w:right w:val="nil"/>
            </w:tcBorders>
            <w:shd w:val="clear" w:color="FFFFFF" w:fill="FFFFFF"/>
            <w:noWrap/>
            <w:vAlign w:val="bottom"/>
            <w:hideMark/>
          </w:tcPr>
          <w:p w14:paraId="7D0EAE58" w14:textId="77777777" w:rsidR="00A43992" w:rsidRDefault="00A43992" w:rsidP="007211E3">
            <w:pPr>
              <w:jc w:val="right"/>
              <w:rPr>
                <w:rFonts w:ascii="Arial" w:hAnsi="Arial" w:cs="Arial"/>
                <w:b/>
                <w:bCs/>
                <w:sz w:val="18"/>
                <w:szCs w:val="18"/>
              </w:rPr>
            </w:pPr>
            <w:r>
              <w:rPr>
                <w:rFonts w:ascii="Arial" w:hAnsi="Arial" w:cs="Arial"/>
                <w:b/>
                <w:bCs/>
                <w:sz w:val="18"/>
                <w:szCs w:val="18"/>
              </w:rPr>
              <w:t>2,403</w:t>
            </w:r>
          </w:p>
        </w:tc>
        <w:tc>
          <w:tcPr>
            <w:tcW w:w="1316" w:type="dxa"/>
            <w:tcBorders>
              <w:top w:val="nil"/>
              <w:left w:val="nil"/>
              <w:bottom w:val="nil"/>
              <w:right w:val="nil"/>
            </w:tcBorders>
            <w:shd w:val="clear" w:color="FFFFFF" w:fill="FFFFFF"/>
            <w:noWrap/>
            <w:vAlign w:val="bottom"/>
            <w:hideMark/>
          </w:tcPr>
          <w:p w14:paraId="3743504B" w14:textId="77777777" w:rsidR="00A43992" w:rsidRDefault="00A43992" w:rsidP="007211E3">
            <w:pPr>
              <w:jc w:val="right"/>
              <w:rPr>
                <w:rFonts w:ascii="Arial" w:hAnsi="Arial" w:cs="Arial"/>
                <w:b/>
                <w:bCs/>
                <w:sz w:val="18"/>
                <w:szCs w:val="18"/>
              </w:rPr>
            </w:pPr>
            <w:r>
              <w:rPr>
                <w:rFonts w:ascii="Arial" w:hAnsi="Arial" w:cs="Arial"/>
                <w:b/>
                <w:bCs/>
                <w:sz w:val="18"/>
                <w:szCs w:val="18"/>
              </w:rPr>
              <w:t>1,888</w:t>
            </w:r>
          </w:p>
        </w:tc>
        <w:tc>
          <w:tcPr>
            <w:tcW w:w="1316" w:type="dxa"/>
            <w:tcBorders>
              <w:top w:val="nil"/>
              <w:left w:val="nil"/>
              <w:bottom w:val="nil"/>
              <w:right w:val="nil"/>
            </w:tcBorders>
            <w:shd w:val="clear" w:color="FFFFFF" w:fill="FFFFFF"/>
            <w:noWrap/>
            <w:vAlign w:val="bottom"/>
            <w:hideMark/>
          </w:tcPr>
          <w:p w14:paraId="2C6C1D7F" w14:textId="77777777" w:rsidR="00A43992" w:rsidRDefault="00A43992" w:rsidP="007211E3">
            <w:pPr>
              <w:jc w:val="right"/>
              <w:rPr>
                <w:rFonts w:ascii="Arial" w:hAnsi="Arial" w:cs="Arial"/>
                <w:b/>
                <w:bCs/>
                <w:sz w:val="18"/>
                <w:szCs w:val="18"/>
              </w:rPr>
            </w:pPr>
            <w:r>
              <w:rPr>
                <w:rFonts w:ascii="Arial" w:hAnsi="Arial" w:cs="Arial"/>
                <w:b/>
                <w:bCs/>
                <w:sz w:val="18"/>
                <w:szCs w:val="18"/>
              </w:rPr>
              <w:t>47,545</w:t>
            </w:r>
          </w:p>
        </w:tc>
      </w:tr>
      <w:tr w:rsidR="00A43992" w14:paraId="6808B60D" w14:textId="77777777" w:rsidTr="007211E3">
        <w:trPr>
          <w:trHeight w:val="255"/>
        </w:trPr>
        <w:tc>
          <w:tcPr>
            <w:tcW w:w="6503" w:type="dxa"/>
            <w:tcBorders>
              <w:top w:val="nil"/>
              <w:left w:val="nil"/>
              <w:bottom w:val="nil"/>
              <w:right w:val="nil"/>
            </w:tcBorders>
            <w:shd w:val="clear" w:color="FFFFFF" w:fill="FFFFFF"/>
            <w:vAlign w:val="bottom"/>
            <w:hideMark/>
          </w:tcPr>
          <w:p w14:paraId="03CF8925" w14:textId="77777777" w:rsidR="00A43992" w:rsidRDefault="00A43992" w:rsidP="007211E3">
            <w:pPr>
              <w:rPr>
                <w:rFonts w:ascii="Arial" w:hAnsi="Arial" w:cs="Arial"/>
                <w:sz w:val="18"/>
                <w:szCs w:val="18"/>
              </w:rPr>
            </w:pPr>
            <w:r>
              <w:rPr>
                <w:rFonts w:ascii="Arial" w:hAnsi="Arial" w:cs="Arial"/>
                <w:sz w:val="18"/>
                <w:szCs w:val="18"/>
              </w:rPr>
              <w:t>Accumulated depreciation and impairment</w:t>
            </w:r>
          </w:p>
        </w:tc>
        <w:tc>
          <w:tcPr>
            <w:tcW w:w="2058" w:type="dxa"/>
            <w:tcBorders>
              <w:top w:val="nil"/>
              <w:left w:val="nil"/>
              <w:bottom w:val="nil"/>
              <w:right w:val="nil"/>
            </w:tcBorders>
            <w:shd w:val="clear" w:color="FFFFFF" w:fill="FFFFFF"/>
            <w:noWrap/>
            <w:vAlign w:val="bottom"/>
            <w:hideMark/>
          </w:tcPr>
          <w:p w14:paraId="4BCD1513" w14:textId="77777777" w:rsidR="00A43992" w:rsidRDefault="00A43992" w:rsidP="007211E3">
            <w:pPr>
              <w:jc w:val="right"/>
              <w:rPr>
                <w:rFonts w:ascii="Arial" w:hAnsi="Arial" w:cs="Arial"/>
                <w:b/>
                <w:bCs/>
                <w:sz w:val="18"/>
                <w:szCs w:val="18"/>
              </w:rPr>
            </w:pPr>
            <w:r>
              <w:rPr>
                <w:rFonts w:ascii="Arial" w:hAnsi="Arial" w:cs="Arial"/>
                <w:b/>
                <w:bCs/>
                <w:sz w:val="18"/>
                <w:szCs w:val="18"/>
              </w:rPr>
              <w:t>(18,953)</w:t>
            </w:r>
          </w:p>
        </w:tc>
        <w:tc>
          <w:tcPr>
            <w:tcW w:w="1741" w:type="dxa"/>
            <w:tcBorders>
              <w:top w:val="nil"/>
              <w:left w:val="nil"/>
              <w:bottom w:val="nil"/>
              <w:right w:val="nil"/>
            </w:tcBorders>
            <w:shd w:val="clear" w:color="FFFFFF" w:fill="FFFFFF"/>
            <w:noWrap/>
            <w:vAlign w:val="bottom"/>
            <w:hideMark/>
          </w:tcPr>
          <w:p w14:paraId="15AE626E" w14:textId="77777777" w:rsidR="00A43992" w:rsidRDefault="00A43992" w:rsidP="007211E3">
            <w:pPr>
              <w:jc w:val="right"/>
              <w:rPr>
                <w:rFonts w:ascii="Arial" w:hAnsi="Arial" w:cs="Arial"/>
                <w:b/>
                <w:bCs/>
                <w:sz w:val="18"/>
                <w:szCs w:val="18"/>
              </w:rPr>
            </w:pPr>
            <w:r>
              <w:rPr>
                <w:rFonts w:ascii="Arial" w:hAnsi="Arial" w:cs="Arial"/>
                <w:b/>
                <w:bCs/>
                <w:sz w:val="18"/>
                <w:szCs w:val="18"/>
              </w:rPr>
              <w:t>(1,391)</w:t>
            </w:r>
          </w:p>
        </w:tc>
        <w:tc>
          <w:tcPr>
            <w:tcW w:w="1316" w:type="dxa"/>
            <w:tcBorders>
              <w:top w:val="nil"/>
              <w:left w:val="nil"/>
              <w:bottom w:val="nil"/>
              <w:right w:val="nil"/>
            </w:tcBorders>
            <w:shd w:val="clear" w:color="FFFFFF" w:fill="FFFFFF"/>
            <w:noWrap/>
            <w:vAlign w:val="bottom"/>
            <w:hideMark/>
          </w:tcPr>
          <w:p w14:paraId="5E02D859" w14:textId="77777777" w:rsidR="00A43992" w:rsidRDefault="00A43992" w:rsidP="007211E3">
            <w:pPr>
              <w:jc w:val="right"/>
              <w:rPr>
                <w:rFonts w:ascii="Arial" w:hAnsi="Arial" w:cs="Arial"/>
                <w:b/>
                <w:bCs/>
                <w:sz w:val="18"/>
                <w:szCs w:val="18"/>
              </w:rPr>
            </w:pPr>
            <w:r>
              <w:rPr>
                <w:rFonts w:ascii="Arial" w:hAnsi="Arial" w:cs="Arial"/>
                <w:b/>
                <w:bCs/>
                <w:sz w:val="18"/>
                <w:szCs w:val="18"/>
              </w:rPr>
              <w:t>(1,888)</w:t>
            </w:r>
          </w:p>
        </w:tc>
        <w:tc>
          <w:tcPr>
            <w:tcW w:w="1316" w:type="dxa"/>
            <w:tcBorders>
              <w:top w:val="nil"/>
              <w:left w:val="nil"/>
              <w:bottom w:val="nil"/>
              <w:right w:val="nil"/>
            </w:tcBorders>
            <w:shd w:val="clear" w:color="FFFFFF" w:fill="FFFFFF"/>
            <w:noWrap/>
            <w:vAlign w:val="bottom"/>
            <w:hideMark/>
          </w:tcPr>
          <w:p w14:paraId="2E32A5A0" w14:textId="77777777" w:rsidR="00A43992" w:rsidRDefault="00A43992" w:rsidP="007211E3">
            <w:pPr>
              <w:jc w:val="right"/>
              <w:rPr>
                <w:rFonts w:ascii="Arial" w:hAnsi="Arial" w:cs="Arial"/>
                <w:b/>
                <w:bCs/>
                <w:sz w:val="18"/>
                <w:szCs w:val="18"/>
              </w:rPr>
            </w:pPr>
            <w:r>
              <w:rPr>
                <w:rFonts w:ascii="Arial" w:hAnsi="Arial" w:cs="Arial"/>
                <w:b/>
                <w:bCs/>
                <w:sz w:val="18"/>
                <w:szCs w:val="18"/>
              </w:rPr>
              <w:t>(22,232)</w:t>
            </w:r>
          </w:p>
        </w:tc>
      </w:tr>
      <w:tr w:rsidR="00A43992" w14:paraId="6FE895A1" w14:textId="77777777" w:rsidTr="007211E3">
        <w:trPr>
          <w:trHeight w:val="255"/>
        </w:trPr>
        <w:tc>
          <w:tcPr>
            <w:tcW w:w="6503" w:type="dxa"/>
            <w:tcBorders>
              <w:top w:val="nil"/>
              <w:left w:val="nil"/>
              <w:bottom w:val="nil"/>
              <w:right w:val="nil"/>
            </w:tcBorders>
            <w:shd w:val="clear" w:color="FFFFFF" w:fill="FFFFFF"/>
            <w:noWrap/>
            <w:vAlign w:val="bottom"/>
            <w:hideMark/>
          </w:tcPr>
          <w:p w14:paraId="313D0324" w14:textId="77777777" w:rsidR="00A43992" w:rsidRDefault="00A43992" w:rsidP="007211E3">
            <w:pPr>
              <w:rPr>
                <w:rFonts w:ascii="Arial" w:hAnsi="Arial" w:cs="Arial"/>
                <w:b/>
                <w:bCs/>
                <w:i/>
                <w:iCs/>
                <w:sz w:val="18"/>
                <w:szCs w:val="18"/>
              </w:rPr>
            </w:pPr>
            <w:r>
              <w:rPr>
                <w:rFonts w:ascii="Arial" w:hAnsi="Arial" w:cs="Arial"/>
                <w:b/>
                <w:bCs/>
                <w:i/>
                <w:iCs/>
                <w:sz w:val="18"/>
                <w:szCs w:val="18"/>
              </w:rPr>
              <w:t> </w:t>
            </w:r>
          </w:p>
        </w:tc>
        <w:tc>
          <w:tcPr>
            <w:tcW w:w="2058" w:type="dxa"/>
            <w:tcBorders>
              <w:top w:val="single" w:sz="4" w:space="0" w:color="auto"/>
              <w:left w:val="nil"/>
              <w:bottom w:val="single" w:sz="4" w:space="0" w:color="auto"/>
              <w:right w:val="nil"/>
            </w:tcBorders>
            <w:shd w:val="clear" w:color="FFFFFF" w:fill="FFFFFF"/>
            <w:noWrap/>
            <w:vAlign w:val="bottom"/>
            <w:hideMark/>
          </w:tcPr>
          <w:p w14:paraId="0CAE3D92" w14:textId="77777777" w:rsidR="00A43992" w:rsidRDefault="00A43992" w:rsidP="007211E3">
            <w:pPr>
              <w:jc w:val="right"/>
              <w:rPr>
                <w:rFonts w:ascii="Arial" w:hAnsi="Arial" w:cs="Arial"/>
                <w:b/>
                <w:bCs/>
                <w:sz w:val="18"/>
                <w:szCs w:val="18"/>
              </w:rPr>
            </w:pPr>
            <w:r>
              <w:rPr>
                <w:rFonts w:ascii="Arial" w:hAnsi="Arial" w:cs="Arial"/>
                <w:b/>
                <w:bCs/>
                <w:sz w:val="18"/>
                <w:szCs w:val="18"/>
              </w:rPr>
              <w:t>24,301</w:t>
            </w:r>
          </w:p>
        </w:tc>
        <w:tc>
          <w:tcPr>
            <w:tcW w:w="1741" w:type="dxa"/>
            <w:tcBorders>
              <w:top w:val="single" w:sz="4" w:space="0" w:color="auto"/>
              <w:left w:val="nil"/>
              <w:bottom w:val="single" w:sz="4" w:space="0" w:color="auto"/>
              <w:right w:val="nil"/>
            </w:tcBorders>
            <w:shd w:val="clear" w:color="FFFFFF" w:fill="FFFFFF"/>
            <w:noWrap/>
            <w:vAlign w:val="bottom"/>
            <w:hideMark/>
          </w:tcPr>
          <w:p w14:paraId="137CB414" w14:textId="77777777" w:rsidR="00A43992" w:rsidRDefault="00A43992" w:rsidP="007211E3">
            <w:pPr>
              <w:jc w:val="right"/>
              <w:rPr>
                <w:rFonts w:ascii="Arial" w:hAnsi="Arial" w:cs="Arial"/>
                <w:b/>
                <w:bCs/>
                <w:sz w:val="18"/>
                <w:szCs w:val="18"/>
              </w:rPr>
            </w:pPr>
            <w:r>
              <w:rPr>
                <w:rFonts w:ascii="Arial" w:hAnsi="Arial" w:cs="Arial"/>
                <w:b/>
                <w:bCs/>
                <w:sz w:val="18"/>
                <w:szCs w:val="18"/>
              </w:rPr>
              <w:t>1,012</w:t>
            </w:r>
          </w:p>
        </w:tc>
        <w:tc>
          <w:tcPr>
            <w:tcW w:w="1316" w:type="dxa"/>
            <w:tcBorders>
              <w:top w:val="single" w:sz="4" w:space="0" w:color="auto"/>
              <w:left w:val="nil"/>
              <w:bottom w:val="single" w:sz="4" w:space="0" w:color="auto"/>
              <w:right w:val="nil"/>
            </w:tcBorders>
            <w:shd w:val="clear" w:color="FFFFFF" w:fill="FFFFFF"/>
            <w:noWrap/>
            <w:vAlign w:val="bottom"/>
            <w:hideMark/>
          </w:tcPr>
          <w:p w14:paraId="321512EC" w14:textId="77777777" w:rsidR="00A43992" w:rsidRDefault="00A43992" w:rsidP="007211E3">
            <w:pPr>
              <w:jc w:val="right"/>
              <w:rPr>
                <w:rFonts w:ascii="Arial" w:hAnsi="Arial" w:cs="Arial"/>
                <w:b/>
                <w:bCs/>
                <w:sz w:val="18"/>
                <w:szCs w:val="18"/>
              </w:rPr>
            </w:pPr>
            <w:r>
              <w:rPr>
                <w:rFonts w:ascii="Arial" w:hAnsi="Arial" w:cs="Arial"/>
                <w:b/>
                <w:bCs/>
                <w:sz w:val="18"/>
                <w:szCs w:val="18"/>
              </w:rPr>
              <w:t>-</w:t>
            </w:r>
          </w:p>
        </w:tc>
        <w:tc>
          <w:tcPr>
            <w:tcW w:w="1316" w:type="dxa"/>
            <w:tcBorders>
              <w:top w:val="single" w:sz="4" w:space="0" w:color="auto"/>
              <w:left w:val="nil"/>
              <w:bottom w:val="single" w:sz="4" w:space="0" w:color="auto"/>
              <w:right w:val="nil"/>
            </w:tcBorders>
            <w:shd w:val="clear" w:color="FFFFFF" w:fill="FFFFFF"/>
            <w:noWrap/>
            <w:vAlign w:val="bottom"/>
            <w:hideMark/>
          </w:tcPr>
          <w:p w14:paraId="6D83AF4A" w14:textId="77777777" w:rsidR="00A43992" w:rsidRDefault="00A43992" w:rsidP="007211E3">
            <w:pPr>
              <w:jc w:val="right"/>
              <w:rPr>
                <w:rFonts w:ascii="Arial" w:hAnsi="Arial" w:cs="Arial"/>
                <w:b/>
                <w:bCs/>
                <w:sz w:val="18"/>
                <w:szCs w:val="18"/>
              </w:rPr>
            </w:pPr>
            <w:r>
              <w:rPr>
                <w:rFonts w:ascii="Arial" w:hAnsi="Arial" w:cs="Arial"/>
                <w:b/>
                <w:bCs/>
                <w:sz w:val="18"/>
                <w:szCs w:val="18"/>
              </w:rPr>
              <w:t>25,313</w:t>
            </w:r>
          </w:p>
        </w:tc>
      </w:tr>
    </w:tbl>
    <w:p w14:paraId="48C1231F" w14:textId="77777777" w:rsidR="00A43992" w:rsidRDefault="00A43992" w:rsidP="00A43992">
      <w:pPr>
        <w:spacing w:line="240" w:lineRule="auto"/>
        <w:rPr>
          <w:rFonts w:ascii="Arial" w:hAnsi="Arial" w:cs="Arial"/>
          <w:sz w:val="18"/>
          <w:szCs w:val="18"/>
        </w:rPr>
      </w:pPr>
      <w:bookmarkStart w:id="277" w:name="RANGE!E7:I36"/>
      <w:bookmarkStart w:id="278" w:name="RANGE!E7:I37"/>
      <w:bookmarkStart w:id="279" w:name="RANGE!E7:K37"/>
      <w:bookmarkStart w:id="280" w:name="RANGE!E7:K38"/>
      <w:bookmarkStart w:id="281" w:name="RANGE!E7:J37"/>
      <w:bookmarkStart w:id="282" w:name="RANGE!E7:J34"/>
      <w:bookmarkStart w:id="283" w:name="RANGE!E7:J36"/>
      <w:bookmarkStart w:id="284" w:name="RANGE!E7:J32"/>
      <w:bookmarkStart w:id="285" w:name="RANGE!E7:J31"/>
      <w:bookmarkStart w:id="286" w:name="RANGE!E7:J27"/>
      <w:bookmarkStart w:id="287" w:name="RANGE!E7:L48"/>
      <w:bookmarkStart w:id="288" w:name="RANGE!E7:L47"/>
      <w:bookmarkStart w:id="289" w:name="RANGE!E7:L51"/>
      <w:bookmarkStart w:id="290" w:name="RANGE!E6:L50"/>
      <w:bookmarkStart w:id="291" w:name="RANGE!E6:E50"/>
      <w:bookmarkStart w:id="292" w:name="RANGE!E6:K50"/>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p>
    <w:p w14:paraId="346D29D0" w14:textId="77777777" w:rsidR="00A43992" w:rsidRDefault="00A43992" w:rsidP="00A43992">
      <w:pPr>
        <w:spacing w:line="240" w:lineRule="auto"/>
        <w:ind w:left="142"/>
        <w:rPr>
          <w:rFonts w:ascii="Arial" w:hAnsi="Arial" w:cs="Arial"/>
          <w:sz w:val="18"/>
          <w:szCs w:val="18"/>
        </w:rPr>
      </w:pPr>
      <w:r w:rsidRPr="001F107C">
        <w:rPr>
          <w:rFonts w:ascii="Arial" w:hAnsi="Arial" w:cs="Arial"/>
          <w:sz w:val="18"/>
          <w:szCs w:val="18"/>
        </w:rPr>
        <w:t>All</w:t>
      </w:r>
      <w:r>
        <w:rPr>
          <w:rFonts w:ascii="Arial" w:hAnsi="Arial" w:cs="Arial"/>
          <w:sz w:val="18"/>
          <w:szCs w:val="18"/>
        </w:rPr>
        <w:t xml:space="preserve"> items of property, plant and equipment and</w:t>
      </w:r>
      <w:r w:rsidRPr="001F107C">
        <w:rPr>
          <w:rFonts w:ascii="Arial" w:hAnsi="Arial" w:cs="Arial"/>
          <w:sz w:val="18"/>
          <w:szCs w:val="18"/>
        </w:rPr>
        <w:t xml:space="preserve"> intangible assets were assessed for indications of impairment as at </w:t>
      </w:r>
      <w:r>
        <w:rPr>
          <w:rFonts w:ascii="Arial" w:hAnsi="Arial" w:cs="Arial"/>
          <w:sz w:val="18"/>
          <w:szCs w:val="18"/>
        </w:rPr>
        <w:fldChar w:fldCharType="begin"/>
      </w:r>
      <w:r>
        <w:rPr>
          <w:rFonts w:ascii="Arial" w:hAnsi="Arial" w:cs="Arial"/>
          <w:sz w:val="18"/>
          <w:szCs w:val="18"/>
        </w:rPr>
        <w:instrText xml:space="preserve"> DOCPROPERTY  pEnd  \* MERGEFORMAT </w:instrText>
      </w:r>
      <w:r>
        <w:rPr>
          <w:rFonts w:ascii="Arial" w:hAnsi="Arial" w:cs="Arial"/>
          <w:sz w:val="18"/>
          <w:szCs w:val="18"/>
        </w:rPr>
        <w:fldChar w:fldCharType="separate"/>
      </w:r>
      <w:r w:rsidR="00F337D2" w:rsidRPr="00F337D2">
        <w:rPr>
          <w:rFonts w:ascii="Arial" w:hAnsi="Arial" w:cs="Arial"/>
          <w:b/>
          <w:bCs/>
          <w:sz w:val="18"/>
          <w:szCs w:val="18"/>
        </w:rPr>
        <w:t>30 June</w:t>
      </w:r>
      <w:r>
        <w:rPr>
          <w:rFonts w:ascii="Arial" w:hAnsi="Arial" w:cs="Arial"/>
          <w:sz w:val="18"/>
          <w:szCs w:val="18"/>
        </w:rPr>
        <w:fldChar w:fldCharType="end"/>
      </w:r>
      <w:r w:rsidRPr="001F107C">
        <w:rPr>
          <w:rFonts w:ascii="Arial" w:hAnsi="Arial" w:cs="Arial"/>
          <w:sz w:val="18"/>
          <w:szCs w:val="18"/>
        </w:rPr>
        <w:t xml:space="preserve"> </w:t>
      </w:r>
      <w:r>
        <w:rPr>
          <w:rFonts w:ascii="Arial" w:hAnsi="Arial" w:cs="Arial"/>
          <w:sz w:val="18"/>
          <w:szCs w:val="18"/>
        </w:rPr>
        <w:fldChar w:fldCharType="begin"/>
      </w:r>
      <w:r>
        <w:rPr>
          <w:rFonts w:ascii="Arial" w:hAnsi="Arial" w:cs="Arial"/>
          <w:sz w:val="18"/>
          <w:szCs w:val="18"/>
        </w:rPr>
        <w:instrText xml:space="preserve"> DOCPROPERTY  crYear  \* MERGEFORMAT </w:instrText>
      </w:r>
      <w:r>
        <w:rPr>
          <w:rFonts w:ascii="Arial" w:hAnsi="Arial" w:cs="Arial"/>
          <w:sz w:val="18"/>
          <w:szCs w:val="18"/>
        </w:rPr>
        <w:fldChar w:fldCharType="separate"/>
      </w:r>
      <w:r w:rsidR="00F337D2" w:rsidRPr="00F337D2">
        <w:rPr>
          <w:rFonts w:ascii="Arial" w:hAnsi="Arial" w:cs="Arial"/>
          <w:b/>
          <w:bCs/>
          <w:sz w:val="18"/>
          <w:szCs w:val="18"/>
        </w:rPr>
        <w:t>2016</w:t>
      </w:r>
      <w:r>
        <w:rPr>
          <w:rFonts w:ascii="Arial" w:hAnsi="Arial" w:cs="Arial"/>
          <w:sz w:val="18"/>
          <w:szCs w:val="18"/>
        </w:rPr>
        <w:fldChar w:fldCharType="end"/>
      </w:r>
      <w:r w:rsidRPr="001F107C">
        <w:rPr>
          <w:rFonts w:ascii="Arial" w:hAnsi="Arial" w:cs="Arial"/>
          <w:sz w:val="18"/>
          <w:szCs w:val="18"/>
        </w:rPr>
        <w:t xml:space="preserve">. As part of a transition </w:t>
      </w:r>
      <w:r>
        <w:rPr>
          <w:rFonts w:ascii="Arial" w:hAnsi="Arial" w:cs="Arial"/>
          <w:sz w:val="18"/>
          <w:szCs w:val="18"/>
        </w:rPr>
        <w:t>to</w:t>
      </w:r>
      <w:r w:rsidRPr="001F107C">
        <w:rPr>
          <w:rFonts w:ascii="Arial" w:hAnsi="Arial" w:cs="Arial"/>
          <w:sz w:val="18"/>
          <w:szCs w:val="18"/>
        </w:rPr>
        <w:t xml:space="preserve"> the delivery of </w:t>
      </w:r>
      <w:r>
        <w:rPr>
          <w:rFonts w:ascii="Arial" w:hAnsi="Arial" w:cs="Arial"/>
          <w:sz w:val="18"/>
          <w:szCs w:val="18"/>
        </w:rPr>
        <w:t>shared</w:t>
      </w:r>
      <w:r w:rsidRPr="001F107C">
        <w:rPr>
          <w:rFonts w:ascii="Arial" w:hAnsi="Arial" w:cs="Arial"/>
          <w:sz w:val="18"/>
          <w:szCs w:val="18"/>
        </w:rPr>
        <w:t xml:space="preserve"> services </w:t>
      </w:r>
      <w:r>
        <w:rPr>
          <w:rFonts w:ascii="Arial" w:hAnsi="Arial" w:cs="Arial"/>
          <w:sz w:val="18"/>
          <w:szCs w:val="18"/>
        </w:rPr>
        <w:t>by</w:t>
      </w:r>
      <w:r w:rsidRPr="001F107C">
        <w:rPr>
          <w:rFonts w:ascii="Arial" w:hAnsi="Arial" w:cs="Arial"/>
          <w:sz w:val="18"/>
          <w:szCs w:val="18"/>
        </w:rPr>
        <w:t xml:space="preserve"> the Department of Human Services (DHS), the Agency will no longer be </w:t>
      </w:r>
      <w:proofErr w:type="spellStart"/>
      <w:r w:rsidRPr="001F107C">
        <w:rPr>
          <w:rFonts w:ascii="Arial" w:hAnsi="Arial" w:cs="Arial"/>
          <w:sz w:val="18"/>
          <w:szCs w:val="18"/>
        </w:rPr>
        <w:t>utilising</w:t>
      </w:r>
      <w:proofErr w:type="spellEnd"/>
      <w:r w:rsidRPr="001F107C">
        <w:rPr>
          <w:rFonts w:ascii="Arial" w:hAnsi="Arial" w:cs="Arial"/>
          <w:sz w:val="18"/>
          <w:szCs w:val="18"/>
        </w:rPr>
        <w:t xml:space="preserve"> some of its </w:t>
      </w:r>
      <w:r>
        <w:rPr>
          <w:rFonts w:ascii="Arial" w:hAnsi="Arial" w:cs="Arial"/>
          <w:sz w:val="18"/>
          <w:szCs w:val="18"/>
        </w:rPr>
        <w:t>i</w:t>
      </w:r>
      <w:r w:rsidRPr="001F107C">
        <w:rPr>
          <w:rFonts w:ascii="Arial" w:hAnsi="Arial" w:cs="Arial"/>
          <w:sz w:val="18"/>
          <w:szCs w:val="18"/>
        </w:rPr>
        <w:t xml:space="preserve">ntangible </w:t>
      </w:r>
      <w:r>
        <w:rPr>
          <w:rFonts w:ascii="Arial" w:hAnsi="Arial" w:cs="Arial"/>
          <w:sz w:val="18"/>
          <w:szCs w:val="18"/>
        </w:rPr>
        <w:t>a</w:t>
      </w:r>
      <w:r w:rsidRPr="001F107C">
        <w:rPr>
          <w:rFonts w:ascii="Arial" w:hAnsi="Arial" w:cs="Arial"/>
          <w:sz w:val="18"/>
          <w:szCs w:val="18"/>
        </w:rPr>
        <w:t>ssets. As a result, an impairment expense of $1.</w:t>
      </w:r>
      <w:r>
        <w:rPr>
          <w:rFonts w:ascii="Arial" w:hAnsi="Arial" w:cs="Arial"/>
          <w:sz w:val="18"/>
          <w:szCs w:val="18"/>
        </w:rPr>
        <w:t>6</w:t>
      </w:r>
      <w:r w:rsidRPr="001F107C">
        <w:rPr>
          <w:rFonts w:ascii="Arial" w:hAnsi="Arial" w:cs="Arial"/>
          <w:sz w:val="18"/>
          <w:szCs w:val="18"/>
        </w:rPr>
        <w:t xml:space="preserve"> million was recorded during the year.</w:t>
      </w:r>
    </w:p>
    <w:p w14:paraId="5AE9EA53" w14:textId="77777777" w:rsidR="00A43992" w:rsidRDefault="00A43992" w:rsidP="00A43992">
      <w:pPr>
        <w:spacing w:line="240" w:lineRule="auto"/>
        <w:ind w:left="142"/>
        <w:rPr>
          <w:rFonts w:ascii="Arial" w:hAnsi="Arial" w:cs="Arial"/>
          <w:sz w:val="18"/>
          <w:szCs w:val="18"/>
        </w:rPr>
      </w:pPr>
    </w:p>
    <w:p w14:paraId="5ACF6338" w14:textId="468C03EF" w:rsidR="00A43992" w:rsidRDefault="00A43992" w:rsidP="00A43992">
      <w:pPr>
        <w:spacing w:line="240" w:lineRule="auto"/>
        <w:ind w:left="142"/>
        <w:outlineLvl w:val="0"/>
        <w:rPr>
          <w:rFonts w:ascii="Arial" w:hAnsi="Arial" w:cs="Arial"/>
          <w:sz w:val="18"/>
          <w:szCs w:val="18"/>
        </w:rPr>
      </w:pPr>
      <w:r w:rsidRPr="001F107C">
        <w:rPr>
          <w:rFonts w:ascii="Arial" w:hAnsi="Arial" w:cs="Arial"/>
          <w:sz w:val="18"/>
          <w:szCs w:val="18"/>
        </w:rPr>
        <w:t>No property, plant and equipment is expected to be sold or disposed of within the next 12 months.</w:t>
      </w:r>
    </w:p>
    <w:p w14:paraId="611E38DA" w14:textId="77777777" w:rsidR="00A43992" w:rsidRDefault="00A43992" w:rsidP="00A43992">
      <w:pPr>
        <w:spacing w:line="240" w:lineRule="auto"/>
        <w:ind w:left="142"/>
        <w:rPr>
          <w:rFonts w:ascii="Arial" w:hAnsi="Arial" w:cs="Arial"/>
          <w:sz w:val="18"/>
          <w:szCs w:val="18"/>
        </w:rPr>
      </w:pPr>
    </w:p>
    <w:p w14:paraId="5F77F768" w14:textId="77777777" w:rsidR="00A43992" w:rsidRPr="001F107C" w:rsidRDefault="00A43992" w:rsidP="00A43992">
      <w:pPr>
        <w:spacing w:line="240" w:lineRule="auto"/>
        <w:ind w:left="142"/>
        <w:rPr>
          <w:rFonts w:ascii="Arial" w:hAnsi="Arial" w:cs="Arial"/>
          <w:sz w:val="18"/>
          <w:szCs w:val="18"/>
        </w:rPr>
        <w:sectPr w:rsidR="00A43992" w:rsidRPr="001F107C" w:rsidSect="007211E3">
          <w:pgSz w:w="16838" w:h="11906" w:orient="landscape" w:code="9"/>
          <w:pgMar w:top="1134" w:right="1670" w:bottom="1134" w:left="1134" w:header="958" w:footer="737" w:gutter="0"/>
          <w:cols w:space="708"/>
          <w:docGrid w:linePitch="360"/>
        </w:sectPr>
      </w:pPr>
      <w:r w:rsidRPr="00EA4864">
        <w:rPr>
          <w:rFonts w:ascii="Arial" w:hAnsi="Arial" w:cs="Arial"/>
          <w:sz w:val="18"/>
          <w:szCs w:val="18"/>
        </w:rPr>
        <w:t>Buildings (leasehold improvements), property, plant and equipment are measured at their estimated fair value in the financial statements.</w:t>
      </w:r>
      <w:r>
        <w:rPr>
          <w:rFonts w:ascii="Arial" w:hAnsi="Arial" w:cs="Arial"/>
          <w:sz w:val="18"/>
          <w:szCs w:val="18"/>
        </w:rPr>
        <w:t xml:space="preserve"> Refer to Note 5.3 for further details.</w:t>
      </w:r>
    </w:p>
    <w:p w14:paraId="185B466C" w14:textId="4DB15EEB" w:rsidR="00A43992" w:rsidRPr="001F107C" w:rsidRDefault="00A43992" w:rsidP="00A43992">
      <w:pPr>
        <w:autoSpaceDE w:val="0"/>
        <w:autoSpaceDN w:val="0"/>
        <w:adjustRightInd w:val="0"/>
        <w:spacing w:line="240" w:lineRule="auto"/>
        <w:outlineLvl w:val="0"/>
        <w:rPr>
          <w:rFonts w:ascii="Arial" w:hAnsi="Arial" w:cs="Arial"/>
          <w:b/>
          <w:bCs/>
          <w:sz w:val="18"/>
          <w:szCs w:val="18"/>
        </w:rPr>
      </w:pPr>
      <w:r w:rsidRPr="001F107C">
        <w:rPr>
          <w:rFonts w:ascii="Arial" w:hAnsi="Arial" w:cs="Arial"/>
          <w:noProof/>
          <w:sz w:val="18"/>
          <w:szCs w:val="18"/>
        </w:rPr>
        <w:lastRenderedPageBreak/>
        <mc:AlternateContent>
          <mc:Choice Requires="wps">
            <w:drawing>
              <wp:anchor distT="0" distB="0" distL="114300" distR="114300" simplePos="0" relativeHeight="251661312" behindDoc="0" locked="0" layoutInCell="1" allowOverlap="1" wp14:anchorId="0FB18CBF" wp14:editId="29713E73">
                <wp:simplePos x="0" y="0"/>
                <wp:positionH relativeFrom="column">
                  <wp:posOffset>-82137</wp:posOffset>
                </wp:positionH>
                <wp:positionV relativeFrom="paragraph">
                  <wp:posOffset>-69111</wp:posOffset>
                </wp:positionV>
                <wp:extent cx="6337300" cy="8718698"/>
                <wp:effectExtent l="0" t="0" r="25400" b="2540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7300" cy="8718698"/>
                        </a:xfrm>
                        <a:prstGeom prst="rect">
                          <a:avLst/>
                        </a:prstGeom>
                        <a:noFill/>
                        <a:ln w="9525">
                          <a:solidFill>
                            <a:srgbClr val="6B2976"/>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193A4F79" id="Rectangle 2" o:spid="_x0000_s1026" style="position:absolute;margin-left:-6.45pt;margin-top:-5.4pt;width:499pt;height:68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" filled="f" strokecolor="#6b2976"/>
            </w:pict>
          </mc:Fallback>
        </mc:AlternateContent>
      </w:r>
      <w:r w:rsidRPr="001F107C">
        <w:rPr>
          <w:rFonts w:ascii="Arial" w:hAnsi="Arial" w:cs="Arial"/>
          <w:b/>
          <w:sz w:val="18"/>
          <w:szCs w:val="18"/>
          <w:lang w:eastAsia="en-AU"/>
        </w:rPr>
        <w:t>A</w:t>
      </w:r>
      <w:r w:rsidRPr="001F107C">
        <w:rPr>
          <w:rFonts w:ascii="Arial" w:hAnsi="Arial" w:cs="Arial"/>
          <w:b/>
          <w:bCs/>
          <w:sz w:val="18"/>
          <w:szCs w:val="18"/>
        </w:rPr>
        <w:t>ccounting Policy</w:t>
      </w:r>
    </w:p>
    <w:p w14:paraId="00A95775" w14:textId="77777777" w:rsidR="00A43992" w:rsidRDefault="00A43992" w:rsidP="00A43992">
      <w:pPr>
        <w:spacing w:line="240" w:lineRule="auto"/>
        <w:rPr>
          <w:rFonts w:ascii="Arial" w:hAnsi="Arial" w:cs="Arial"/>
          <w:sz w:val="18"/>
          <w:szCs w:val="18"/>
        </w:rPr>
      </w:pPr>
    </w:p>
    <w:p w14:paraId="7B8CDC25" w14:textId="77777777" w:rsidR="00A43992" w:rsidRDefault="00A43992" w:rsidP="00A43992">
      <w:pPr>
        <w:spacing w:line="240" w:lineRule="auto"/>
        <w:rPr>
          <w:rFonts w:ascii="Arial" w:hAnsi="Arial" w:cs="Arial"/>
          <w:sz w:val="18"/>
          <w:szCs w:val="18"/>
        </w:rPr>
      </w:pPr>
      <w:r w:rsidRPr="005D0F61">
        <w:rPr>
          <w:rFonts w:ascii="Arial" w:hAnsi="Arial" w:cs="Arial"/>
          <w:sz w:val="18"/>
          <w:szCs w:val="18"/>
        </w:rPr>
        <w:t>Assets are recorded at cost on acquisition except as stated below.</w:t>
      </w:r>
      <w:r>
        <w:rPr>
          <w:rFonts w:ascii="Arial" w:hAnsi="Arial" w:cs="Arial"/>
          <w:sz w:val="18"/>
          <w:szCs w:val="18"/>
        </w:rPr>
        <w:t xml:space="preserve"> </w:t>
      </w:r>
      <w:r w:rsidRPr="005D0F61">
        <w:rPr>
          <w:rFonts w:ascii="Arial" w:hAnsi="Arial" w:cs="Arial"/>
          <w:sz w:val="18"/>
          <w:szCs w:val="18"/>
        </w:rPr>
        <w:t>The cost of acquisition includes the fair value of assets transferred</w:t>
      </w:r>
      <w:r>
        <w:rPr>
          <w:rFonts w:ascii="Arial" w:hAnsi="Arial" w:cs="Arial"/>
          <w:sz w:val="18"/>
          <w:szCs w:val="18"/>
        </w:rPr>
        <w:t xml:space="preserve"> </w:t>
      </w:r>
      <w:r w:rsidRPr="005D0F61">
        <w:rPr>
          <w:rFonts w:ascii="Arial" w:hAnsi="Arial" w:cs="Arial"/>
          <w:sz w:val="18"/>
          <w:szCs w:val="18"/>
        </w:rPr>
        <w:t xml:space="preserve">in exchange and liabilities undertaken. </w:t>
      </w:r>
      <w:r>
        <w:rPr>
          <w:rFonts w:ascii="Arial" w:hAnsi="Arial" w:cs="Arial"/>
          <w:sz w:val="18"/>
          <w:szCs w:val="18"/>
        </w:rPr>
        <w:t>Non-f</w:t>
      </w:r>
      <w:r w:rsidRPr="005D0F61">
        <w:rPr>
          <w:rFonts w:ascii="Arial" w:hAnsi="Arial" w:cs="Arial"/>
          <w:sz w:val="18"/>
          <w:szCs w:val="18"/>
        </w:rPr>
        <w:t>inancial assets are initially</w:t>
      </w:r>
      <w:r>
        <w:rPr>
          <w:rFonts w:ascii="Arial" w:hAnsi="Arial" w:cs="Arial"/>
          <w:sz w:val="18"/>
          <w:szCs w:val="18"/>
        </w:rPr>
        <w:t xml:space="preserve"> </w:t>
      </w:r>
      <w:r w:rsidRPr="005D0F61">
        <w:rPr>
          <w:rFonts w:ascii="Arial" w:hAnsi="Arial" w:cs="Arial"/>
          <w:sz w:val="18"/>
          <w:szCs w:val="18"/>
        </w:rPr>
        <w:t>measured at their fair value plus transaction costs where</w:t>
      </w:r>
      <w:r>
        <w:rPr>
          <w:rFonts w:ascii="Arial" w:hAnsi="Arial" w:cs="Arial"/>
          <w:sz w:val="18"/>
          <w:szCs w:val="18"/>
        </w:rPr>
        <w:t xml:space="preserve"> </w:t>
      </w:r>
      <w:r w:rsidRPr="005D0F61">
        <w:rPr>
          <w:rFonts w:ascii="Arial" w:hAnsi="Arial" w:cs="Arial"/>
          <w:sz w:val="18"/>
          <w:szCs w:val="18"/>
        </w:rPr>
        <w:t>appropriate.</w:t>
      </w:r>
    </w:p>
    <w:p w14:paraId="65E683EE" w14:textId="77777777" w:rsidR="00A43992" w:rsidRPr="005D0F61" w:rsidRDefault="00A43992" w:rsidP="00A43992">
      <w:pPr>
        <w:spacing w:line="240" w:lineRule="auto"/>
        <w:rPr>
          <w:rFonts w:ascii="Arial" w:hAnsi="Arial" w:cs="Arial"/>
          <w:sz w:val="18"/>
          <w:szCs w:val="18"/>
        </w:rPr>
      </w:pPr>
    </w:p>
    <w:p w14:paraId="57603D04" w14:textId="77777777" w:rsidR="00A43992" w:rsidRDefault="00A43992" w:rsidP="00A43992">
      <w:pPr>
        <w:spacing w:line="240" w:lineRule="auto"/>
        <w:rPr>
          <w:rFonts w:ascii="Arial" w:hAnsi="Arial" w:cs="Arial"/>
          <w:sz w:val="18"/>
          <w:szCs w:val="18"/>
        </w:rPr>
      </w:pPr>
      <w:r w:rsidRPr="005D0F61">
        <w:rPr>
          <w:rFonts w:ascii="Arial" w:hAnsi="Arial" w:cs="Arial"/>
          <w:sz w:val="18"/>
          <w:szCs w:val="18"/>
        </w:rPr>
        <w:t xml:space="preserve">Assets acquired at no cost, or for nominal </w:t>
      </w:r>
      <w:r>
        <w:rPr>
          <w:rFonts w:ascii="Arial" w:hAnsi="Arial" w:cs="Arial"/>
          <w:sz w:val="18"/>
          <w:szCs w:val="18"/>
        </w:rPr>
        <w:t>c</w:t>
      </w:r>
      <w:r w:rsidRPr="005D0F61">
        <w:rPr>
          <w:rFonts w:ascii="Arial" w:hAnsi="Arial" w:cs="Arial"/>
          <w:sz w:val="18"/>
          <w:szCs w:val="18"/>
        </w:rPr>
        <w:t>onsideration, are</w:t>
      </w:r>
      <w:r>
        <w:rPr>
          <w:rFonts w:ascii="Arial" w:hAnsi="Arial" w:cs="Arial"/>
          <w:sz w:val="18"/>
          <w:szCs w:val="18"/>
        </w:rPr>
        <w:t xml:space="preserve"> </w:t>
      </w:r>
      <w:r w:rsidRPr="005D0F61">
        <w:rPr>
          <w:rFonts w:ascii="Arial" w:hAnsi="Arial" w:cs="Arial"/>
          <w:sz w:val="18"/>
          <w:szCs w:val="18"/>
        </w:rPr>
        <w:t xml:space="preserve">initially </w:t>
      </w:r>
      <w:proofErr w:type="spellStart"/>
      <w:r w:rsidRPr="005D0F61">
        <w:rPr>
          <w:rFonts w:ascii="Arial" w:hAnsi="Arial" w:cs="Arial"/>
          <w:sz w:val="18"/>
          <w:szCs w:val="18"/>
        </w:rPr>
        <w:t>recognised</w:t>
      </w:r>
      <w:proofErr w:type="spellEnd"/>
      <w:r w:rsidRPr="005D0F61">
        <w:rPr>
          <w:rFonts w:ascii="Arial" w:hAnsi="Arial" w:cs="Arial"/>
          <w:sz w:val="18"/>
          <w:szCs w:val="18"/>
        </w:rPr>
        <w:t xml:space="preserve"> as assets and income at their fair value at the</w:t>
      </w:r>
      <w:r>
        <w:rPr>
          <w:rFonts w:ascii="Arial" w:hAnsi="Arial" w:cs="Arial"/>
          <w:sz w:val="18"/>
          <w:szCs w:val="18"/>
        </w:rPr>
        <w:t xml:space="preserve"> </w:t>
      </w:r>
      <w:r w:rsidRPr="005D0F61">
        <w:rPr>
          <w:rFonts w:ascii="Arial" w:hAnsi="Arial" w:cs="Arial"/>
          <w:sz w:val="18"/>
          <w:szCs w:val="18"/>
        </w:rPr>
        <w:t>date of acquisition, unless acquired as a consequence of</w:t>
      </w:r>
      <w:r>
        <w:rPr>
          <w:rFonts w:ascii="Arial" w:hAnsi="Arial" w:cs="Arial"/>
          <w:sz w:val="18"/>
          <w:szCs w:val="18"/>
        </w:rPr>
        <w:t xml:space="preserve"> </w:t>
      </w:r>
      <w:r w:rsidRPr="005D0F61">
        <w:rPr>
          <w:rFonts w:ascii="Arial" w:hAnsi="Arial" w:cs="Arial"/>
          <w:sz w:val="18"/>
          <w:szCs w:val="18"/>
        </w:rPr>
        <w:t>restructuring of administrative arrangements. In the latter case,</w:t>
      </w:r>
      <w:r>
        <w:rPr>
          <w:rFonts w:ascii="Arial" w:hAnsi="Arial" w:cs="Arial"/>
          <w:sz w:val="18"/>
          <w:szCs w:val="18"/>
        </w:rPr>
        <w:t xml:space="preserve"> </w:t>
      </w:r>
      <w:r w:rsidRPr="005D0F61">
        <w:rPr>
          <w:rFonts w:ascii="Arial" w:hAnsi="Arial" w:cs="Arial"/>
          <w:sz w:val="18"/>
          <w:szCs w:val="18"/>
        </w:rPr>
        <w:t xml:space="preserve">assets are initially </w:t>
      </w:r>
      <w:proofErr w:type="spellStart"/>
      <w:r w:rsidRPr="005D0F61">
        <w:rPr>
          <w:rFonts w:ascii="Arial" w:hAnsi="Arial" w:cs="Arial"/>
          <w:sz w:val="18"/>
          <w:szCs w:val="18"/>
        </w:rPr>
        <w:t>recognised</w:t>
      </w:r>
      <w:proofErr w:type="spellEnd"/>
      <w:r w:rsidRPr="005D0F61">
        <w:rPr>
          <w:rFonts w:ascii="Arial" w:hAnsi="Arial" w:cs="Arial"/>
          <w:sz w:val="18"/>
          <w:szCs w:val="18"/>
        </w:rPr>
        <w:t xml:space="preserve"> as contributions by owne</w:t>
      </w:r>
      <w:r>
        <w:rPr>
          <w:rFonts w:ascii="Arial" w:hAnsi="Arial" w:cs="Arial"/>
          <w:sz w:val="18"/>
          <w:szCs w:val="18"/>
        </w:rPr>
        <w:t>r</w:t>
      </w:r>
      <w:r w:rsidRPr="005D0F61">
        <w:rPr>
          <w:rFonts w:ascii="Arial" w:hAnsi="Arial" w:cs="Arial"/>
          <w:sz w:val="18"/>
          <w:szCs w:val="18"/>
        </w:rPr>
        <w:t>s at the</w:t>
      </w:r>
      <w:r>
        <w:rPr>
          <w:rFonts w:ascii="Arial" w:hAnsi="Arial" w:cs="Arial"/>
          <w:sz w:val="18"/>
          <w:szCs w:val="18"/>
        </w:rPr>
        <w:t xml:space="preserve"> </w:t>
      </w:r>
      <w:r w:rsidRPr="005D0F61">
        <w:rPr>
          <w:rFonts w:ascii="Arial" w:hAnsi="Arial" w:cs="Arial"/>
          <w:sz w:val="18"/>
          <w:szCs w:val="18"/>
        </w:rPr>
        <w:t xml:space="preserve">amounts at which they were </w:t>
      </w:r>
      <w:proofErr w:type="spellStart"/>
      <w:r w:rsidRPr="005D0F61">
        <w:rPr>
          <w:rFonts w:ascii="Arial" w:hAnsi="Arial" w:cs="Arial"/>
          <w:sz w:val="18"/>
          <w:szCs w:val="18"/>
        </w:rPr>
        <w:t>recognised</w:t>
      </w:r>
      <w:proofErr w:type="spellEnd"/>
      <w:r w:rsidRPr="005D0F61">
        <w:rPr>
          <w:rFonts w:ascii="Arial" w:hAnsi="Arial" w:cs="Arial"/>
          <w:sz w:val="18"/>
          <w:szCs w:val="18"/>
        </w:rPr>
        <w:t xml:space="preserve"> in the transferor’s</w:t>
      </w:r>
      <w:r>
        <w:rPr>
          <w:rFonts w:ascii="Arial" w:hAnsi="Arial" w:cs="Arial"/>
          <w:sz w:val="18"/>
          <w:szCs w:val="18"/>
        </w:rPr>
        <w:t xml:space="preserve"> </w:t>
      </w:r>
      <w:r w:rsidRPr="005D0F61">
        <w:rPr>
          <w:rFonts w:ascii="Arial" w:hAnsi="Arial" w:cs="Arial"/>
          <w:sz w:val="18"/>
          <w:szCs w:val="18"/>
        </w:rPr>
        <w:t>accounts immediately prior to the restructuring.</w:t>
      </w:r>
    </w:p>
    <w:p w14:paraId="2211B073" w14:textId="77777777" w:rsidR="00A43992" w:rsidRPr="001F107C" w:rsidRDefault="00A43992" w:rsidP="00A43992">
      <w:pPr>
        <w:spacing w:line="240" w:lineRule="auto"/>
        <w:rPr>
          <w:rFonts w:ascii="Arial" w:hAnsi="Arial" w:cs="Arial"/>
          <w:sz w:val="18"/>
          <w:szCs w:val="18"/>
        </w:rPr>
      </w:pPr>
    </w:p>
    <w:p w14:paraId="1BAAF822" w14:textId="6218882D" w:rsidR="00A43992" w:rsidRPr="005E5430" w:rsidRDefault="00A43992" w:rsidP="00A43992">
      <w:pPr>
        <w:spacing w:line="240" w:lineRule="auto"/>
        <w:outlineLvl w:val="0"/>
        <w:rPr>
          <w:rFonts w:ascii="Arial" w:hAnsi="Arial" w:cs="Arial"/>
          <w:i/>
          <w:iCs/>
          <w:sz w:val="18"/>
          <w:szCs w:val="18"/>
          <w:u w:val="single"/>
          <w:lang w:eastAsia="en-AU"/>
        </w:rPr>
      </w:pPr>
      <w:r w:rsidRPr="005E5430">
        <w:rPr>
          <w:rFonts w:ascii="Arial" w:hAnsi="Arial" w:cs="Arial"/>
          <w:i/>
          <w:iCs/>
          <w:sz w:val="18"/>
          <w:szCs w:val="18"/>
          <w:u w:val="single"/>
          <w:lang w:eastAsia="en-AU"/>
        </w:rPr>
        <w:t>Asset recognition threshold</w:t>
      </w:r>
    </w:p>
    <w:p w14:paraId="08FDE75A" w14:textId="77777777" w:rsidR="00A43992" w:rsidRPr="005E5430" w:rsidRDefault="00A43992" w:rsidP="00A43992">
      <w:pPr>
        <w:spacing w:line="240" w:lineRule="auto"/>
        <w:rPr>
          <w:rFonts w:ascii="Arial" w:hAnsi="Arial" w:cs="Arial"/>
          <w:sz w:val="18"/>
          <w:szCs w:val="18"/>
          <w:lang w:eastAsia="en-AU"/>
        </w:rPr>
      </w:pPr>
      <w:r w:rsidRPr="005E5430">
        <w:rPr>
          <w:rFonts w:ascii="Arial" w:hAnsi="Arial" w:cs="Arial"/>
          <w:sz w:val="18"/>
          <w:szCs w:val="18"/>
          <w:lang w:eastAsia="en-AU"/>
        </w:rPr>
        <w:t xml:space="preserve">Purchases of property, plant and equipment are </w:t>
      </w:r>
      <w:proofErr w:type="spellStart"/>
      <w:r w:rsidRPr="005E5430">
        <w:rPr>
          <w:rFonts w:ascii="Arial" w:hAnsi="Arial" w:cs="Arial"/>
          <w:sz w:val="18"/>
          <w:szCs w:val="18"/>
          <w:lang w:eastAsia="en-AU"/>
        </w:rPr>
        <w:t>recognised</w:t>
      </w:r>
      <w:proofErr w:type="spellEnd"/>
      <w:r w:rsidRPr="005E5430">
        <w:rPr>
          <w:rFonts w:ascii="Arial" w:hAnsi="Arial" w:cs="Arial"/>
          <w:sz w:val="18"/>
          <w:szCs w:val="18"/>
          <w:lang w:eastAsia="en-AU"/>
        </w:rPr>
        <w:t xml:space="preserve"> initially at cost in the Statement of Financial Position, except for purchases costing less than $5,000 which are expensed in the year of acquisition</w:t>
      </w:r>
      <w:r>
        <w:rPr>
          <w:rFonts w:ascii="Arial" w:hAnsi="Arial" w:cs="Arial"/>
          <w:sz w:val="18"/>
          <w:szCs w:val="18"/>
          <w:lang w:eastAsia="en-AU"/>
        </w:rPr>
        <w:t xml:space="preserve"> (other than where they form part of a group of similar items which are significant in total)</w:t>
      </w:r>
      <w:r w:rsidRPr="005E5430">
        <w:rPr>
          <w:rFonts w:ascii="Arial" w:hAnsi="Arial" w:cs="Arial"/>
          <w:sz w:val="18"/>
          <w:szCs w:val="18"/>
          <w:lang w:eastAsia="en-AU"/>
        </w:rPr>
        <w:t>.</w:t>
      </w:r>
    </w:p>
    <w:p w14:paraId="0FA1279D" w14:textId="77777777" w:rsidR="00A43992" w:rsidRPr="005E5430" w:rsidRDefault="00A43992" w:rsidP="00A43992">
      <w:pPr>
        <w:spacing w:line="240" w:lineRule="auto"/>
        <w:rPr>
          <w:rFonts w:ascii="Arial" w:hAnsi="Arial" w:cs="Arial"/>
          <w:sz w:val="18"/>
          <w:szCs w:val="18"/>
          <w:lang w:eastAsia="en-AU"/>
        </w:rPr>
      </w:pPr>
    </w:p>
    <w:p w14:paraId="34796330" w14:textId="77777777" w:rsidR="00A43992" w:rsidRPr="005E5430" w:rsidRDefault="00A43992" w:rsidP="00A43992">
      <w:pPr>
        <w:spacing w:line="240" w:lineRule="auto"/>
        <w:rPr>
          <w:rFonts w:ascii="Arial" w:hAnsi="Arial" w:cs="Arial"/>
          <w:sz w:val="18"/>
          <w:szCs w:val="18"/>
          <w:lang w:eastAsia="en-AU"/>
        </w:rPr>
      </w:pPr>
      <w:r w:rsidRPr="005E5430">
        <w:rPr>
          <w:rFonts w:ascii="Arial" w:hAnsi="Arial" w:cs="Arial"/>
          <w:sz w:val="18"/>
          <w:szCs w:val="18"/>
          <w:lang w:eastAsia="en-AU"/>
        </w:rPr>
        <w:t xml:space="preserve">The initial cost of an asset includes an estimate of the cost of dismantling and removing the item and restoring the site on which it is located.  This is particularly relevant to ‘make good’ provisions in property leases taken up by the Agency where there exists an obligation to restore the property to its original condition.  These costs are included in the value of the Agency's leasehold improvements with a corresponding provision for the ‘make good’ obligation </w:t>
      </w:r>
      <w:proofErr w:type="spellStart"/>
      <w:r w:rsidRPr="005E5430">
        <w:rPr>
          <w:rFonts w:ascii="Arial" w:hAnsi="Arial" w:cs="Arial"/>
          <w:sz w:val="18"/>
          <w:szCs w:val="18"/>
          <w:lang w:eastAsia="en-AU"/>
        </w:rPr>
        <w:t>recognised</w:t>
      </w:r>
      <w:proofErr w:type="spellEnd"/>
      <w:r w:rsidRPr="005E5430">
        <w:rPr>
          <w:rFonts w:ascii="Arial" w:hAnsi="Arial" w:cs="Arial"/>
          <w:sz w:val="18"/>
          <w:szCs w:val="18"/>
          <w:lang w:eastAsia="en-AU"/>
        </w:rPr>
        <w:t>.</w:t>
      </w:r>
    </w:p>
    <w:p w14:paraId="2FDF0846" w14:textId="77777777" w:rsidR="00A43992" w:rsidRPr="005E5430" w:rsidRDefault="00A43992" w:rsidP="00A43992">
      <w:pPr>
        <w:spacing w:line="240" w:lineRule="auto"/>
        <w:rPr>
          <w:rFonts w:ascii="Arial" w:hAnsi="Arial" w:cs="Arial"/>
          <w:i/>
          <w:iCs/>
          <w:sz w:val="18"/>
          <w:szCs w:val="18"/>
          <w:u w:val="single"/>
          <w:lang w:eastAsia="en-AU"/>
        </w:rPr>
      </w:pPr>
    </w:p>
    <w:p w14:paraId="1A4D251F" w14:textId="20CBDE7F" w:rsidR="00A43992" w:rsidRPr="005E5430" w:rsidRDefault="00A43992" w:rsidP="00A43992">
      <w:pPr>
        <w:spacing w:line="240" w:lineRule="auto"/>
        <w:outlineLvl w:val="0"/>
        <w:rPr>
          <w:rFonts w:ascii="Arial" w:hAnsi="Arial" w:cs="Arial"/>
          <w:i/>
          <w:iCs/>
          <w:sz w:val="18"/>
          <w:szCs w:val="18"/>
          <w:u w:val="single"/>
          <w:lang w:eastAsia="en-AU"/>
        </w:rPr>
      </w:pPr>
      <w:r w:rsidRPr="005E5430">
        <w:rPr>
          <w:rFonts w:ascii="Arial" w:hAnsi="Arial" w:cs="Arial"/>
          <w:i/>
          <w:iCs/>
          <w:sz w:val="18"/>
          <w:szCs w:val="18"/>
          <w:u w:val="single"/>
          <w:lang w:eastAsia="en-AU"/>
        </w:rPr>
        <w:t>Revaluations</w:t>
      </w:r>
    </w:p>
    <w:p w14:paraId="1C95D8E0" w14:textId="77777777" w:rsidR="00A43992" w:rsidRDefault="00A43992" w:rsidP="00A43992">
      <w:pPr>
        <w:spacing w:line="240" w:lineRule="auto"/>
        <w:rPr>
          <w:rFonts w:ascii="Arial" w:hAnsi="Arial" w:cs="Arial"/>
          <w:sz w:val="18"/>
          <w:szCs w:val="18"/>
          <w:lang w:eastAsia="en-AU"/>
        </w:rPr>
      </w:pPr>
      <w:r w:rsidRPr="005E5430">
        <w:rPr>
          <w:rFonts w:ascii="Arial" w:hAnsi="Arial" w:cs="Arial"/>
          <w:sz w:val="18"/>
          <w:szCs w:val="18"/>
          <w:lang w:eastAsia="en-AU"/>
        </w:rPr>
        <w:t xml:space="preserve">Following initial recognition at cost, items of property, plant and equipment are carried at fair value less accumulated depreciation and accumulated impairment losses. The Agency’s policy is to conduct valuations with sufficient frequency to ensure that the carrying value of items do not differ materially from their fair value at each reporting date. </w:t>
      </w:r>
      <w:r w:rsidRPr="00C63934">
        <w:rPr>
          <w:rFonts w:ascii="Arial" w:hAnsi="Arial" w:cs="Arial"/>
          <w:sz w:val="18"/>
          <w:szCs w:val="18"/>
          <w:lang w:eastAsia="en-AU"/>
        </w:rPr>
        <w:t xml:space="preserve">The </w:t>
      </w:r>
      <w:r>
        <w:rPr>
          <w:rFonts w:ascii="Arial" w:hAnsi="Arial" w:cs="Arial"/>
          <w:sz w:val="18"/>
          <w:szCs w:val="18"/>
          <w:lang w:eastAsia="en-AU"/>
        </w:rPr>
        <w:t>Agency</w:t>
      </w:r>
      <w:r w:rsidRPr="00C63934">
        <w:rPr>
          <w:rFonts w:ascii="Arial" w:hAnsi="Arial" w:cs="Arial"/>
          <w:sz w:val="18"/>
          <w:szCs w:val="18"/>
          <w:lang w:eastAsia="en-AU"/>
        </w:rPr>
        <w:t xml:space="preserve">'s </w:t>
      </w:r>
      <w:r>
        <w:rPr>
          <w:rFonts w:ascii="Arial" w:hAnsi="Arial" w:cs="Arial"/>
          <w:sz w:val="18"/>
          <w:szCs w:val="18"/>
          <w:lang w:eastAsia="en-AU"/>
        </w:rPr>
        <w:t>leasehold improvements</w:t>
      </w:r>
      <w:r w:rsidRPr="00C63934">
        <w:rPr>
          <w:rFonts w:ascii="Arial" w:hAnsi="Arial" w:cs="Arial"/>
          <w:sz w:val="18"/>
          <w:szCs w:val="18"/>
          <w:lang w:eastAsia="en-AU"/>
        </w:rPr>
        <w:t xml:space="preserve"> are stated at their revalued amounts, being the fair value at the date of revaluation, less any subsequent accumulated depreciation. The fair value measurements of the </w:t>
      </w:r>
      <w:r>
        <w:rPr>
          <w:rFonts w:ascii="Arial" w:hAnsi="Arial" w:cs="Arial"/>
          <w:sz w:val="18"/>
          <w:szCs w:val="18"/>
          <w:lang w:eastAsia="en-AU"/>
        </w:rPr>
        <w:t>Agency</w:t>
      </w:r>
      <w:r w:rsidRPr="00C63934">
        <w:rPr>
          <w:rFonts w:ascii="Arial" w:hAnsi="Arial" w:cs="Arial"/>
          <w:sz w:val="18"/>
          <w:szCs w:val="18"/>
          <w:lang w:eastAsia="en-AU"/>
        </w:rPr>
        <w:t xml:space="preserve">'s </w:t>
      </w:r>
      <w:r>
        <w:rPr>
          <w:rFonts w:ascii="Arial" w:hAnsi="Arial" w:cs="Arial"/>
          <w:sz w:val="18"/>
          <w:szCs w:val="18"/>
          <w:lang w:eastAsia="en-AU"/>
        </w:rPr>
        <w:t>leasehold improvements</w:t>
      </w:r>
      <w:r w:rsidRPr="00C63934">
        <w:rPr>
          <w:rFonts w:ascii="Arial" w:hAnsi="Arial" w:cs="Arial"/>
          <w:sz w:val="18"/>
          <w:szCs w:val="18"/>
          <w:lang w:eastAsia="en-AU"/>
        </w:rPr>
        <w:t xml:space="preserve"> as at </w:t>
      </w:r>
      <w:r>
        <w:rPr>
          <w:rFonts w:ascii="Arial" w:hAnsi="Arial" w:cs="Arial"/>
          <w:sz w:val="18"/>
          <w:szCs w:val="18"/>
          <w:lang w:eastAsia="en-AU"/>
        </w:rPr>
        <w:fldChar w:fldCharType="begin"/>
      </w:r>
      <w:r>
        <w:rPr>
          <w:rFonts w:ascii="Arial" w:hAnsi="Arial" w:cs="Arial"/>
          <w:sz w:val="18"/>
          <w:szCs w:val="18"/>
          <w:lang w:eastAsia="en-AU"/>
        </w:rPr>
        <w:instrText xml:space="preserve"> DOCPROPERTY  pEnd  \* MERGEFORMAT </w:instrText>
      </w:r>
      <w:r>
        <w:rPr>
          <w:rFonts w:ascii="Arial" w:hAnsi="Arial" w:cs="Arial"/>
          <w:sz w:val="18"/>
          <w:szCs w:val="18"/>
          <w:lang w:eastAsia="en-AU"/>
        </w:rPr>
        <w:fldChar w:fldCharType="separate"/>
      </w:r>
      <w:r w:rsidR="00F337D2" w:rsidRPr="00F337D2">
        <w:rPr>
          <w:rFonts w:ascii="Arial" w:hAnsi="Arial" w:cs="Arial"/>
          <w:b/>
          <w:bCs/>
          <w:sz w:val="18"/>
          <w:szCs w:val="18"/>
          <w:lang w:eastAsia="en-AU"/>
        </w:rPr>
        <w:t>30 June</w:t>
      </w:r>
      <w:r>
        <w:rPr>
          <w:rFonts w:ascii="Arial" w:hAnsi="Arial" w:cs="Arial"/>
          <w:sz w:val="18"/>
          <w:szCs w:val="18"/>
          <w:lang w:eastAsia="en-AU"/>
        </w:rPr>
        <w:fldChar w:fldCharType="end"/>
      </w:r>
      <w:r w:rsidRPr="00C63934">
        <w:rPr>
          <w:rFonts w:ascii="Arial" w:hAnsi="Arial" w:cs="Arial"/>
          <w:sz w:val="18"/>
          <w:szCs w:val="18"/>
          <w:lang w:eastAsia="en-AU"/>
        </w:rPr>
        <w:t xml:space="preserve"> </w:t>
      </w:r>
      <w:r>
        <w:rPr>
          <w:rFonts w:ascii="Arial" w:hAnsi="Arial" w:cs="Arial"/>
          <w:sz w:val="18"/>
          <w:szCs w:val="18"/>
          <w:lang w:eastAsia="en-AU"/>
        </w:rPr>
        <w:fldChar w:fldCharType="begin"/>
      </w:r>
      <w:r>
        <w:rPr>
          <w:rFonts w:ascii="Arial" w:hAnsi="Arial" w:cs="Arial"/>
          <w:sz w:val="18"/>
          <w:szCs w:val="18"/>
          <w:lang w:eastAsia="en-AU"/>
        </w:rPr>
        <w:instrText xml:space="preserve"> DOCPROPERTY  crYear  \* MERGEFORMAT </w:instrText>
      </w:r>
      <w:r>
        <w:rPr>
          <w:rFonts w:ascii="Arial" w:hAnsi="Arial" w:cs="Arial"/>
          <w:sz w:val="18"/>
          <w:szCs w:val="18"/>
          <w:lang w:eastAsia="en-AU"/>
        </w:rPr>
        <w:fldChar w:fldCharType="separate"/>
      </w:r>
      <w:r w:rsidR="00F337D2" w:rsidRPr="00F337D2">
        <w:rPr>
          <w:rFonts w:ascii="Arial" w:hAnsi="Arial" w:cs="Arial"/>
          <w:b/>
          <w:bCs/>
          <w:sz w:val="18"/>
          <w:szCs w:val="18"/>
          <w:lang w:eastAsia="en-AU"/>
        </w:rPr>
        <w:t>2016</w:t>
      </w:r>
      <w:r>
        <w:rPr>
          <w:rFonts w:ascii="Arial" w:hAnsi="Arial" w:cs="Arial"/>
          <w:sz w:val="18"/>
          <w:szCs w:val="18"/>
          <w:lang w:eastAsia="en-AU"/>
        </w:rPr>
        <w:fldChar w:fldCharType="end"/>
      </w:r>
      <w:r w:rsidRPr="00C63934">
        <w:rPr>
          <w:rFonts w:ascii="Arial" w:hAnsi="Arial" w:cs="Arial"/>
          <w:sz w:val="18"/>
          <w:szCs w:val="18"/>
          <w:lang w:eastAsia="en-AU"/>
        </w:rPr>
        <w:t xml:space="preserve"> were performed by </w:t>
      </w:r>
      <w:r>
        <w:rPr>
          <w:rFonts w:ascii="Arial" w:hAnsi="Arial" w:cs="Arial"/>
          <w:sz w:val="18"/>
          <w:szCs w:val="18"/>
          <w:lang w:eastAsia="en-AU"/>
        </w:rPr>
        <w:t>Australian Valuation Solutions (‘AVS’)</w:t>
      </w:r>
      <w:r w:rsidRPr="00C63934">
        <w:rPr>
          <w:rFonts w:ascii="Arial" w:hAnsi="Arial" w:cs="Arial"/>
          <w:sz w:val="18"/>
          <w:szCs w:val="18"/>
          <w:lang w:eastAsia="en-AU"/>
        </w:rPr>
        <w:t xml:space="preserve">, independent </w:t>
      </w:r>
      <w:proofErr w:type="spellStart"/>
      <w:r>
        <w:rPr>
          <w:rFonts w:ascii="Arial" w:hAnsi="Arial" w:cs="Arial"/>
          <w:sz w:val="18"/>
          <w:szCs w:val="18"/>
          <w:lang w:eastAsia="en-AU"/>
        </w:rPr>
        <w:t>valuers</w:t>
      </w:r>
      <w:proofErr w:type="spellEnd"/>
      <w:r w:rsidRPr="00C63934">
        <w:rPr>
          <w:rFonts w:ascii="Arial" w:hAnsi="Arial" w:cs="Arial"/>
          <w:sz w:val="18"/>
          <w:szCs w:val="18"/>
          <w:lang w:eastAsia="en-AU"/>
        </w:rPr>
        <w:t xml:space="preserve">. </w:t>
      </w:r>
      <w:r>
        <w:rPr>
          <w:rFonts w:ascii="Arial" w:hAnsi="Arial" w:cs="Arial"/>
          <w:sz w:val="18"/>
          <w:szCs w:val="18"/>
          <w:lang w:eastAsia="en-AU"/>
        </w:rPr>
        <w:t>AVS</w:t>
      </w:r>
      <w:r w:rsidRPr="00C63934">
        <w:rPr>
          <w:rFonts w:ascii="Arial" w:hAnsi="Arial" w:cs="Arial"/>
          <w:sz w:val="18"/>
          <w:szCs w:val="18"/>
          <w:lang w:eastAsia="en-AU"/>
        </w:rPr>
        <w:t xml:space="preserve"> have appropriate qualifications and recent experience in the fair value measurement of </w:t>
      </w:r>
      <w:r>
        <w:rPr>
          <w:rFonts w:ascii="Arial" w:hAnsi="Arial" w:cs="Arial"/>
          <w:sz w:val="18"/>
          <w:szCs w:val="18"/>
          <w:lang w:eastAsia="en-AU"/>
        </w:rPr>
        <w:t>similar assets</w:t>
      </w:r>
      <w:r w:rsidRPr="00C63934">
        <w:rPr>
          <w:rFonts w:ascii="Arial" w:hAnsi="Arial" w:cs="Arial"/>
          <w:sz w:val="18"/>
          <w:szCs w:val="18"/>
          <w:lang w:eastAsia="en-AU"/>
        </w:rPr>
        <w:t xml:space="preserve"> in the </w:t>
      </w:r>
      <w:r>
        <w:rPr>
          <w:rFonts w:ascii="Arial" w:hAnsi="Arial" w:cs="Arial"/>
          <w:sz w:val="18"/>
          <w:szCs w:val="18"/>
          <w:lang w:eastAsia="en-AU"/>
        </w:rPr>
        <w:t>Government sector</w:t>
      </w:r>
      <w:r w:rsidRPr="005F1A12">
        <w:rPr>
          <w:rFonts w:ascii="Arial" w:hAnsi="Arial" w:cs="Arial"/>
          <w:sz w:val="18"/>
          <w:szCs w:val="18"/>
          <w:lang w:eastAsia="en-AU"/>
        </w:rPr>
        <w:t>.</w:t>
      </w:r>
      <w:r w:rsidRPr="005E5430">
        <w:rPr>
          <w:rFonts w:ascii="Arial" w:hAnsi="Arial" w:cs="Arial"/>
          <w:sz w:val="18"/>
          <w:szCs w:val="18"/>
          <w:lang w:eastAsia="en-AU"/>
        </w:rPr>
        <w:t xml:space="preserve"> </w:t>
      </w:r>
    </w:p>
    <w:p w14:paraId="3BADCF35" w14:textId="77777777" w:rsidR="00A43992" w:rsidRDefault="00A43992" w:rsidP="00A43992">
      <w:pPr>
        <w:spacing w:line="240" w:lineRule="auto"/>
        <w:rPr>
          <w:rFonts w:ascii="Arial" w:hAnsi="Arial" w:cs="Arial"/>
          <w:sz w:val="18"/>
          <w:szCs w:val="18"/>
          <w:lang w:eastAsia="en-AU"/>
        </w:rPr>
      </w:pPr>
    </w:p>
    <w:p w14:paraId="15F3092F" w14:textId="77777777" w:rsidR="00A43992" w:rsidRDefault="00A43992" w:rsidP="00A43992">
      <w:pPr>
        <w:spacing w:line="240" w:lineRule="auto"/>
        <w:rPr>
          <w:rFonts w:ascii="Arial" w:hAnsi="Arial" w:cs="Arial"/>
          <w:sz w:val="18"/>
          <w:szCs w:val="18"/>
          <w:lang w:eastAsia="en-AU"/>
        </w:rPr>
      </w:pPr>
      <w:r>
        <w:rPr>
          <w:rFonts w:ascii="Arial" w:hAnsi="Arial" w:cs="Arial"/>
          <w:sz w:val="18"/>
          <w:szCs w:val="18"/>
          <w:lang w:eastAsia="en-AU"/>
        </w:rPr>
        <w:t xml:space="preserve">Revaluation adjustments are made on a class basis.  Any revaluation increment is credited to equity under the heading of asset revaluation reserve except to the </w:t>
      </w:r>
      <w:r>
        <w:rPr>
          <w:rFonts w:ascii="Arial" w:hAnsi="Arial" w:cs="Arial"/>
          <w:sz w:val="18"/>
          <w:szCs w:val="18"/>
          <w:lang w:eastAsia="en-AU"/>
        </w:rPr>
        <w:lastRenderedPageBreak/>
        <w:t xml:space="preserve">extent that it reverses a previous revaluation decrement of the same asset class that was previously </w:t>
      </w:r>
      <w:proofErr w:type="spellStart"/>
      <w:r>
        <w:rPr>
          <w:rFonts w:ascii="Arial" w:hAnsi="Arial" w:cs="Arial"/>
          <w:sz w:val="18"/>
          <w:szCs w:val="18"/>
          <w:lang w:eastAsia="en-AU"/>
        </w:rPr>
        <w:t>recognised</w:t>
      </w:r>
      <w:proofErr w:type="spellEnd"/>
      <w:r>
        <w:rPr>
          <w:rFonts w:ascii="Arial" w:hAnsi="Arial" w:cs="Arial"/>
          <w:sz w:val="18"/>
          <w:szCs w:val="18"/>
          <w:lang w:eastAsia="en-AU"/>
        </w:rPr>
        <w:t xml:space="preserve"> in the surplus/deficit.  Revaluation decrements for a class of assets are </w:t>
      </w:r>
      <w:proofErr w:type="spellStart"/>
      <w:r>
        <w:rPr>
          <w:rFonts w:ascii="Arial" w:hAnsi="Arial" w:cs="Arial"/>
          <w:sz w:val="18"/>
          <w:szCs w:val="18"/>
          <w:lang w:eastAsia="en-AU"/>
        </w:rPr>
        <w:t>recognised</w:t>
      </w:r>
      <w:proofErr w:type="spellEnd"/>
      <w:r>
        <w:rPr>
          <w:rFonts w:ascii="Arial" w:hAnsi="Arial" w:cs="Arial"/>
          <w:sz w:val="18"/>
          <w:szCs w:val="18"/>
          <w:lang w:eastAsia="en-AU"/>
        </w:rPr>
        <w:t xml:space="preserve"> directly in the surplus/deficit except to the extent that they reverse a previous revaluation increment for that class. </w:t>
      </w:r>
    </w:p>
    <w:p w14:paraId="27B41D41" w14:textId="77777777" w:rsidR="00A43992" w:rsidRDefault="00A43992" w:rsidP="00A43992">
      <w:pPr>
        <w:spacing w:line="240" w:lineRule="auto"/>
        <w:rPr>
          <w:rFonts w:ascii="Arial" w:hAnsi="Arial" w:cs="Arial"/>
          <w:sz w:val="18"/>
          <w:szCs w:val="18"/>
          <w:lang w:eastAsia="en-AU"/>
        </w:rPr>
      </w:pPr>
    </w:p>
    <w:p w14:paraId="43D2FD89" w14:textId="77777777" w:rsidR="00A43992" w:rsidRDefault="00A43992" w:rsidP="00A43992">
      <w:pPr>
        <w:spacing w:line="240" w:lineRule="auto"/>
        <w:rPr>
          <w:rFonts w:ascii="Arial" w:hAnsi="Arial" w:cs="Arial"/>
          <w:sz w:val="18"/>
          <w:szCs w:val="18"/>
          <w:lang w:eastAsia="en-AU"/>
        </w:rPr>
      </w:pPr>
    </w:p>
    <w:p w14:paraId="10555015" w14:textId="77777777" w:rsidR="00A43992" w:rsidRPr="005E5430" w:rsidRDefault="00A43992" w:rsidP="00A43992">
      <w:pPr>
        <w:spacing w:line="240" w:lineRule="auto"/>
        <w:rPr>
          <w:rFonts w:ascii="Arial" w:hAnsi="Arial" w:cs="Arial"/>
          <w:sz w:val="18"/>
          <w:szCs w:val="18"/>
          <w:lang w:eastAsia="en-AU"/>
        </w:rPr>
      </w:pPr>
      <w:r>
        <w:rPr>
          <w:rFonts w:ascii="Arial" w:hAnsi="Arial" w:cs="Arial"/>
          <w:sz w:val="18"/>
          <w:szCs w:val="18"/>
          <w:lang w:eastAsia="en-AU"/>
        </w:rPr>
        <w:t xml:space="preserve">Any accumulated depreciation as at the revaluation date is eliminated against the gross carrying amount of the asset and the asset was restated to the revalued amount. </w:t>
      </w:r>
    </w:p>
    <w:p w14:paraId="33EDEAE7" w14:textId="77777777" w:rsidR="00A43992" w:rsidRPr="005E5430" w:rsidRDefault="00A43992" w:rsidP="00A43992">
      <w:pPr>
        <w:spacing w:line="240" w:lineRule="auto"/>
        <w:ind w:left="720"/>
        <w:rPr>
          <w:rFonts w:ascii="Arial" w:hAnsi="Arial" w:cs="Arial"/>
          <w:i/>
          <w:iCs/>
          <w:sz w:val="18"/>
          <w:szCs w:val="18"/>
          <w:u w:val="single"/>
          <w:lang w:eastAsia="en-AU"/>
        </w:rPr>
      </w:pPr>
    </w:p>
    <w:p w14:paraId="49597F60" w14:textId="2DF0BBD3" w:rsidR="00A43992" w:rsidRPr="005E5430" w:rsidRDefault="00A43992" w:rsidP="00A43992">
      <w:pPr>
        <w:spacing w:line="240" w:lineRule="auto"/>
        <w:outlineLvl w:val="0"/>
        <w:rPr>
          <w:rFonts w:ascii="Arial" w:hAnsi="Arial" w:cs="Arial"/>
          <w:i/>
          <w:iCs/>
          <w:sz w:val="18"/>
          <w:szCs w:val="18"/>
          <w:u w:val="single"/>
          <w:lang w:eastAsia="en-AU"/>
        </w:rPr>
      </w:pPr>
      <w:r w:rsidRPr="005E5430">
        <w:rPr>
          <w:rFonts w:ascii="Arial" w:hAnsi="Arial" w:cs="Arial"/>
          <w:i/>
          <w:iCs/>
          <w:sz w:val="18"/>
          <w:szCs w:val="18"/>
          <w:u w:val="single"/>
          <w:lang w:eastAsia="en-AU"/>
        </w:rPr>
        <w:t>Depreciation</w:t>
      </w:r>
    </w:p>
    <w:p w14:paraId="09786F74" w14:textId="77777777" w:rsidR="00A43992" w:rsidRPr="005E5430" w:rsidRDefault="00A43992" w:rsidP="00A43992">
      <w:pPr>
        <w:autoSpaceDE w:val="0"/>
        <w:autoSpaceDN w:val="0"/>
        <w:adjustRightInd w:val="0"/>
        <w:spacing w:line="240" w:lineRule="auto"/>
        <w:rPr>
          <w:rFonts w:ascii="Arial" w:hAnsi="Arial" w:cs="Arial"/>
          <w:sz w:val="18"/>
          <w:szCs w:val="18"/>
          <w:lang w:eastAsia="en-AU"/>
        </w:rPr>
      </w:pPr>
      <w:r>
        <w:rPr>
          <w:rFonts w:ascii="Arial" w:hAnsi="Arial" w:cs="Arial"/>
          <w:sz w:val="18"/>
          <w:szCs w:val="18"/>
        </w:rPr>
        <w:t xml:space="preserve">Depreciable property, plant and equipment assets </w:t>
      </w:r>
      <w:r w:rsidRPr="005E5430">
        <w:rPr>
          <w:rFonts w:ascii="Arial" w:hAnsi="Arial" w:cs="Arial"/>
          <w:sz w:val="18"/>
          <w:szCs w:val="18"/>
        </w:rPr>
        <w:t>(other than freehold land and properties under</w:t>
      </w:r>
      <w:r>
        <w:rPr>
          <w:rFonts w:ascii="Arial" w:hAnsi="Arial" w:cs="Arial"/>
          <w:sz w:val="18"/>
          <w:szCs w:val="18"/>
        </w:rPr>
        <w:t xml:space="preserve"> </w:t>
      </w:r>
      <w:r w:rsidRPr="005E5430">
        <w:rPr>
          <w:rFonts w:ascii="Arial" w:hAnsi="Arial" w:cs="Arial"/>
          <w:sz w:val="18"/>
          <w:szCs w:val="18"/>
        </w:rPr>
        <w:t>construction)</w:t>
      </w:r>
      <w:r>
        <w:rPr>
          <w:rFonts w:ascii="Arial" w:hAnsi="Arial" w:cs="Arial"/>
          <w:sz w:val="18"/>
          <w:szCs w:val="18"/>
        </w:rPr>
        <w:t xml:space="preserve"> are written-off to their estimated residual values over their estimated useful lives using the straight-line method of depreciation.  </w:t>
      </w:r>
      <w:r w:rsidRPr="005E5430">
        <w:rPr>
          <w:rFonts w:ascii="Arial" w:hAnsi="Arial" w:cs="Arial"/>
          <w:sz w:val="18"/>
          <w:szCs w:val="18"/>
        </w:rPr>
        <w:t>The estimated useful lives, residual values and depreciation methods are reviewed at the end of each reporting period, with the effect of any changes in estimates accounted for on a prospective basis. The table below outlines the d</w:t>
      </w:r>
      <w:r w:rsidRPr="005E5430">
        <w:rPr>
          <w:rFonts w:ascii="Arial" w:hAnsi="Arial" w:cs="Arial"/>
          <w:sz w:val="18"/>
          <w:szCs w:val="18"/>
          <w:lang w:eastAsia="en-AU"/>
        </w:rPr>
        <w:t>epreciation rates applying to each class of depreciable asset based on the following useful lives</w:t>
      </w:r>
      <w:r>
        <w:rPr>
          <w:rFonts w:ascii="Arial" w:hAnsi="Arial" w:cs="Arial"/>
          <w:sz w:val="18"/>
          <w:szCs w:val="18"/>
          <w:lang w:eastAsia="en-AU"/>
        </w:rPr>
        <w:t>:</w:t>
      </w:r>
    </w:p>
    <w:p w14:paraId="6C5865FE" w14:textId="77777777" w:rsidR="00A43992" w:rsidRPr="005E5430" w:rsidRDefault="00A43992" w:rsidP="00A43992">
      <w:pPr>
        <w:spacing w:line="240" w:lineRule="auto"/>
        <w:rPr>
          <w:rFonts w:ascii="Arial" w:hAnsi="Arial" w:cs="Arial"/>
          <w:sz w:val="18"/>
          <w:szCs w:val="18"/>
          <w:lang w:eastAsia="en-AU"/>
        </w:rPr>
      </w:pPr>
    </w:p>
    <w:tbl>
      <w:tblPr>
        <w:tblStyle w:val="LightShading1"/>
        <w:tblW w:w="4536" w:type="dxa"/>
        <w:tblLayout w:type="fixed"/>
        <w:tblLook w:val="04A0" w:firstRow="1" w:lastRow="0" w:firstColumn="1" w:lastColumn="0" w:noHBand="0" w:noVBand="1"/>
      </w:tblPr>
      <w:tblGrid>
        <w:gridCol w:w="2835"/>
        <w:gridCol w:w="1701"/>
      </w:tblGrid>
      <w:tr w:rsidR="00A43992" w:rsidRPr="005E5430" w14:paraId="34709F76" w14:textId="77777777" w:rsidTr="007211E3">
        <w:trPr>
          <w:cnfStyle w:val="100000000000" w:firstRow="1" w:lastRow="0" w:firstColumn="0" w:lastColumn="0" w:oddVBand="0" w:evenVBand="0" w:oddHBand="0"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2835" w:type="dxa"/>
            <w:shd w:val="clear" w:color="auto" w:fill="auto"/>
          </w:tcPr>
          <w:p w14:paraId="164DAB99" w14:textId="77777777" w:rsidR="00A43992" w:rsidRPr="005E5430" w:rsidRDefault="00A43992" w:rsidP="007211E3">
            <w:pPr>
              <w:rPr>
                <w:rFonts w:ascii="Arial" w:eastAsia="Times New Roman" w:hAnsi="Arial" w:cs="Arial"/>
                <w:color w:val="auto"/>
                <w:sz w:val="18"/>
                <w:szCs w:val="18"/>
                <w:lang w:eastAsia="en-AU"/>
              </w:rPr>
            </w:pPr>
            <w:r w:rsidRPr="005E5430">
              <w:rPr>
                <w:rFonts w:ascii="Arial" w:eastAsia="Times New Roman" w:hAnsi="Arial" w:cs="Arial"/>
                <w:color w:val="auto"/>
                <w:sz w:val="18"/>
                <w:szCs w:val="18"/>
                <w:lang w:eastAsia="en-AU"/>
              </w:rPr>
              <w:t>Asset class</w:t>
            </w:r>
          </w:p>
        </w:tc>
        <w:tc>
          <w:tcPr>
            <w:tcW w:w="1701" w:type="dxa"/>
            <w:shd w:val="clear" w:color="auto" w:fill="auto"/>
          </w:tcPr>
          <w:p w14:paraId="3CBCDCD5" w14:textId="77777777" w:rsidR="00A43992" w:rsidRPr="005E5430" w:rsidRDefault="00A43992" w:rsidP="007211E3">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auto"/>
                <w:sz w:val="18"/>
                <w:szCs w:val="18"/>
                <w:lang w:eastAsia="en-AU"/>
              </w:rPr>
            </w:pPr>
            <w:r w:rsidRPr="005E5430">
              <w:rPr>
                <w:rFonts w:ascii="Arial" w:eastAsia="Times New Roman" w:hAnsi="Arial" w:cs="Arial"/>
                <w:color w:val="auto"/>
                <w:sz w:val="18"/>
                <w:szCs w:val="18"/>
                <w:lang w:eastAsia="en-AU"/>
              </w:rPr>
              <w:t xml:space="preserve">Useful life </w:t>
            </w:r>
          </w:p>
        </w:tc>
      </w:tr>
      <w:tr w:rsidR="00A43992" w:rsidRPr="005E5430" w14:paraId="0A5631A4" w14:textId="77777777" w:rsidTr="007211E3">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2835" w:type="dxa"/>
            <w:shd w:val="clear" w:color="auto" w:fill="auto"/>
          </w:tcPr>
          <w:p w14:paraId="5FA241AA" w14:textId="77777777" w:rsidR="00A43992" w:rsidRPr="005E5430" w:rsidRDefault="00A43992" w:rsidP="007211E3">
            <w:pPr>
              <w:rPr>
                <w:rFonts w:ascii="Arial" w:hAnsi="Arial" w:cs="Arial"/>
                <w:b w:val="0"/>
                <w:color w:val="auto"/>
                <w:sz w:val="18"/>
                <w:szCs w:val="18"/>
                <w:lang w:eastAsia="en-AU"/>
              </w:rPr>
            </w:pPr>
            <w:r w:rsidRPr="005E5430">
              <w:rPr>
                <w:rFonts w:ascii="Arial" w:hAnsi="Arial" w:cs="Arial"/>
                <w:b w:val="0"/>
                <w:color w:val="auto"/>
                <w:sz w:val="18"/>
                <w:szCs w:val="18"/>
                <w:lang w:eastAsia="en-AU"/>
              </w:rPr>
              <w:t>Property, plant and equipment</w:t>
            </w:r>
          </w:p>
        </w:tc>
        <w:tc>
          <w:tcPr>
            <w:tcW w:w="1701" w:type="dxa"/>
            <w:shd w:val="clear" w:color="auto" w:fill="auto"/>
          </w:tcPr>
          <w:p w14:paraId="6EBE01C1" w14:textId="77777777" w:rsidR="00A43992" w:rsidRPr="005E5430" w:rsidRDefault="00A43992" w:rsidP="007211E3">
            <w:pPr>
              <w:cnfStyle w:val="000000100000" w:firstRow="0" w:lastRow="0" w:firstColumn="0" w:lastColumn="0" w:oddVBand="0" w:evenVBand="0" w:oddHBand="1" w:evenHBand="0" w:firstRowFirstColumn="0" w:firstRowLastColumn="0" w:lastRowFirstColumn="0" w:lastRowLastColumn="0"/>
              <w:rPr>
                <w:rFonts w:ascii="Arial" w:hAnsi="Arial" w:cs="Arial"/>
                <w:bCs/>
                <w:color w:val="auto"/>
                <w:sz w:val="18"/>
                <w:szCs w:val="18"/>
                <w:lang w:eastAsia="en-AU"/>
              </w:rPr>
            </w:pPr>
            <w:r w:rsidRPr="005E5430">
              <w:rPr>
                <w:rFonts w:ascii="Arial" w:hAnsi="Arial" w:cs="Arial"/>
                <w:bCs/>
                <w:color w:val="auto"/>
                <w:sz w:val="18"/>
                <w:szCs w:val="18"/>
                <w:lang w:eastAsia="en-AU"/>
              </w:rPr>
              <w:t>3 to 10 years</w:t>
            </w:r>
          </w:p>
        </w:tc>
      </w:tr>
      <w:tr w:rsidR="00A43992" w:rsidRPr="005E5430" w14:paraId="08FA5C01" w14:textId="77777777" w:rsidTr="007211E3">
        <w:trPr>
          <w:trHeight w:val="251"/>
        </w:trPr>
        <w:tc>
          <w:tcPr>
            <w:cnfStyle w:val="001000000000" w:firstRow="0" w:lastRow="0" w:firstColumn="1" w:lastColumn="0" w:oddVBand="0" w:evenVBand="0" w:oddHBand="0" w:evenHBand="0" w:firstRowFirstColumn="0" w:firstRowLastColumn="0" w:lastRowFirstColumn="0" w:lastRowLastColumn="0"/>
            <w:tcW w:w="2835" w:type="dxa"/>
            <w:shd w:val="clear" w:color="auto" w:fill="auto"/>
          </w:tcPr>
          <w:p w14:paraId="27BB230B" w14:textId="77777777" w:rsidR="00A43992" w:rsidRPr="005E5430" w:rsidRDefault="00A43992" w:rsidP="007211E3">
            <w:pPr>
              <w:rPr>
                <w:rFonts w:ascii="Arial" w:hAnsi="Arial" w:cs="Arial"/>
                <w:b w:val="0"/>
                <w:color w:val="auto"/>
                <w:sz w:val="18"/>
                <w:szCs w:val="18"/>
                <w:lang w:eastAsia="en-AU"/>
              </w:rPr>
            </w:pPr>
            <w:r w:rsidRPr="005E5430">
              <w:rPr>
                <w:rFonts w:ascii="Arial" w:hAnsi="Arial" w:cs="Arial"/>
                <w:b w:val="0"/>
                <w:color w:val="auto"/>
                <w:sz w:val="18"/>
                <w:szCs w:val="18"/>
                <w:lang w:eastAsia="en-AU"/>
              </w:rPr>
              <w:t>Buildings (leasehold improvements)</w:t>
            </w:r>
          </w:p>
        </w:tc>
        <w:tc>
          <w:tcPr>
            <w:tcW w:w="1701" w:type="dxa"/>
            <w:shd w:val="clear" w:color="auto" w:fill="auto"/>
          </w:tcPr>
          <w:p w14:paraId="513C14E4" w14:textId="77777777" w:rsidR="00A43992" w:rsidRPr="005E5430" w:rsidRDefault="00A43992" w:rsidP="007211E3">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ascii="Arial" w:hAnsi="Arial" w:cs="Arial"/>
                <w:bCs/>
                <w:color w:val="auto"/>
                <w:sz w:val="18"/>
                <w:szCs w:val="18"/>
                <w:lang w:eastAsia="en-AU"/>
              </w:rPr>
            </w:pPr>
            <w:r w:rsidRPr="005E5430">
              <w:rPr>
                <w:rFonts w:ascii="Arial" w:hAnsi="Arial" w:cs="Arial"/>
                <w:bCs/>
                <w:color w:val="auto"/>
                <w:sz w:val="18"/>
                <w:szCs w:val="18"/>
                <w:lang w:eastAsia="en-AU"/>
              </w:rPr>
              <w:t>Lesser of 10 years or the lease term</w:t>
            </w:r>
          </w:p>
        </w:tc>
      </w:tr>
    </w:tbl>
    <w:p w14:paraId="07A8386E" w14:textId="77777777" w:rsidR="00A43992" w:rsidRPr="005E5430" w:rsidRDefault="00A43992" w:rsidP="00A43992">
      <w:pPr>
        <w:rPr>
          <w:rFonts w:ascii="Arial" w:hAnsi="Arial" w:cs="Arial"/>
          <w:sz w:val="18"/>
          <w:szCs w:val="18"/>
          <w:lang w:eastAsia="en-AU"/>
        </w:rPr>
      </w:pPr>
    </w:p>
    <w:p w14:paraId="5B8991ED" w14:textId="16347789" w:rsidR="00A43992" w:rsidRPr="005E5430" w:rsidRDefault="00A43992" w:rsidP="00A43992">
      <w:pPr>
        <w:spacing w:line="240" w:lineRule="auto"/>
        <w:outlineLvl w:val="0"/>
        <w:rPr>
          <w:rFonts w:ascii="Arial" w:hAnsi="Arial" w:cs="Arial"/>
          <w:i/>
          <w:iCs/>
          <w:sz w:val="18"/>
          <w:szCs w:val="18"/>
          <w:u w:val="single"/>
          <w:lang w:eastAsia="en-AU"/>
        </w:rPr>
      </w:pPr>
      <w:r w:rsidRPr="005E5430">
        <w:rPr>
          <w:rFonts w:ascii="Arial" w:hAnsi="Arial" w:cs="Arial"/>
          <w:i/>
          <w:iCs/>
          <w:sz w:val="18"/>
          <w:szCs w:val="18"/>
          <w:u w:val="single"/>
          <w:lang w:eastAsia="en-AU"/>
        </w:rPr>
        <w:t>Impairment</w:t>
      </w:r>
    </w:p>
    <w:p w14:paraId="47B01341" w14:textId="77777777" w:rsidR="00A43992" w:rsidRPr="005E5430" w:rsidRDefault="00A43992" w:rsidP="00A43992">
      <w:pPr>
        <w:spacing w:line="240" w:lineRule="auto"/>
        <w:rPr>
          <w:rFonts w:ascii="Arial" w:hAnsi="Arial" w:cs="Arial"/>
          <w:sz w:val="18"/>
          <w:szCs w:val="18"/>
          <w:lang w:eastAsia="en-AU"/>
        </w:rPr>
      </w:pPr>
      <w:r w:rsidRPr="005E5430">
        <w:rPr>
          <w:rFonts w:ascii="Arial" w:hAnsi="Arial" w:cs="Arial"/>
          <w:sz w:val="18"/>
          <w:szCs w:val="18"/>
          <w:lang w:eastAsia="en-AU"/>
        </w:rPr>
        <w:t xml:space="preserve">All assets were assessed for impairment at </w:t>
      </w:r>
      <w:r>
        <w:rPr>
          <w:rFonts w:ascii="Arial" w:hAnsi="Arial" w:cs="Arial"/>
          <w:sz w:val="18"/>
          <w:szCs w:val="18"/>
          <w:lang w:eastAsia="en-AU"/>
        </w:rPr>
        <w:fldChar w:fldCharType="begin"/>
      </w:r>
      <w:r>
        <w:rPr>
          <w:rFonts w:ascii="Arial" w:hAnsi="Arial" w:cs="Arial"/>
          <w:sz w:val="18"/>
          <w:szCs w:val="18"/>
          <w:lang w:eastAsia="en-AU"/>
        </w:rPr>
        <w:instrText xml:space="preserve"> DOCPROPERTY  pEnd  \* MERGEFORMAT </w:instrText>
      </w:r>
      <w:r>
        <w:rPr>
          <w:rFonts w:ascii="Arial" w:hAnsi="Arial" w:cs="Arial"/>
          <w:sz w:val="18"/>
          <w:szCs w:val="18"/>
          <w:lang w:eastAsia="en-AU"/>
        </w:rPr>
        <w:fldChar w:fldCharType="separate"/>
      </w:r>
      <w:r w:rsidR="00F337D2" w:rsidRPr="00F337D2">
        <w:rPr>
          <w:rFonts w:ascii="Arial" w:hAnsi="Arial" w:cs="Arial"/>
          <w:b/>
          <w:bCs/>
          <w:sz w:val="18"/>
          <w:szCs w:val="18"/>
          <w:lang w:eastAsia="en-AU"/>
        </w:rPr>
        <w:t>30 June</w:t>
      </w:r>
      <w:r>
        <w:rPr>
          <w:rFonts w:ascii="Arial" w:hAnsi="Arial" w:cs="Arial"/>
          <w:sz w:val="18"/>
          <w:szCs w:val="18"/>
          <w:lang w:eastAsia="en-AU"/>
        </w:rPr>
        <w:fldChar w:fldCharType="end"/>
      </w:r>
      <w:r w:rsidRPr="005E5430">
        <w:rPr>
          <w:rFonts w:ascii="Arial" w:hAnsi="Arial" w:cs="Arial"/>
          <w:sz w:val="18"/>
          <w:szCs w:val="18"/>
          <w:lang w:eastAsia="en-AU"/>
        </w:rPr>
        <w:t xml:space="preserve"> </w:t>
      </w:r>
      <w:r>
        <w:rPr>
          <w:rFonts w:ascii="Arial" w:hAnsi="Arial" w:cs="Arial"/>
          <w:sz w:val="18"/>
          <w:szCs w:val="18"/>
          <w:lang w:eastAsia="en-AU"/>
        </w:rPr>
        <w:fldChar w:fldCharType="begin"/>
      </w:r>
      <w:r>
        <w:rPr>
          <w:rFonts w:ascii="Arial" w:hAnsi="Arial" w:cs="Arial"/>
          <w:sz w:val="18"/>
          <w:szCs w:val="18"/>
          <w:lang w:eastAsia="en-AU"/>
        </w:rPr>
        <w:instrText xml:space="preserve"> DOCPROPERTY  crYear  \* MERGEFORMAT </w:instrText>
      </w:r>
      <w:r>
        <w:rPr>
          <w:rFonts w:ascii="Arial" w:hAnsi="Arial" w:cs="Arial"/>
          <w:sz w:val="18"/>
          <w:szCs w:val="18"/>
          <w:lang w:eastAsia="en-AU"/>
        </w:rPr>
        <w:fldChar w:fldCharType="separate"/>
      </w:r>
      <w:r w:rsidR="00F337D2" w:rsidRPr="00F337D2">
        <w:rPr>
          <w:rFonts w:ascii="Arial" w:hAnsi="Arial" w:cs="Arial"/>
          <w:b/>
          <w:bCs/>
          <w:sz w:val="18"/>
          <w:szCs w:val="18"/>
          <w:lang w:eastAsia="en-AU"/>
        </w:rPr>
        <w:t>2016</w:t>
      </w:r>
      <w:r>
        <w:rPr>
          <w:rFonts w:ascii="Arial" w:hAnsi="Arial" w:cs="Arial"/>
          <w:sz w:val="18"/>
          <w:szCs w:val="18"/>
          <w:lang w:eastAsia="en-AU"/>
        </w:rPr>
        <w:fldChar w:fldCharType="end"/>
      </w:r>
      <w:r w:rsidRPr="005E5430">
        <w:rPr>
          <w:rFonts w:ascii="Arial" w:hAnsi="Arial" w:cs="Arial"/>
          <w:sz w:val="18"/>
          <w:szCs w:val="18"/>
          <w:lang w:eastAsia="en-AU"/>
        </w:rPr>
        <w:t xml:space="preserve">. Where indications of impairment exist, the asset’s recoverable amount is estimated and an impairment adjustment made if the asset’s recoverable amount is less than its carrying amount. The recoverable amount of an asset is the higher of its fair value less costs of disposal and its value in use. Value in use is the present value of the future cash flows expected to be derived from the asset. Where the future economic benefit of an asset is not primarily dependent on the asset’s ability to generate future cash flows, and the asset would be replaced if the </w:t>
      </w:r>
      <w:r>
        <w:rPr>
          <w:rFonts w:ascii="Arial" w:hAnsi="Arial" w:cs="Arial"/>
          <w:sz w:val="18"/>
          <w:szCs w:val="18"/>
          <w:lang w:eastAsia="en-AU"/>
        </w:rPr>
        <w:t>Agency</w:t>
      </w:r>
      <w:r w:rsidRPr="005E5430">
        <w:rPr>
          <w:rFonts w:ascii="Arial" w:hAnsi="Arial" w:cs="Arial"/>
          <w:sz w:val="18"/>
          <w:szCs w:val="18"/>
          <w:lang w:eastAsia="en-AU"/>
        </w:rPr>
        <w:t xml:space="preserve"> were deprived of the asset, its value in use is taken to be its depreciated replacement cost. </w:t>
      </w:r>
    </w:p>
    <w:p w14:paraId="48DF7C81" w14:textId="77777777" w:rsidR="00A43992" w:rsidRPr="005E5430" w:rsidRDefault="00A43992" w:rsidP="00A43992">
      <w:pPr>
        <w:spacing w:line="240" w:lineRule="auto"/>
        <w:rPr>
          <w:rFonts w:ascii="Arial" w:hAnsi="Arial" w:cs="Arial"/>
          <w:sz w:val="18"/>
          <w:szCs w:val="18"/>
          <w:lang w:eastAsia="en-AU"/>
        </w:rPr>
      </w:pPr>
    </w:p>
    <w:p w14:paraId="40B83D2D" w14:textId="695997E3" w:rsidR="00A43992" w:rsidRPr="005E5430" w:rsidRDefault="00A43992" w:rsidP="00A43992">
      <w:pPr>
        <w:spacing w:line="240" w:lineRule="auto"/>
        <w:outlineLvl w:val="0"/>
        <w:rPr>
          <w:rFonts w:ascii="Arial" w:hAnsi="Arial" w:cs="Arial"/>
          <w:i/>
          <w:iCs/>
          <w:sz w:val="18"/>
          <w:szCs w:val="18"/>
          <w:u w:val="single"/>
          <w:lang w:eastAsia="en-AU"/>
        </w:rPr>
      </w:pPr>
      <w:proofErr w:type="spellStart"/>
      <w:r w:rsidRPr="005E5430">
        <w:rPr>
          <w:rFonts w:ascii="Arial" w:hAnsi="Arial" w:cs="Arial"/>
          <w:i/>
          <w:iCs/>
          <w:sz w:val="18"/>
          <w:szCs w:val="18"/>
          <w:u w:val="single"/>
          <w:lang w:eastAsia="en-AU"/>
        </w:rPr>
        <w:t>Derecognition</w:t>
      </w:r>
      <w:proofErr w:type="spellEnd"/>
    </w:p>
    <w:p w14:paraId="770FB8CB" w14:textId="77777777" w:rsidR="00A43992" w:rsidRPr="005E5430" w:rsidRDefault="00A43992" w:rsidP="00A43992">
      <w:pPr>
        <w:autoSpaceDE w:val="0"/>
        <w:autoSpaceDN w:val="0"/>
        <w:adjustRightInd w:val="0"/>
        <w:spacing w:line="240" w:lineRule="auto"/>
        <w:rPr>
          <w:rFonts w:ascii="Arial" w:hAnsi="Arial" w:cs="Arial"/>
          <w:sz w:val="18"/>
          <w:szCs w:val="18"/>
          <w:lang w:eastAsia="en-AU"/>
        </w:rPr>
      </w:pPr>
      <w:r w:rsidRPr="005E5430">
        <w:rPr>
          <w:rFonts w:ascii="Arial" w:hAnsi="Arial" w:cs="Arial"/>
          <w:sz w:val="18"/>
          <w:szCs w:val="18"/>
        </w:rPr>
        <w:t xml:space="preserve">An item of property, plant and equipment is </w:t>
      </w:r>
      <w:proofErr w:type="spellStart"/>
      <w:r w:rsidRPr="005E5430">
        <w:rPr>
          <w:rFonts w:ascii="Arial" w:hAnsi="Arial" w:cs="Arial"/>
          <w:sz w:val="18"/>
          <w:szCs w:val="18"/>
        </w:rPr>
        <w:t>derecognised</w:t>
      </w:r>
      <w:proofErr w:type="spellEnd"/>
      <w:r w:rsidRPr="005E5430">
        <w:rPr>
          <w:rFonts w:ascii="Arial" w:hAnsi="Arial" w:cs="Arial"/>
          <w:sz w:val="18"/>
          <w:szCs w:val="18"/>
        </w:rPr>
        <w:t xml:space="preserve"> upon disposal or when no further future economic benefits are expected from its use or its disposal.</w:t>
      </w:r>
      <w:r>
        <w:rPr>
          <w:rFonts w:ascii="Arial" w:hAnsi="Arial" w:cs="Arial"/>
          <w:sz w:val="18"/>
          <w:szCs w:val="18"/>
        </w:rPr>
        <w:t xml:space="preserve"> Any gain or loss arising on disposal or retirement of an item of property, plant and equipment </w:t>
      </w:r>
      <w:r>
        <w:rPr>
          <w:rFonts w:ascii="Arial" w:hAnsi="Arial" w:cs="Arial"/>
          <w:sz w:val="18"/>
          <w:szCs w:val="18"/>
        </w:rPr>
        <w:lastRenderedPageBreak/>
        <w:t xml:space="preserve">is determined as the difference between the sales processed and the carrying amount of the asset and is </w:t>
      </w:r>
      <w:proofErr w:type="spellStart"/>
      <w:r>
        <w:rPr>
          <w:rFonts w:ascii="Arial" w:hAnsi="Arial" w:cs="Arial"/>
          <w:sz w:val="18"/>
          <w:szCs w:val="18"/>
        </w:rPr>
        <w:t>recognised</w:t>
      </w:r>
      <w:proofErr w:type="spellEnd"/>
      <w:r>
        <w:rPr>
          <w:rFonts w:ascii="Arial" w:hAnsi="Arial" w:cs="Arial"/>
          <w:sz w:val="18"/>
          <w:szCs w:val="18"/>
        </w:rPr>
        <w:t xml:space="preserve"> in profit or loss.</w:t>
      </w:r>
      <w:r w:rsidRPr="005E5430">
        <w:rPr>
          <w:rFonts w:ascii="Arial" w:hAnsi="Arial" w:cs="Arial"/>
          <w:sz w:val="18"/>
          <w:szCs w:val="18"/>
        </w:rPr>
        <w:t xml:space="preserve"> </w:t>
      </w:r>
    </w:p>
    <w:p w14:paraId="31312E98" w14:textId="77777777" w:rsidR="00A43992" w:rsidRPr="005E5430" w:rsidRDefault="00A43992" w:rsidP="00A43992">
      <w:pPr>
        <w:autoSpaceDE w:val="0"/>
        <w:autoSpaceDN w:val="0"/>
        <w:adjustRightInd w:val="0"/>
        <w:spacing w:line="240" w:lineRule="auto"/>
        <w:rPr>
          <w:rFonts w:ascii="Arial" w:hAnsi="Arial" w:cs="Arial"/>
          <w:sz w:val="18"/>
          <w:szCs w:val="18"/>
          <w:lang w:eastAsia="en-AU"/>
        </w:rPr>
      </w:pPr>
    </w:p>
    <w:p w14:paraId="46D557F5" w14:textId="6E45023D" w:rsidR="00A43992" w:rsidRPr="005E5430" w:rsidRDefault="00A43992" w:rsidP="00A43992">
      <w:pPr>
        <w:spacing w:line="240" w:lineRule="auto"/>
        <w:contextualSpacing/>
        <w:outlineLvl w:val="0"/>
        <w:rPr>
          <w:rFonts w:ascii="Arial" w:hAnsi="Arial" w:cs="Arial"/>
          <w:b/>
          <w:sz w:val="18"/>
          <w:szCs w:val="18"/>
          <w:lang w:eastAsia="en-AU"/>
        </w:rPr>
      </w:pPr>
      <w:r w:rsidRPr="007F568E">
        <w:rPr>
          <w:rFonts w:ascii="Arial" w:hAnsi="Arial" w:cs="Arial"/>
          <w:i/>
          <w:iCs/>
          <w:sz w:val="18"/>
          <w:szCs w:val="18"/>
          <w:u w:val="single"/>
          <w:lang w:eastAsia="en-AU"/>
        </w:rPr>
        <w:t>Intangibles</w:t>
      </w:r>
    </w:p>
    <w:p w14:paraId="019C2A93" w14:textId="77777777" w:rsidR="00A43992" w:rsidRPr="005E5430" w:rsidRDefault="00A43992" w:rsidP="00A43992">
      <w:pPr>
        <w:spacing w:line="240" w:lineRule="auto"/>
        <w:contextualSpacing/>
        <w:rPr>
          <w:rFonts w:ascii="Arial" w:hAnsi="Arial" w:cs="Arial"/>
          <w:sz w:val="18"/>
          <w:szCs w:val="18"/>
          <w:lang w:eastAsia="en-AU"/>
        </w:rPr>
      </w:pPr>
      <w:r>
        <w:rPr>
          <w:rFonts w:ascii="Arial" w:hAnsi="Arial" w:cs="Arial"/>
          <w:sz w:val="18"/>
          <w:szCs w:val="18"/>
          <w:lang w:eastAsia="en-AU"/>
        </w:rPr>
        <w:t>Agency</w:t>
      </w:r>
      <w:r w:rsidRPr="005E5430">
        <w:rPr>
          <w:rFonts w:ascii="Arial" w:hAnsi="Arial" w:cs="Arial"/>
          <w:sz w:val="18"/>
          <w:szCs w:val="18"/>
          <w:lang w:eastAsia="en-AU"/>
        </w:rPr>
        <w:t xml:space="preserve"> intangibles comprise internally developed software for internal use and purchased software.  These assets are carried at cost less accumulated </w:t>
      </w:r>
      <w:proofErr w:type="spellStart"/>
      <w:r w:rsidRPr="005E5430">
        <w:rPr>
          <w:rFonts w:ascii="Arial" w:hAnsi="Arial" w:cs="Arial"/>
          <w:sz w:val="18"/>
          <w:szCs w:val="18"/>
          <w:lang w:eastAsia="en-AU"/>
        </w:rPr>
        <w:t>amortisation</w:t>
      </w:r>
      <w:proofErr w:type="spellEnd"/>
      <w:r w:rsidRPr="005E5430">
        <w:rPr>
          <w:rFonts w:ascii="Arial" w:hAnsi="Arial" w:cs="Arial"/>
          <w:sz w:val="18"/>
          <w:szCs w:val="18"/>
          <w:lang w:eastAsia="en-AU"/>
        </w:rPr>
        <w:t xml:space="preserve"> and accumulated impairment losses. </w:t>
      </w:r>
      <w:r w:rsidRPr="005E5430">
        <w:rPr>
          <w:rFonts w:ascii="Arial" w:hAnsi="Arial" w:cs="Arial"/>
          <w:sz w:val="18"/>
          <w:szCs w:val="18"/>
          <w:lang w:eastAsia="en-AU"/>
        </w:rPr>
        <w:lastRenderedPageBreak/>
        <w:t xml:space="preserve">Software is </w:t>
      </w:r>
      <w:proofErr w:type="spellStart"/>
      <w:r w:rsidRPr="005E5430">
        <w:rPr>
          <w:rFonts w:ascii="Arial" w:hAnsi="Arial" w:cs="Arial"/>
          <w:sz w:val="18"/>
          <w:szCs w:val="18"/>
          <w:lang w:eastAsia="en-AU"/>
        </w:rPr>
        <w:t>amortised</w:t>
      </w:r>
      <w:proofErr w:type="spellEnd"/>
      <w:r w:rsidRPr="005E5430">
        <w:rPr>
          <w:rFonts w:ascii="Arial" w:hAnsi="Arial" w:cs="Arial"/>
          <w:sz w:val="18"/>
          <w:szCs w:val="18"/>
          <w:lang w:eastAsia="en-AU"/>
        </w:rPr>
        <w:t xml:space="preserve"> on a straight-line basis over its anticipated useful life. The useful lives of the Agency’s software range </w:t>
      </w:r>
      <w:r w:rsidRPr="00794791">
        <w:rPr>
          <w:rFonts w:ascii="Arial" w:hAnsi="Arial" w:cs="Arial"/>
          <w:sz w:val="18"/>
          <w:szCs w:val="18"/>
          <w:lang w:eastAsia="en-AU"/>
        </w:rPr>
        <w:t>between two and seven years (</w:t>
      </w:r>
      <w:r w:rsidRPr="005F1A12">
        <w:rPr>
          <w:rFonts w:ascii="Arial" w:hAnsi="Arial" w:cs="Arial"/>
          <w:sz w:val="18"/>
          <w:szCs w:val="18"/>
          <w:lang w:eastAsia="en-AU"/>
        </w:rPr>
        <w:t>2014</w:t>
      </w:r>
      <w:r>
        <w:rPr>
          <w:rFonts w:ascii="Arial" w:hAnsi="Arial" w:cs="Arial"/>
          <w:sz w:val="18"/>
          <w:szCs w:val="18"/>
          <w:lang w:eastAsia="en-AU"/>
        </w:rPr>
        <w:t>-</w:t>
      </w:r>
      <w:r w:rsidRPr="005F1A12">
        <w:rPr>
          <w:rFonts w:ascii="Arial" w:hAnsi="Arial" w:cs="Arial"/>
          <w:sz w:val="18"/>
          <w:szCs w:val="18"/>
          <w:lang w:eastAsia="en-AU"/>
        </w:rPr>
        <w:t>15:</w:t>
      </w:r>
      <w:r w:rsidRPr="00794791">
        <w:rPr>
          <w:rFonts w:ascii="Arial" w:hAnsi="Arial" w:cs="Arial"/>
          <w:sz w:val="18"/>
          <w:szCs w:val="18"/>
          <w:lang w:eastAsia="en-AU"/>
        </w:rPr>
        <w:t xml:space="preserve"> between</w:t>
      </w:r>
      <w:r w:rsidRPr="005E5430">
        <w:rPr>
          <w:rFonts w:ascii="Arial" w:hAnsi="Arial" w:cs="Arial"/>
          <w:sz w:val="18"/>
          <w:szCs w:val="18"/>
          <w:lang w:eastAsia="en-AU"/>
        </w:rPr>
        <w:t xml:space="preserve"> seven and ten years).</w:t>
      </w:r>
    </w:p>
    <w:p w14:paraId="5F19F156" w14:textId="77777777" w:rsidR="00A43992" w:rsidRPr="005E5430" w:rsidRDefault="00A43992" w:rsidP="00A43992">
      <w:pPr>
        <w:spacing w:line="240" w:lineRule="auto"/>
        <w:ind w:left="720"/>
        <w:contextualSpacing/>
        <w:rPr>
          <w:rFonts w:ascii="Arial" w:hAnsi="Arial" w:cs="Arial"/>
          <w:sz w:val="18"/>
          <w:szCs w:val="18"/>
          <w:lang w:eastAsia="en-AU"/>
        </w:rPr>
      </w:pPr>
    </w:p>
    <w:p w14:paraId="014C6955" w14:textId="77777777" w:rsidR="00A43992" w:rsidRDefault="00A43992" w:rsidP="00A43992">
      <w:pPr>
        <w:spacing w:line="240" w:lineRule="auto"/>
        <w:contextualSpacing/>
        <w:rPr>
          <w:rFonts w:ascii="Arial" w:hAnsi="Arial" w:cs="Arial"/>
          <w:sz w:val="18"/>
          <w:szCs w:val="18"/>
          <w:lang w:eastAsia="en-AU"/>
        </w:rPr>
      </w:pPr>
      <w:r w:rsidRPr="005E5430">
        <w:rPr>
          <w:rFonts w:ascii="Arial" w:hAnsi="Arial" w:cs="Arial"/>
          <w:sz w:val="18"/>
          <w:szCs w:val="18"/>
          <w:lang w:eastAsia="en-AU"/>
        </w:rPr>
        <w:t xml:space="preserve">All intangible assets were assessed for indications of impairment as at </w:t>
      </w:r>
      <w:r>
        <w:rPr>
          <w:rFonts w:ascii="Arial" w:hAnsi="Arial" w:cs="Arial"/>
          <w:sz w:val="18"/>
          <w:szCs w:val="18"/>
          <w:lang w:eastAsia="en-AU"/>
        </w:rPr>
        <w:fldChar w:fldCharType="begin"/>
      </w:r>
      <w:r>
        <w:rPr>
          <w:rFonts w:ascii="Arial" w:hAnsi="Arial" w:cs="Arial"/>
          <w:sz w:val="18"/>
          <w:szCs w:val="18"/>
          <w:lang w:eastAsia="en-AU"/>
        </w:rPr>
        <w:instrText xml:space="preserve"> DOCPROPERTY  pEnd  \* MERGEFORMAT </w:instrText>
      </w:r>
      <w:r>
        <w:rPr>
          <w:rFonts w:ascii="Arial" w:hAnsi="Arial" w:cs="Arial"/>
          <w:sz w:val="18"/>
          <w:szCs w:val="18"/>
          <w:lang w:eastAsia="en-AU"/>
        </w:rPr>
        <w:fldChar w:fldCharType="separate"/>
      </w:r>
      <w:r w:rsidR="00F337D2" w:rsidRPr="00F337D2">
        <w:rPr>
          <w:rFonts w:ascii="Arial" w:hAnsi="Arial" w:cs="Arial"/>
          <w:b/>
          <w:bCs/>
          <w:sz w:val="18"/>
          <w:szCs w:val="18"/>
          <w:lang w:eastAsia="en-AU"/>
        </w:rPr>
        <w:t>30 June</w:t>
      </w:r>
      <w:r>
        <w:rPr>
          <w:rFonts w:ascii="Arial" w:hAnsi="Arial" w:cs="Arial"/>
          <w:sz w:val="18"/>
          <w:szCs w:val="18"/>
          <w:lang w:eastAsia="en-AU"/>
        </w:rPr>
        <w:fldChar w:fldCharType="end"/>
      </w:r>
      <w:r>
        <w:rPr>
          <w:rFonts w:ascii="Arial" w:hAnsi="Arial" w:cs="Arial"/>
          <w:sz w:val="18"/>
          <w:szCs w:val="18"/>
          <w:lang w:eastAsia="en-AU"/>
        </w:rPr>
        <w:t xml:space="preserve"> </w:t>
      </w:r>
      <w:r>
        <w:rPr>
          <w:rFonts w:ascii="Arial" w:hAnsi="Arial" w:cs="Arial"/>
          <w:sz w:val="18"/>
          <w:szCs w:val="18"/>
          <w:lang w:eastAsia="en-AU"/>
        </w:rPr>
        <w:fldChar w:fldCharType="begin"/>
      </w:r>
      <w:r>
        <w:rPr>
          <w:rFonts w:ascii="Arial" w:hAnsi="Arial" w:cs="Arial"/>
          <w:sz w:val="18"/>
          <w:szCs w:val="18"/>
          <w:lang w:eastAsia="en-AU"/>
        </w:rPr>
        <w:instrText xml:space="preserve"> DOCPROPERTY  crYear  \* MERGEFORMAT </w:instrText>
      </w:r>
      <w:r>
        <w:rPr>
          <w:rFonts w:ascii="Arial" w:hAnsi="Arial" w:cs="Arial"/>
          <w:sz w:val="18"/>
          <w:szCs w:val="18"/>
          <w:lang w:eastAsia="en-AU"/>
        </w:rPr>
        <w:fldChar w:fldCharType="separate"/>
      </w:r>
      <w:r w:rsidR="00F337D2" w:rsidRPr="00F337D2">
        <w:rPr>
          <w:rFonts w:ascii="Arial" w:hAnsi="Arial" w:cs="Arial"/>
          <w:b/>
          <w:bCs/>
          <w:sz w:val="18"/>
          <w:szCs w:val="18"/>
          <w:lang w:eastAsia="en-AU"/>
        </w:rPr>
        <w:t>2016</w:t>
      </w:r>
      <w:r>
        <w:rPr>
          <w:rFonts w:ascii="Arial" w:hAnsi="Arial" w:cs="Arial"/>
          <w:sz w:val="18"/>
          <w:szCs w:val="18"/>
          <w:lang w:eastAsia="en-AU"/>
        </w:rPr>
        <w:fldChar w:fldCharType="end"/>
      </w:r>
      <w:r w:rsidRPr="005E5430">
        <w:rPr>
          <w:rFonts w:ascii="Arial" w:hAnsi="Arial" w:cs="Arial"/>
          <w:sz w:val="18"/>
          <w:szCs w:val="18"/>
          <w:lang w:eastAsia="en-AU"/>
        </w:rPr>
        <w:t>.</w:t>
      </w:r>
      <w:r>
        <w:rPr>
          <w:rFonts w:ascii="Arial" w:hAnsi="Arial" w:cs="Arial"/>
          <w:sz w:val="18"/>
          <w:szCs w:val="18"/>
          <w:lang w:eastAsia="en-AU"/>
        </w:rPr>
        <w:t xml:space="preserve"> See the footnote to table 2.2A above for further information.</w:t>
      </w:r>
    </w:p>
    <w:p w14:paraId="6B718ED5" w14:textId="77777777" w:rsidR="00A43992" w:rsidRDefault="00A43992" w:rsidP="00A43992">
      <w:pPr>
        <w:spacing w:line="240" w:lineRule="auto"/>
        <w:contextualSpacing/>
        <w:rPr>
          <w:rFonts w:ascii="Arial" w:hAnsi="Arial" w:cs="Arial"/>
          <w:sz w:val="18"/>
          <w:szCs w:val="18"/>
          <w:lang w:eastAsia="en-AU"/>
        </w:rPr>
      </w:pPr>
    </w:p>
    <w:p w14:paraId="7E8180FB" w14:textId="77777777" w:rsidR="00A43992" w:rsidRDefault="00A43992" w:rsidP="00A43992">
      <w:pPr>
        <w:spacing w:line="240" w:lineRule="auto"/>
        <w:contextualSpacing/>
        <w:rPr>
          <w:rFonts w:ascii="Arial" w:hAnsi="Arial" w:cs="Arial"/>
          <w:sz w:val="18"/>
          <w:szCs w:val="18"/>
          <w:lang w:eastAsia="en-AU"/>
        </w:rPr>
        <w:sectPr w:rsidR="00A43992" w:rsidSect="007211E3">
          <w:type w:val="continuous"/>
          <w:pgSz w:w="11906" w:h="16838" w:code="9"/>
          <w:pgMar w:top="1670" w:right="1134" w:bottom="1134" w:left="1134" w:header="958" w:footer="737" w:gutter="0"/>
          <w:cols w:num="2" w:space="708"/>
          <w:docGrid w:linePitch="360"/>
        </w:sectPr>
      </w:pPr>
    </w:p>
    <w:p w14:paraId="493E0F73" w14:textId="77777777" w:rsidR="00A43992" w:rsidRDefault="00A43992" w:rsidP="00A43992">
      <w:pPr>
        <w:spacing w:line="240" w:lineRule="auto"/>
        <w:sectPr w:rsidR="00A43992" w:rsidSect="007211E3">
          <w:type w:val="continuous"/>
          <w:pgSz w:w="11906" w:h="16838" w:code="9"/>
          <w:pgMar w:top="1670" w:right="1134" w:bottom="1134" w:left="1134" w:header="958" w:footer="737" w:gutter="0"/>
          <w:cols w:space="708"/>
          <w:docGrid w:linePitch="360"/>
        </w:sectPr>
      </w:pPr>
    </w:p>
    <w:tbl>
      <w:tblPr>
        <w:tblW w:w="13991" w:type="dxa"/>
        <w:tblInd w:w="80" w:type="dxa"/>
        <w:tblLayout w:type="fixed"/>
        <w:tblLook w:val="04A0" w:firstRow="1" w:lastRow="0" w:firstColumn="1" w:lastColumn="0" w:noHBand="0" w:noVBand="1"/>
      </w:tblPr>
      <w:tblGrid>
        <w:gridCol w:w="6601"/>
        <w:gridCol w:w="2089"/>
        <w:gridCol w:w="1767"/>
        <w:gridCol w:w="1767"/>
        <w:gridCol w:w="1767"/>
      </w:tblGrid>
      <w:tr w:rsidR="00A43992" w14:paraId="7002A6CF" w14:textId="77777777" w:rsidTr="007211E3">
        <w:trPr>
          <w:trHeight w:val="255"/>
        </w:trPr>
        <w:tc>
          <w:tcPr>
            <w:tcW w:w="10420" w:type="dxa"/>
            <w:gridSpan w:val="5"/>
            <w:tcBorders>
              <w:top w:val="nil"/>
              <w:left w:val="nil"/>
              <w:bottom w:val="nil"/>
              <w:right w:val="nil"/>
            </w:tcBorders>
            <w:shd w:val="clear" w:color="FFFFFF" w:fill="FFFFFF"/>
            <w:noWrap/>
            <w:vAlign w:val="bottom"/>
            <w:hideMark/>
          </w:tcPr>
          <w:p w14:paraId="6CE388C4" w14:textId="77777777" w:rsidR="00A43992" w:rsidRDefault="00A43992" w:rsidP="007211E3">
            <w:pPr>
              <w:rPr>
                <w:rFonts w:ascii="Arial" w:hAnsi="Arial" w:cs="Arial"/>
                <w:b/>
                <w:bCs/>
                <w:sz w:val="18"/>
                <w:szCs w:val="18"/>
                <w:u w:val="single"/>
              </w:rPr>
            </w:pPr>
            <w:bookmarkStart w:id="293" w:name="RANGE!E45:E64"/>
            <w:bookmarkStart w:id="294" w:name="Note_MTATABLE2" w:colFirst="0" w:colLast="0"/>
            <w:r>
              <w:rPr>
                <w:rFonts w:ascii="Arial" w:hAnsi="Arial" w:cs="Arial"/>
                <w:b/>
                <w:bCs/>
                <w:sz w:val="18"/>
                <w:szCs w:val="18"/>
                <w:u w:val="single"/>
              </w:rPr>
              <w:lastRenderedPageBreak/>
              <w:t>Note 2.2B: Reconciliation of the opening and closing balances of property, plant and equipment and intangibles for 2015</w:t>
            </w:r>
            <w:bookmarkEnd w:id="293"/>
          </w:p>
        </w:tc>
      </w:tr>
      <w:bookmarkEnd w:id="294"/>
      <w:tr w:rsidR="00A43992" w14:paraId="39835595" w14:textId="77777777" w:rsidTr="007211E3">
        <w:trPr>
          <w:trHeight w:val="255"/>
        </w:trPr>
        <w:tc>
          <w:tcPr>
            <w:tcW w:w="4916" w:type="dxa"/>
            <w:tcBorders>
              <w:top w:val="nil"/>
              <w:left w:val="nil"/>
              <w:bottom w:val="nil"/>
              <w:right w:val="nil"/>
            </w:tcBorders>
            <w:shd w:val="clear" w:color="FFFFFF" w:fill="FFFFFF"/>
            <w:noWrap/>
            <w:vAlign w:val="bottom"/>
            <w:hideMark/>
          </w:tcPr>
          <w:p w14:paraId="30C64AB6" w14:textId="77777777" w:rsidR="00A43992" w:rsidRDefault="00A43992" w:rsidP="007211E3">
            <w:pPr>
              <w:rPr>
                <w:rFonts w:ascii="Arial" w:hAnsi="Arial" w:cs="Arial"/>
                <w:sz w:val="18"/>
                <w:szCs w:val="18"/>
              </w:rPr>
            </w:pPr>
            <w:r>
              <w:rPr>
                <w:rFonts w:ascii="Arial" w:hAnsi="Arial" w:cs="Arial"/>
                <w:sz w:val="18"/>
                <w:szCs w:val="18"/>
              </w:rPr>
              <w:t> </w:t>
            </w:r>
          </w:p>
        </w:tc>
        <w:tc>
          <w:tcPr>
            <w:tcW w:w="1556" w:type="dxa"/>
            <w:tcBorders>
              <w:top w:val="nil"/>
              <w:left w:val="nil"/>
              <w:bottom w:val="nil"/>
              <w:right w:val="nil"/>
            </w:tcBorders>
            <w:shd w:val="clear" w:color="FFFFFF" w:fill="FFFFFF"/>
            <w:noWrap/>
            <w:vAlign w:val="bottom"/>
            <w:hideMark/>
          </w:tcPr>
          <w:p w14:paraId="422CF72B" w14:textId="77777777" w:rsidR="00A43992" w:rsidRDefault="00A43992" w:rsidP="007211E3">
            <w:pPr>
              <w:rPr>
                <w:rFonts w:ascii="Arial" w:hAnsi="Arial" w:cs="Arial"/>
                <w:sz w:val="18"/>
                <w:szCs w:val="18"/>
              </w:rPr>
            </w:pPr>
            <w:r>
              <w:rPr>
                <w:rFonts w:ascii="Arial" w:hAnsi="Arial" w:cs="Arial"/>
                <w:sz w:val="18"/>
                <w:szCs w:val="18"/>
              </w:rPr>
              <w:t> </w:t>
            </w:r>
          </w:p>
        </w:tc>
        <w:tc>
          <w:tcPr>
            <w:tcW w:w="1316" w:type="dxa"/>
            <w:tcBorders>
              <w:top w:val="nil"/>
              <w:left w:val="nil"/>
              <w:bottom w:val="nil"/>
              <w:right w:val="nil"/>
            </w:tcBorders>
            <w:shd w:val="clear" w:color="FFFFFF" w:fill="FFFFFF"/>
            <w:noWrap/>
            <w:vAlign w:val="bottom"/>
            <w:hideMark/>
          </w:tcPr>
          <w:p w14:paraId="5212F84C" w14:textId="77777777" w:rsidR="00A43992" w:rsidRDefault="00A43992" w:rsidP="007211E3">
            <w:pPr>
              <w:rPr>
                <w:rFonts w:ascii="Arial" w:hAnsi="Arial" w:cs="Arial"/>
                <w:sz w:val="18"/>
                <w:szCs w:val="18"/>
              </w:rPr>
            </w:pPr>
            <w:r>
              <w:rPr>
                <w:rFonts w:ascii="Arial" w:hAnsi="Arial" w:cs="Arial"/>
                <w:sz w:val="18"/>
                <w:szCs w:val="18"/>
              </w:rPr>
              <w:t> </w:t>
            </w:r>
          </w:p>
        </w:tc>
        <w:tc>
          <w:tcPr>
            <w:tcW w:w="1316" w:type="dxa"/>
            <w:tcBorders>
              <w:top w:val="nil"/>
              <w:left w:val="nil"/>
              <w:bottom w:val="nil"/>
              <w:right w:val="nil"/>
            </w:tcBorders>
            <w:shd w:val="clear" w:color="FFFFFF" w:fill="FFFFFF"/>
            <w:noWrap/>
            <w:vAlign w:val="bottom"/>
            <w:hideMark/>
          </w:tcPr>
          <w:p w14:paraId="3CCC66FB" w14:textId="77777777" w:rsidR="00A43992" w:rsidRDefault="00A43992" w:rsidP="007211E3">
            <w:pPr>
              <w:rPr>
                <w:rFonts w:ascii="Arial" w:hAnsi="Arial" w:cs="Arial"/>
                <w:sz w:val="18"/>
                <w:szCs w:val="18"/>
              </w:rPr>
            </w:pPr>
            <w:r>
              <w:rPr>
                <w:rFonts w:ascii="Arial" w:hAnsi="Arial" w:cs="Arial"/>
                <w:sz w:val="18"/>
                <w:szCs w:val="18"/>
              </w:rPr>
              <w:t> </w:t>
            </w:r>
          </w:p>
        </w:tc>
        <w:tc>
          <w:tcPr>
            <w:tcW w:w="1316" w:type="dxa"/>
            <w:tcBorders>
              <w:top w:val="nil"/>
              <w:left w:val="nil"/>
              <w:bottom w:val="nil"/>
              <w:right w:val="nil"/>
            </w:tcBorders>
            <w:shd w:val="clear" w:color="FFFFFF" w:fill="FFFFFF"/>
            <w:noWrap/>
            <w:vAlign w:val="bottom"/>
            <w:hideMark/>
          </w:tcPr>
          <w:p w14:paraId="08979031" w14:textId="77777777" w:rsidR="00A43992" w:rsidRDefault="00A43992" w:rsidP="007211E3">
            <w:pPr>
              <w:rPr>
                <w:rFonts w:ascii="Arial" w:hAnsi="Arial" w:cs="Arial"/>
                <w:sz w:val="18"/>
                <w:szCs w:val="18"/>
              </w:rPr>
            </w:pPr>
            <w:r>
              <w:rPr>
                <w:rFonts w:ascii="Arial" w:hAnsi="Arial" w:cs="Arial"/>
                <w:sz w:val="18"/>
                <w:szCs w:val="18"/>
              </w:rPr>
              <w:t> </w:t>
            </w:r>
          </w:p>
        </w:tc>
      </w:tr>
      <w:tr w:rsidR="00A43992" w14:paraId="7CD6E6A4" w14:textId="77777777" w:rsidTr="007211E3">
        <w:trPr>
          <w:trHeight w:val="960"/>
        </w:trPr>
        <w:tc>
          <w:tcPr>
            <w:tcW w:w="4916" w:type="dxa"/>
            <w:tcBorders>
              <w:top w:val="single" w:sz="4" w:space="0" w:color="auto"/>
              <w:left w:val="nil"/>
              <w:bottom w:val="nil"/>
              <w:right w:val="nil"/>
            </w:tcBorders>
            <w:shd w:val="clear" w:color="FFFFFF" w:fill="FFFFFF"/>
            <w:noWrap/>
            <w:vAlign w:val="bottom"/>
            <w:hideMark/>
          </w:tcPr>
          <w:p w14:paraId="7E770E4A" w14:textId="77777777" w:rsidR="00A43992" w:rsidRDefault="00A43992" w:rsidP="007211E3">
            <w:pPr>
              <w:rPr>
                <w:rFonts w:ascii="Arial" w:hAnsi="Arial" w:cs="Arial"/>
                <w:b/>
                <w:bCs/>
                <w:sz w:val="18"/>
                <w:szCs w:val="18"/>
              </w:rPr>
            </w:pPr>
            <w:r>
              <w:rPr>
                <w:rFonts w:ascii="Arial" w:hAnsi="Arial" w:cs="Arial"/>
                <w:b/>
                <w:bCs/>
                <w:sz w:val="18"/>
                <w:szCs w:val="18"/>
              </w:rPr>
              <w:t> </w:t>
            </w:r>
          </w:p>
        </w:tc>
        <w:tc>
          <w:tcPr>
            <w:tcW w:w="1556" w:type="dxa"/>
            <w:tcBorders>
              <w:top w:val="single" w:sz="4" w:space="0" w:color="auto"/>
              <w:left w:val="nil"/>
              <w:bottom w:val="nil"/>
              <w:right w:val="nil"/>
            </w:tcBorders>
            <w:shd w:val="clear" w:color="FFFFFF" w:fill="FFFFFF"/>
            <w:vAlign w:val="bottom"/>
            <w:hideMark/>
          </w:tcPr>
          <w:p w14:paraId="386C32EE" w14:textId="77777777" w:rsidR="00A43992" w:rsidRDefault="00A43992" w:rsidP="007211E3">
            <w:pPr>
              <w:jc w:val="right"/>
              <w:rPr>
                <w:rFonts w:ascii="Arial" w:hAnsi="Arial" w:cs="Arial"/>
                <w:sz w:val="18"/>
                <w:szCs w:val="18"/>
              </w:rPr>
            </w:pPr>
            <w:bookmarkStart w:id="295" w:name="RANGE!F47:H47"/>
            <w:r>
              <w:rPr>
                <w:rFonts w:ascii="Arial" w:hAnsi="Arial" w:cs="Arial"/>
                <w:sz w:val="18"/>
                <w:szCs w:val="18"/>
              </w:rPr>
              <w:t>Buildings (leasehold improvements)</w:t>
            </w:r>
            <w:bookmarkEnd w:id="295"/>
          </w:p>
        </w:tc>
        <w:tc>
          <w:tcPr>
            <w:tcW w:w="1316" w:type="dxa"/>
            <w:tcBorders>
              <w:top w:val="single" w:sz="4" w:space="0" w:color="auto"/>
              <w:left w:val="nil"/>
              <w:bottom w:val="nil"/>
              <w:right w:val="nil"/>
            </w:tcBorders>
            <w:shd w:val="clear" w:color="FFFFFF" w:fill="FFFFFF"/>
            <w:vAlign w:val="bottom"/>
            <w:hideMark/>
          </w:tcPr>
          <w:p w14:paraId="29EAACA7" w14:textId="77777777" w:rsidR="00A43992" w:rsidRDefault="00A43992" w:rsidP="007211E3">
            <w:pPr>
              <w:jc w:val="right"/>
              <w:rPr>
                <w:rFonts w:ascii="Arial" w:hAnsi="Arial" w:cs="Arial"/>
                <w:sz w:val="18"/>
                <w:szCs w:val="18"/>
              </w:rPr>
            </w:pPr>
            <w:r>
              <w:rPr>
                <w:rFonts w:ascii="Arial" w:hAnsi="Arial" w:cs="Arial"/>
                <w:sz w:val="18"/>
                <w:szCs w:val="18"/>
              </w:rPr>
              <w:t>Other property, plant &amp; equipment</w:t>
            </w:r>
          </w:p>
        </w:tc>
        <w:tc>
          <w:tcPr>
            <w:tcW w:w="1316" w:type="dxa"/>
            <w:tcBorders>
              <w:top w:val="single" w:sz="4" w:space="0" w:color="auto"/>
              <w:left w:val="nil"/>
              <w:bottom w:val="nil"/>
              <w:right w:val="nil"/>
            </w:tcBorders>
            <w:shd w:val="clear" w:color="FFFFFF" w:fill="FFFFFF"/>
            <w:vAlign w:val="bottom"/>
            <w:hideMark/>
          </w:tcPr>
          <w:p w14:paraId="2AEE547E" w14:textId="77777777" w:rsidR="00A43992" w:rsidRDefault="00A43992" w:rsidP="007211E3">
            <w:pPr>
              <w:jc w:val="right"/>
              <w:rPr>
                <w:rFonts w:ascii="Arial" w:hAnsi="Arial" w:cs="Arial"/>
                <w:sz w:val="18"/>
                <w:szCs w:val="18"/>
              </w:rPr>
            </w:pPr>
            <w:r>
              <w:rPr>
                <w:rFonts w:ascii="Arial" w:hAnsi="Arial" w:cs="Arial"/>
                <w:sz w:val="18"/>
                <w:szCs w:val="18"/>
              </w:rPr>
              <w:t>Computer  software internally developed</w:t>
            </w:r>
          </w:p>
        </w:tc>
        <w:tc>
          <w:tcPr>
            <w:tcW w:w="1316" w:type="dxa"/>
            <w:tcBorders>
              <w:top w:val="single" w:sz="4" w:space="0" w:color="auto"/>
              <w:left w:val="nil"/>
              <w:bottom w:val="nil"/>
              <w:right w:val="nil"/>
            </w:tcBorders>
            <w:shd w:val="clear" w:color="FFFFFF" w:fill="FFFFFF"/>
            <w:vAlign w:val="bottom"/>
            <w:hideMark/>
          </w:tcPr>
          <w:p w14:paraId="142C26BD" w14:textId="77777777" w:rsidR="00A43992" w:rsidRDefault="00A43992" w:rsidP="007211E3">
            <w:pPr>
              <w:jc w:val="right"/>
              <w:rPr>
                <w:rFonts w:ascii="Arial" w:hAnsi="Arial" w:cs="Arial"/>
                <w:sz w:val="18"/>
                <w:szCs w:val="18"/>
              </w:rPr>
            </w:pPr>
            <w:r>
              <w:rPr>
                <w:rFonts w:ascii="Arial" w:hAnsi="Arial" w:cs="Arial"/>
                <w:sz w:val="18"/>
                <w:szCs w:val="18"/>
              </w:rPr>
              <w:t>Total</w:t>
            </w:r>
          </w:p>
        </w:tc>
      </w:tr>
      <w:tr w:rsidR="00A43992" w14:paraId="4AFF6D2F" w14:textId="77777777" w:rsidTr="007211E3">
        <w:trPr>
          <w:trHeight w:val="255"/>
        </w:trPr>
        <w:tc>
          <w:tcPr>
            <w:tcW w:w="4916" w:type="dxa"/>
            <w:tcBorders>
              <w:top w:val="nil"/>
              <w:left w:val="nil"/>
              <w:bottom w:val="single" w:sz="4" w:space="0" w:color="auto"/>
              <w:right w:val="nil"/>
            </w:tcBorders>
            <w:shd w:val="clear" w:color="FFFFFF" w:fill="FFFFFF"/>
            <w:noWrap/>
            <w:vAlign w:val="bottom"/>
            <w:hideMark/>
          </w:tcPr>
          <w:p w14:paraId="5B5B1471" w14:textId="77777777" w:rsidR="00A43992" w:rsidRDefault="00A43992" w:rsidP="007211E3">
            <w:pPr>
              <w:rPr>
                <w:rFonts w:ascii="Arial" w:hAnsi="Arial" w:cs="Arial"/>
                <w:sz w:val="18"/>
                <w:szCs w:val="18"/>
              </w:rPr>
            </w:pPr>
            <w:r>
              <w:rPr>
                <w:rFonts w:ascii="Arial" w:hAnsi="Arial" w:cs="Arial"/>
                <w:sz w:val="18"/>
                <w:szCs w:val="18"/>
              </w:rPr>
              <w:t> </w:t>
            </w:r>
          </w:p>
        </w:tc>
        <w:tc>
          <w:tcPr>
            <w:tcW w:w="1556" w:type="dxa"/>
            <w:tcBorders>
              <w:top w:val="nil"/>
              <w:left w:val="nil"/>
              <w:bottom w:val="single" w:sz="4" w:space="0" w:color="auto"/>
              <w:right w:val="nil"/>
            </w:tcBorders>
            <w:shd w:val="clear" w:color="FFFFFF" w:fill="FFFFFF"/>
            <w:vAlign w:val="bottom"/>
            <w:hideMark/>
          </w:tcPr>
          <w:p w14:paraId="502C1E6C" w14:textId="77777777" w:rsidR="00A43992" w:rsidRDefault="00A43992" w:rsidP="007211E3">
            <w:pPr>
              <w:jc w:val="right"/>
              <w:rPr>
                <w:rFonts w:ascii="Arial" w:hAnsi="Arial" w:cs="Arial"/>
                <w:sz w:val="18"/>
                <w:szCs w:val="18"/>
              </w:rPr>
            </w:pPr>
            <w:r>
              <w:rPr>
                <w:rFonts w:ascii="Arial" w:hAnsi="Arial" w:cs="Arial"/>
                <w:sz w:val="18"/>
                <w:szCs w:val="18"/>
              </w:rPr>
              <w:t>$’000</w:t>
            </w:r>
          </w:p>
        </w:tc>
        <w:tc>
          <w:tcPr>
            <w:tcW w:w="1316" w:type="dxa"/>
            <w:tcBorders>
              <w:top w:val="nil"/>
              <w:left w:val="nil"/>
              <w:bottom w:val="single" w:sz="4" w:space="0" w:color="auto"/>
              <w:right w:val="nil"/>
            </w:tcBorders>
            <w:shd w:val="clear" w:color="FFFFFF" w:fill="FFFFFF"/>
            <w:vAlign w:val="bottom"/>
            <w:hideMark/>
          </w:tcPr>
          <w:p w14:paraId="4797FA3D" w14:textId="77777777" w:rsidR="00A43992" w:rsidRDefault="00A43992" w:rsidP="007211E3">
            <w:pPr>
              <w:jc w:val="right"/>
              <w:rPr>
                <w:rFonts w:ascii="Arial" w:hAnsi="Arial" w:cs="Arial"/>
                <w:sz w:val="18"/>
                <w:szCs w:val="18"/>
              </w:rPr>
            </w:pPr>
            <w:r>
              <w:rPr>
                <w:rFonts w:ascii="Arial" w:hAnsi="Arial" w:cs="Arial"/>
                <w:sz w:val="18"/>
                <w:szCs w:val="18"/>
              </w:rPr>
              <w:t>$’000</w:t>
            </w:r>
          </w:p>
        </w:tc>
        <w:tc>
          <w:tcPr>
            <w:tcW w:w="1316" w:type="dxa"/>
            <w:tcBorders>
              <w:top w:val="nil"/>
              <w:left w:val="nil"/>
              <w:bottom w:val="single" w:sz="4" w:space="0" w:color="auto"/>
              <w:right w:val="nil"/>
            </w:tcBorders>
            <w:shd w:val="clear" w:color="FFFFFF" w:fill="FFFFFF"/>
            <w:vAlign w:val="bottom"/>
            <w:hideMark/>
          </w:tcPr>
          <w:p w14:paraId="2C67CA4E" w14:textId="77777777" w:rsidR="00A43992" w:rsidRDefault="00A43992" w:rsidP="007211E3">
            <w:pPr>
              <w:jc w:val="right"/>
              <w:rPr>
                <w:rFonts w:ascii="Arial" w:hAnsi="Arial" w:cs="Arial"/>
                <w:sz w:val="18"/>
                <w:szCs w:val="18"/>
              </w:rPr>
            </w:pPr>
            <w:r>
              <w:rPr>
                <w:rFonts w:ascii="Arial" w:hAnsi="Arial" w:cs="Arial"/>
                <w:sz w:val="18"/>
                <w:szCs w:val="18"/>
              </w:rPr>
              <w:t>$’000</w:t>
            </w:r>
          </w:p>
        </w:tc>
        <w:tc>
          <w:tcPr>
            <w:tcW w:w="1316" w:type="dxa"/>
            <w:tcBorders>
              <w:top w:val="nil"/>
              <w:left w:val="nil"/>
              <w:bottom w:val="single" w:sz="4" w:space="0" w:color="auto"/>
              <w:right w:val="nil"/>
            </w:tcBorders>
            <w:shd w:val="clear" w:color="FFFFFF" w:fill="FFFFFF"/>
            <w:vAlign w:val="bottom"/>
            <w:hideMark/>
          </w:tcPr>
          <w:p w14:paraId="24C8EB81" w14:textId="77777777" w:rsidR="00A43992" w:rsidRDefault="00A43992" w:rsidP="007211E3">
            <w:pPr>
              <w:jc w:val="right"/>
              <w:rPr>
                <w:rFonts w:ascii="Arial" w:hAnsi="Arial" w:cs="Arial"/>
                <w:sz w:val="18"/>
                <w:szCs w:val="18"/>
              </w:rPr>
            </w:pPr>
            <w:r>
              <w:rPr>
                <w:rFonts w:ascii="Arial" w:hAnsi="Arial" w:cs="Arial"/>
                <w:sz w:val="18"/>
                <w:szCs w:val="18"/>
              </w:rPr>
              <w:t>$’000</w:t>
            </w:r>
          </w:p>
        </w:tc>
      </w:tr>
      <w:tr w:rsidR="00A43992" w14:paraId="07405BCB" w14:textId="77777777" w:rsidTr="007211E3">
        <w:trPr>
          <w:trHeight w:val="255"/>
        </w:trPr>
        <w:tc>
          <w:tcPr>
            <w:tcW w:w="4916" w:type="dxa"/>
            <w:tcBorders>
              <w:top w:val="nil"/>
              <w:left w:val="nil"/>
              <w:bottom w:val="nil"/>
              <w:right w:val="nil"/>
            </w:tcBorders>
            <w:shd w:val="clear" w:color="FFFFFF" w:fill="FFFFFF"/>
            <w:vAlign w:val="bottom"/>
            <w:hideMark/>
          </w:tcPr>
          <w:p w14:paraId="440C7C31" w14:textId="77777777" w:rsidR="00A43992" w:rsidRDefault="00A43992" w:rsidP="007211E3">
            <w:pPr>
              <w:rPr>
                <w:rFonts w:ascii="Arial" w:hAnsi="Arial" w:cs="Arial"/>
                <w:b/>
                <w:bCs/>
                <w:sz w:val="18"/>
                <w:szCs w:val="18"/>
              </w:rPr>
            </w:pPr>
            <w:r>
              <w:rPr>
                <w:rFonts w:ascii="Arial" w:hAnsi="Arial" w:cs="Arial"/>
                <w:b/>
                <w:bCs/>
                <w:sz w:val="18"/>
                <w:szCs w:val="18"/>
              </w:rPr>
              <w:t>As at 1 July 2014</w:t>
            </w:r>
          </w:p>
        </w:tc>
        <w:tc>
          <w:tcPr>
            <w:tcW w:w="1556" w:type="dxa"/>
            <w:tcBorders>
              <w:top w:val="nil"/>
              <w:left w:val="nil"/>
              <w:bottom w:val="nil"/>
              <w:right w:val="nil"/>
            </w:tcBorders>
            <w:shd w:val="clear" w:color="FFFFFF" w:fill="FFFFFF"/>
            <w:noWrap/>
            <w:vAlign w:val="bottom"/>
            <w:hideMark/>
          </w:tcPr>
          <w:p w14:paraId="2E052EA8" w14:textId="77777777" w:rsidR="00A43992" w:rsidRDefault="00A43992" w:rsidP="007211E3">
            <w:pPr>
              <w:rPr>
                <w:rFonts w:ascii="Arial" w:hAnsi="Arial" w:cs="Arial"/>
                <w:sz w:val="18"/>
                <w:szCs w:val="18"/>
              </w:rPr>
            </w:pPr>
            <w:r>
              <w:rPr>
                <w:rFonts w:ascii="Arial" w:hAnsi="Arial" w:cs="Arial"/>
                <w:sz w:val="18"/>
                <w:szCs w:val="18"/>
              </w:rPr>
              <w:t> </w:t>
            </w:r>
          </w:p>
        </w:tc>
        <w:tc>
          <w:tcPr>
            <w:tcW w:w="1316" w:type="dxa"/>
            <w:tcBorders>
              <w:top w:val="nil"/>
              <w:left w:val="nil"/>
              <w:bottom w:val="nil"/>
              <w:right w:val="nil"/>
            </w:tcBorders>
            <w:shd w:val="clear" w:color="FFFFFF" w:fill="FFFFFF"/>
            <w:noWrap/>
            <w:vAlign w:val="bottom"/>
            <w:hideMark/>
          </w:tcPr>
          <w:p w14:paraId="17DBA81E" w14:textId="77777777" w:rsidR="00A43992" w:rsidRDefault="00A43992" w:rsidP="007211E3">
            <w:pPr>
              <w:rPr>
                <w:rFonts w:ascii="Arial" w:hAnsi="Arial" w:cs="Arial"/>
                <w:sz w:val="18"/>
                <w:szCs w:val="18"/>
              </w:rPr>
            </w:pPr>
            <w:r>
              <w:rPr>
                <w:rFonts w:ascii="Arial" w:hAnsi="Arial" w:cs="Arial"/>
                <w:sz w:val="18"/>
                <w:szCs w:val="18"/>
              </w:rPr>
              <w:t> </w:t>
            </w:r>
          </w:p>
        </w:tc>
        <w:tc>
          <w:tcPr>
            <w:tcW w:w="1316" w:type="dxa"/>
            <w:tcBorders>
              <w:top w:val="nil"/>
              <w:left w:val="nil"/>
              <w:bottom w:val="nil"/>
              <w:right w:val="nil"/>
            </w:tcBorders>
            <w:shd w:val="clear" w:color="FFFFFF" w:fill="FFFFFF"/>
            <w:noWrap/>
            <w:vAlign w:val="bottom"/>
            <w:hideMark/>
          </w:tcPr>
          <w:p w14:paraId="60CD4C81" w14:textId="77777777" w:rsidR="00A43992" w:rsidRDefault="00A43992" w:rsidP="007211E3">
            <w:pPr>
              <w:rPr>
                <w:rFonts w:ascii="Arial" w:hAnsi="Arial" w:cs="Arial"/>
                <w:sz w:val="18"/>
                <w:szCs w:val="18"/>
              </w:rPr>
            </w:pPr>
            <w:r>
              <w:rPr>
                <w:rFonts w:ascii="Arial" w:hAnsi="Arial" w:cs="Arial"/>
                <w:sz w:val="18"/>
                <w:szCs w:val="18"/>
              </w:rPr>
              <w:t> </w:t>
            </w:r>
          </w:p>
        </w:tc>
        <w:tc>
          <w:tcPr>
            <w:tcW w:w="1316" w:type="dxa"/>
            <w:tcBorders>
              <w:top w:val="nil"/>
              <w:left w:val="nil"/>
              <w:bottom w:val="nil"/>
              <w:right w:val="nil"/>
            </w:tcBorders>
            <w:shd w:val="clear" w:color="FFFFFF" w:fill="FFFFFF"/>
            <w:noWrap/>
            <w:vAlign w:val="bottom"/>
            <w:hideMark/>
          </w:tcPr>
          <w:p w14:paraId="3EFCE740" w14:textId="77777777" w:rsidR="00A43992" w:rsidRDefault="00A43992" w:rsidP="007211E3">
            <w:pPr>
              <w:rPr>
                <w:rFonts w:ascii="Arial" w:hAnsi="Arial" w:cs="Arial"/>
                <w:b/>
                <w:bCs/>
                <w:sz w:val="18"/>
                <w:szCs w:val="18"/>
              </w:rPr>
            </w:pPr>
            <w:r>
              <w:rPr>
                <w:rFonts w:ascii="Arial" w:hAnsi="Arial" w:cs="Arial"/>
                <w:b/>
                <w:bCs/>
                <w:sz w:val="18"/>
                <w:szCs w:val="18"/>
              </w:rPr>
              <w:t> </w:t>
            </w:r>
          </w:p>
        </w:tc>
      </w:tr>
      <w:tr w:rsidR="00A43992" w14:paraId="6B8EB5DF" w14:textId="77777777" w:rsidTr="007211E3">
        <w:trPr>
          <w:trHeight w:val="255"/>
        </w:trPr>
        <w:tc>
          <w:tcPr>
            <w:tcW w:w="4916" w:type="dxa"/>
            <w:tcBorders>
              <w:top w:val="nil"/>
              <w:left w:val="nil"/>
              <w:bottom w:val="nil"/>
              <w:right w:val="nil"/>
            </w:tcBorders>
            <w:shd w:val="clear" w:color="FFFFFF" w:fill="FFFFFF"/>
            <w:vAlign w:val="bottom"/>
            <w:hideMark/>
          </w:tcPr>
          <w:p w14:paraId="4B0E308B" w14:textId="77777777" w:rsidR="00A43992" w:rsidRDefault="00A43992" w:rsidP="007211E3">
            <w:pPr>
              <w:rPr>
                <w:rFonts w:ascii="Arial" w:hAnsi="Arial" w:cs="Arial"/>
                <w:sz w:val="18"/>
                <w:szCs w:val="18"/>
              </w:rPr>
            </w:pPr>
            <w:r>
              <w:rPr>
                <w:rFonts w:ascii="Arial" w:hAnsi="Arial" w:cs="Arial"/>
                <w:sz w:val="18"/>
                <w:szCs w:val="18"/>
              </w:rPr>
              <w:t>Gross book value</w:t>
            </w:r>
          </w:p>
        </w:tc>
        <w:tc>
          <w:tcPr>
            <w:tcW w:w="1556" w:type="dxa"/>
            <w:tcBorders>
              <w:top w:val="nil"/>
              <w:left w:val="nil"/>
              <w:bottom w:val="nil"/>
              <w:right w:val="nil"/>
            </w:tcBorders>
            <w:shd w:val="clear" w:color="FFFFFF" w:fill="FFFFFF"/>
            <w:noWrap/>
            <w:vAlign w:val="bottom"/>
            <w:hideMark/>
          </w:tcPr>
          <w:p w14:paraId="7A692E5E" w14:textId="77777777" w:rsidR="00A43992" w:rsidRDefault="00A43992" w:rsidP="007211E3">
            <w:pPr>
              <w:jc w:val="right"/>
              <w:rPr>
                <w:rFonts w:ascii="Arial" w:hAnsi="Arial" w:cs="Arial"/>
                <w:sz w:val="18"/>
                <w:szCs w:val="18"/>
              </w:rPr>
            </w:pPr>
            <w:r>
              <w:rPr>
                <w:rFonts w:ascii="Arial" w:hAnsi="Arial" w:cs="Arial"/>
                <w:sz w:val="18"/>
                <w:szCs w:val="18"/>
              </w:rPr>
              <w:t>24,659</w:t>
            </w:r>
          </w:p>
        </w:tc>
        <w:tc>
          <w:tcPr>
            <w:tcW w:w="1316" w:type="dxa"/>
            <w:tcBorders>
              <w:top w:val="nil"/>
              <w:left w:val="nil"/>
              <w:bottom w:val="nil"/>
              <w:right w:val="nil"/>
            </w:tcBorders>
            <w:shd w:val="clear" w:color="FFFFFF" w:fill="FFFFFF"/>
            <w:noWrap/>
            <w:vAlign w:val="bottom"/>
            <w:hideMark/>
          </w:tcPr>
          <w:p w14:paraId="3024BF3D" w14:textId="77777777" w:rsidR="00A43992" w:rsidRDefault="00A43992" w:rsidP="007211E3">
            <w:pPr>
              <w:jc w:val="right"/>
              <w:rPr>
                <w:rFonts w:ascii="Arial" w:hAnsi="Arial" w:cs="Arial"/>
                <w:sz w:val="18"/>
                <w:szCs w:val="18"/>
              </w:rPr>
            </w:pPr>
            <w:r>
              <w:rPr>
                <w:rFonts w:ascii="Arial" w:hAnsi="Arial" w:cs="Arial"/>
                <w:sz w:val="18"/>
                <w:szCs w:val="18"/>
              </w:rPr>
              <w:t>1,137</w:t>
            </w:r>
          </w:p>
        </w:tc>
        <w:tc>
          <w:tcPr>
            <w:tcW w:w="1316" w:type="dxa"/>
            <w:tcBorders>
              <w:top w:val="nil"/>
              <w:left w:val="nil"/>
              <w:bottom w:val="nil"/>
              <w:right w:val="nil"/>
            </w:tcBorders>
            <w:shd w:val="clear" w:color="FFFFFF" w:fill="FFFFFF"/>
            <w:noWrap/>
            <w:vAlign w:val="bottom"/>
            <w:hideMark/>
          </w:tcPr>
          <w:p w14:paraId="0CC96101" w14:textId="77777777" w:rsidR="00A43992" w:rsidRDefault="00A43992" w:rsidP="007211E3">
            <w:pPr>
              <w:jc w:val="right"/>
              <w:rPr>
                <w:rFonts w:ascii="Arial" w:hAnsi="Arial" w:cs="Arial"/>
                <w:sz w:val="18"/>
                <w:szCs w:val="18"/>
              </w:rPr>
            </w:pPr>
            <w:r>
              <w:rPr>
                <w:rFonts w:ascii="Arial" w:hAnsi="Arial" w:cs="Arial"/>
                <w:sz w:val="18"/>
                <w:szCs w:val="18"/>
              </w:rPr>
              <w:t xml:space="preserve">277 </w:t>
            </w:r>
          </w:p>
        </w:tc>
        <w:tc>
          <w:tcPr>
            <w:tcW w:w="1316" w:type="dxa"/>
            <w:tcBorders>
              <w:top w:val="nil"/>
              <w:left w:val="nil"/>
              <w:bottom w:val="nil"/>
              <w:right w:val="nil"/>
            </w:tcBorders>
            <w:shd w:val="clear" w:color="FFFFFF" w:fill="FFFFFF"/>
            <w:noWrap/>
            <w:vAlign w:val="bottom"/>
            <w:hideMark/>
          </w:tcPr>
          <w:p w14:paraId="249B0EAD" w14:textId="77777777" w:rsidR="00A43992" w:rsidRDefault="00A43992" w:rsidP="007211E3">
            <w:pPr>
              <w:jc w:val="right"/>
              <w:rPr>
                <w:rFonts w:ascii="Arial" w:hAnsi="Arial" w:cs="Arial"/>
                <w:sz w:val="18"/>
                <w:szCs w:val="18"/>
              </w:rPr>
            </w:pPr>
            <w:r>
              <w:rPr>
                <w:rFonts w:ascii="Arial" w:hAnsi="Arial" w:cs="Arial"/>
                <w:sz w:val="18"/>
                <w:szCs w:val="18"/>
              </w:rPr>
              <w:t>26,073</w:t>
            </w:r>
          </w:p>
        </w:tc>
      </w:tr>
      <w:tr w:rsidR="00A43992" w14:paraId="1B88C56D" w14:textId="77777777" w:rsidTr="007211E3">
        <w:trPr>
          <w:trHeight w:val="255"/>
        </w:trPr>
        <w:tc>
          <w:tcPr>
            <w:tcW w:w="4916" w:type="dxa"/>
            <w:tcBorders>
              <w:top w:val="nil"/>
              <w:left w:val="nil"/>
              <w:bottom w:val="nil"/>
              <w:right w:val="nil"/>
            </w:tcBorders>
            <w:shd w:val="clear" w:color="FFFFFF" w:fill="FFFFFF"/>
            <w:vAlign w:val="bottom"/>
            <w:hideMark/>
          </w:tcPr>
          <w:p w14:paraId="5CE42099" w14:textId="77777777" w:rsidR="00A43992" w:rsidRDefault="00A43992" w:rsidP="007211E3">
            <w:pPr>
              <w:rPr>
                <w:rFonts w:ascii="Arial" w:hAnsi="Arial" w:cs="Arial"/>
                <w:sz w:val="18"/>
                <w:szCs w:val="18"/>
              </w:rPr>
            </w:pPr>
            <w:r>
              <w:rPr>
                <w:rFonts w:ascii="Arial" w:hAnsi="Arial" w:cs="Arial"/>
                <w:sz w:val="18"/>
                <w:szCs w:val="18"/>
              </w:rPr>
              <w:t>Accumulated depreciation and impairment</w:t>
            </w:r>
          </w:p>
        </w:tc>
        <w:tc>
          <w:tcPr>
            <w:tcW w:w="1556" w:type="dxa"/>
            <w:tcBorders>
              <w:top w:val="nil"/>
              <w:left w:val="nil"/>
              <w:bottom w:val="nil"/>
              <w:right w:val="nil"/>
            </w:tcBorders>
            <w:shd w:val="clear" w:color="FFFFFF" w:fill="FFFFFF"/>
            <w:noWrap/>
            <w:vAlign w:val="bottom"/>
            <w:hideMark/>
          </w:tcPr>
          <w:p w14:paraId="36C37FB3" w14:textId="77777777" w:rsidR="00A43992" w:rsidRDefault="00A43992" w:rsidP="007211E3">
            <w:pPr>
              <w:jc w:val="right"/>
              <w:rPr>
                <w:rFonts w:ascii="Arial" w:hAnsi="Arial" w:cs="Arial"/>
                <w:sz w:val="18"/>
                <w:szCs w:val="18"/>
              </w:rPr>
            </w:pPr>
            <w:r>
              <w:rPr>
                <w:rFonts w:ascii="Arial" w:hAnsi="Arial" w:cs="Arial"/>
                <w:sz w:val="18"/>
                <w:szCs w:val="18"/>
              </w:rPr>
              <w:t>(4,198)</w:t>
            </w:r>
          </w:p>
        </w:tc>
        <w:tc>
          <w:tcPr>
            <w:tcW w:w="1316" w:type="dxa"/>
            <w:tcBorders>
              <w:top w:val="nil"/>
              <w:left w:val="nil"/>
              <w:bottom w:val="nil"/>
              <w:right w:val="nil"/>
            </w:tcBorders>
            <w:shd w:val="clear" w:color="FFFFFF" w:fill="FFFFFF"/>
            <w:noWrap/>
            <w:vAlign w:val="bottom"/>
            <w:hideMark/>
          </w:tcPr>
          <w:p w14:paraId="0506C202" w14:textId="77777777" w:rsidR="00A43992" w:rsidRDefault="00A43992" w:rsidP="007211E3">
            <w:pPr>
              <w:jc w:val="right"/>
              <w:rPr>
                <w:rFonts w:ascii="Arial" w:hAnsi="Arial" w:cs="Arial"/>
                <w:sz w:val="18"/>
                <w:szCs w:val="18"/>
              </w:rPr>
            </w:pPr>
            <w:r>
              <w:rPr>
                <w:rFonts w:ascii="Arial" w:hAnsi="Arial" w:cs="Arial"/>
                <w:sz w:val="18"/>
                <w:szCs w:val="18"/>
              </w:rPr>
              <w:t>(240)</w:t>
            </w:r>
          </w:p>
        </w:tc>
        <w:tc>
          <w:tcPr>
            <w:tcW w:w="1316" w:type="dxa"/>
            <w:tcBorders>
              <w:top w:val="nil"/>
              <w:left w:val="nil"/>
              <w:bottom w:val="nil"/>
              <w:right w:val="nil"/>
            </w:tcBorders>
            <w:shd w:val="clear" w:color="FFFFFF" w:fill="FFFFFF"/>
            <w:noWrap/>
            <w:vAlign w:val="bottom"/>
            <w:hideMark/>
          </w:tcPr>
          <w:p w14:paraId="6F4D813E" w14:textId="77777777" w:rsidR="00A43992" w:rsidRDefault="00A43992" w:rsidP="007211E3">
            <w:pPr>
              <w:jc w:val="right"/>
              <w:rPr>
                <w:rFonts w:ascii="Arial" w:hAnsi="Arial" w:cs="Arial"/>
                <w:sz w:val="18"/>
                <w:szCs w:val="18"/>
              </w:rPr>
            </w:pPr>
            <w:r>
              <w:rPr>
                <w:rFonts w:ascii="Arial" w:hAnsi="Arial" w:cs="Arial"/>
                <w:sz w:val="18"/>
                <w:szCs w:val="18"/>
              </w:rPr>
              <w:t xml:space="preserve"> -</w:t>
            </w:r>
          </w:p>
        </w:tc>
        <w:tc>
          <w:tcPr>
            <w:tcW w:w="1316" w:type="dxa"/>
            <w:tcBorders>
              <w:top w:val="nil"/>
              <w:left w:val="nil"/>
              <w:bottom w:val="nil"/>
              <w:right w:val="nil"/>
            </w:tcBorders>
            <w:shd w:val="clear" w:color="FFFFFF" w:fill="FFFFFF"/>
            <w:noWrap/>
            <w:vAlign w:val="bottom"/>
            <w:hideMark/>
          </w:tcPr>
          <w:p w14:paraId="0B642269" w14:textId="77777777" w:rsidR="00A43992" w:rsidRDefault="00A43992" w:rsidP="007211E3">
            <w:pPr>
              <w:jc w:val="right"/>
              <w:rPr>
                <w:rFonts w:ascii="Arial" w:hAnsi="Arial" w:cs="Arial"/>
                <w:sz w:val="18"/>
                <w:szCs w:val="18"/>
              </w:rPr>
            </w:pPr>
            <w:r>
              <w:rPr>
                <w:rFonts w:ascii="Arial" w:hAnsi="Arial" w:cs="Arial"/>
                <w:sz w:val="18"/>
                <w:szCs w:val="18"/>
              </w:rPr>
              <w:t>(4,438)</w:t>
            </w:r>
          </w:p>
        </w:tc>
      </w:tr>
      <w:tr w:rsidR="00A43992" w14:paraId="0710E021" w14:textId="77777777" w:rsidTr="007211E3">
        <w:trPr>
          <w:trHeight w:val="255"/>
        </w:trPr>
        <w:tc>
          <w:tcPr>
            <w:tcW w:w="4916" w:type="dxa"/>
            <w:tcBorders>
              <w:top w:val="single" w:sz="4" w:space="0" w:color="auto"/>
              <w:left w:val="nil"/>
              <w:bottom w:val="single" w:sz="4" w:space="0" w:color="auto"/>
              <w:right w:val="nil"/>
            </w:tcBorders>
            <w:shd w:val="clear" w:color="FFFFFF" w:fill="FFFFFF"/>
            <w:vAlign w:val="bottom"/>
            <w:hideMark/>
          </w:tcPr>
          <w:p w14:paraId="690AB1AC" w14:textId="77777777" w:rsidR="00A43992" w:rsidRDefault="00A43992" w:rsidP="007211E3">
            <w:pPr>
              <w:rPr>
                <w:rFonts w:ascii="Arial" w:hAnsi="Arial" w:cs="Arial"/>
                <w:b/>
                <w:bCs/>
                <w:sz w:val="18"/>
                <w:szCs w:val="18"/>
              </w:rPr>
            </w:pPr>
            <w:r>
              <w:rPr>
                <w:rFonts w:ascii="Arial" w:hAnsi="Arial" w:cs="Arial"/>
                <w:b/>
                <w:bCs/>
                <w:sz w:val="18"/>
                <w:szCs w:val="18"/>
              </w:rPr>
              <w:t>Net book value 1 July 2014</w:t>
            </w:r>
          </w:p>
        </w:tc>
        <w:tc>
          <w:tcPr>
            <w:tcW w:w="1556" w:type="dxa"/>
            <w:tcBorders>
              <w:top w:val="single" w:sz="4" w:space="0" w:color="auto"/>
              <w:left w:val="nil"/>
              <w:bottom w:val="single" w:sz="4" w:space="0" w:color="auto"/>
              <w:right w:val="nil"/>
            </w:tcBorders>
            <w:shd w:val="clear" w:color="FFFFFF" w:fill="FFFFFF"/>
            <w:noWrap/>
            <w:vAlign w:val="bottom"/>
            <w:hideMark/>
          </w:tcPr>
          <w:p w14:paraId="5A4F13D6" w14:textId="77777777" w:rsidR="00A43992" w:rsidRDefault="00A43992" w:rsidP="007211E3">
            <w:pPr>
              <w:jc w:val="right"/>
              <w:rPr>
                <w:rFonts w:ascii="Arial" w:hAnsi="Arial" w:cs="Arial"/>
                <w:sz w:val="18"/>
                <w:szCs w:val="18"/>
              </w:rPr>
            </w:pPr>
            <w:r>
              <w:rPr>
                <w:rFonts w:ascii="Arial" w:hAnsi="Arial" w:cs="Arial"/>
                <w:sz w:val="18"/>
                <w:szCs w:val="18"/>
              </w:rPr>
              <w:t>20,461</w:t>
            </w:r>
          </w:p>
        </w:tc>
        <w:tc>
          <w:tcPr>
            <w:tcW w:w="1316" w:type="dxa"/>
            <w:tcBorders>
              <w:top w:val="single" w:sz="4" w:space="0" w:color="auto"/>
              <w:left w:val="nil"/>
              <w:bottom w:val="single" w:sz="4" w:space="0" w:color="auto"/>
              <w:right w:val="nil"/>
            </w:tcBorders>
            <w:shd w:val="clear" w:color="FFFFFF" w:fill="FFFFFF"/>
            <w:noWrap/>
            <w:vAlign w:val="bottom"/>
            <w:hideMark/>
          </w:tcPr>
          <w:p w14:paraId="26B8D85A" w14:textId="77777777" w:rsidR="00A43992" w:rsidRDefault="00A43992" w:rsidP="007211E3">
            <w:pPr>
              <w:jc w:val="right"/>
              <w:rPr>
                <w:rFonts w:ascii="Arial" w:hAnsi="Arial" w:cs="Arial"/>
                <w:sz w:val="18"/>
                <w:szCs w:val="18"/>
              </w:rPr>
            </w:pPr>
            <w:r>
              <w:rPr>
                <w:rFonts w:ascii="Arial" w:hAnsi="Arial" w:cs="Arial"/>
                <w:sz w:val="18"/>
                <w:szCs w:val="18"/>
              </w:rPr>
              <w:t>897</w:t>
            </w:r>
          </w:p>
        </w:tc>
        <w:tc>
          <w:tcPr>
            <w:tcW w:w="1316" w:type="dxa"/>
            <w:tcBorders>
              <w:top w:val="single" w:sz="4" w:space="0" w:color="auto"/>
              <w:left w:val="nil"/>
              <w:bottom w:val="single" w:sz="4" w:space="0" w:color="auto"/>
              <w:right w:val="nil"/>
            </w:tcBorders>
            <w:shd w:val="clear" w:color="FFFFFF" w:fill="FFFFFF"/>
            <w:noWrap/>
            <w:vAlign w:val="bottom"/>
            <w:hideMark/>
          </w:tcPr>
          <w:p w14:paraId="1C50C5D8" w14:textId="77777777" w:rsidR="00A43992" w:rsidRDefault="00A43992" w:rsidP="007211E3">
            <w:pPr>
              <w:jc w:val="right"/>
              <w:rPr>
                <w:rFonts w:ascii="Arial" w:hAnsi="Arial" w:cs="Arial"/>
                <w:sz w:val="18"/>
                <w:szCs w:val="18"/>
              </w:rPr>
            </w:pPr>
            <w:r>
              <w:rPr>
                <w:rFonts w:ascii="Arial" w:hAnsi="Arial" w:cs="Arial"/>
                <w:sz w:val="18"/>
                <w:szCs w:val="18"/>
              </w:rPr>
              <w:t>277</w:t>
            </w:r>
          </w:p>
        </w:tc>
        <w:tc>
          <w:tcPr>
            <w:tcW w:w="1316" w:type="dxa"/>
            <w:tcBorders>
              <w:top w:val="single" w:sz="4" w:space="0" w:color="auto"/>
              <w:left w:val="nil"/>
              <w:bottom w:val="single" w:sz="4" w:space="0" w:color="auto"/>
              <w:right w:val="nil"/>
            </w:tcBorders>
            <w:shd w:val="clear" w:color="FFFFFF" w:fill="FFFFFF"/>
            <w:noWrap/>
            <w:vAlign w:val="bottom"/>
            <w:hideMark/>
          </w:tcPr>
          <w:p w14:paraId="61C2BE71" w14:textId="77777777" w:rsidR="00A43992" w:rsidRDefault="00A43992" w:rsidP="007211E3">
            <w:pPr>
              <w:jc w:val="right"/>
              <w:rPr>
                <w:rFonts w:ascii="Arial" w:hAnsi="Arial" w:cs="Arial"/>
                <w:sz w:val="18"/>
                <w:szCs w:val="18"/>
              </w:rPr>
            </w:pPr>
            <w:r>
              <w:rPr>
                <w:rFonts w:ascii="Arial" w:hAnsi="Arial" w:cs="Arial"/>
                <w:sz w:val="18"/>
                <w:szCs w:val="18"/>
              </w:rPr>
              <w:t>21,635</w:t>
            </w:r>
          </w:p>
        </w:tc>
      </w:tr>
      <w:tr w:rsidR="00A43992" w14:paraId="45A92009" w14:textId="77777777" w:rsidTr="007211E3">
        <w:trPr>
          <w:trHeight w:val="255"/>
        </w:trPr>
        <w:tc>
          <w:tcPr>
            <w:tcW w:w="4916" w:type="dxa"/>
            <w:tcBorders>
              <w:top w:val="nil"/>
              <w:left w:val="nil"/>
              <w:bottom w:val="nil"/>
              <w:right w:val="nil"/>
            </w:tcBorders>
            <w:shd w:val="clear" w:color="FFFFFF" w:fill="FFFFFF"/>
            <w:vAlign w:val="bottom"/>
            <w:hideMark/>
          </w:tcPr>
          <w:p w14:paraId="2D72F4C2" w14:textId="77777777" w:rsidR="00A43992" w:rsidRDefault="00A43992" w:rsidP="007211E3">
            <w:pPr>
              <w:rPr>
                <w:rFonts w:ascii="Arial" w:hAnsi="Arial" w:cs="Arial"/>
                <w:sz w:val="18"/>
                <w:szCs w:val="18"/>
              </w:rPr>
            </w:pPr>
            <w:r>
              <w:rPr>
                <w:rFonts w:ascii="Arial" w:hAnsi="Arial" w:cs="Arial"/>
                <w:sz w:val="18"/>
                <w:szCs w:val="18"/>
              </w:rPr>
              <w:t>Additions:</w:t>
            </w:r>
          </w:p>
        </w:tc>
        <w:tc>
          <w:tcPr>
            <w:tcW w:w="1556" w:type="dxa"/>
            <w:tcBorders>
              <w:top w:val="nil"/>
              <w:left w:val="nil"/>
              <w:bottom w:val="nil"/>
              <w:right w:val="nil"/>
            </w:tcBorders>
            <w:shd w:val="clear" w:color="FFFFFF" w:fill="FFFFFF"/>
            <w:noWrap/>
            <w:vAlign w:val="bottom"/>
            <w:hideMark/>
          </w:tcPr>
          <w:p w14:paraId="2E2474BE" w14:textId="77777777" w:rsidR="00A43992" w:rsidRDefault="00A43992" w:rsidP="007211E3">
            <w:pPr>
              <w:rPr>
                <w:rFonts w:ascii="Arial" w:hAnsi="Arial" w:cs="Arial"/>
                <w:sz w:val="18"/>
                <w:szCs w:val="18"/>
              </w:rPr>
            </w:pPr>
            <w:r>
              <w:rPr>
                <w:rFonts w:ascii="Arial" w:hAnsi="Arial" w:cs="Arial"/>
                <w:sz w:val="18"/>
                <w:szCs w:val="18"/>
              </w:rPr>
              <w:t> </w:t>
            </w:r>
          </w:p>
        </w:tc>
        <w:tc>
          <w:tcPr>
            <w:tcW w:w="1316" w:type="dxa"/>
            <w:tcBorders>
              <w:top w:val="nil"/>
              <w:left w:val="nil"/>
              <w:bottom w:val="nil"/>
              <w:right w:val="nil"/>
            </w:tcBorders>
            <w:shd w:val="clear" w:color="FFFFFF" w:fill="FFFFFF"/>
            <w:noWrap/>
            <w:vAlign w:val="bottom"/>
            <w:hideMark/>
          </w:tcPr>
          <w:p w14:paraId="479F74B0" w14:textId="77777777" w:rsidR="00A43992" w:rsidRDefault="00A43992" w:rsidP="007211E3">
            <w:pPr>
              <w:rPr>
                <w:rFonts w:ascii="Arial" w:hAnsi="Arial" w:cs="Arial"/>
                <w:sz w:val="18"/>
                <w:szCs w:val="18"/>
              </w:rPr>
            </w:pPr>
            <w:r>
              <w:rPr>
                <w:rFonts w:ascii="Arial" w:hAnsi="Arial" w:cs="Arial"/>
                <w:sz w:val="18"/>
                <w:szCs w:val="18"/>
              </w:rPr>
              <w:t> </w:t>
            </w:r>
          </w:p>
        </w:tc>
        <w:tc>
          <w:tcPr>
            <w:tcW w:w="1316" w:type="dxa"/>
            <w:tcBorders>
              <w:top w:val="nil"/>
              <w:left w:val="nil"/>
              <w:bottom w:val="nil"/>
              <w:right w:val="nil"/>
            </w:tcBorders>
            <w:shd w:val="clear" w:color="FFFFFF" w:fill="FFFFFF"/>
            <w:noWrap/>
            <w:vAlign w:val="bottom"/>
            <w:hideMark/>
          </w:tcPr>
          <w:p w14:paraId="4B4C71B5" w14:textId="77777777" w:rsidR="00A43992" w:rsidRDefault="00A43992" w:rsidP="007211E3">
            <w:pPr>
              <w:rPr>
                <w:rFonts w:ascii="Arial" w:hAnsi="Arial" w:cs="Arial"/>
                <w:sz w:val="18"/>
                <w:szCs w:val="18"/>
              </w:rPr>
            </w:pPr>
            <w:r>
              <w:rPr>
                <w:rFonts w:ascii="Arial" w:hAnsi="Arial" w:cs="Arial"/>
                <w:sz w:val="18"/>
                <w:szCs w:val="18"/>
              </w:rPr>
              <w:t> </w:t>
            </w:r>
          </w:p>
        </w:tc>
        <w:tc>
          <w:tcPr>
            <w:tcW w:w="1316" w:type="dxa"/>
            <w:tcBorders>
              <w:top w:val="nil"/>
              <w:left w:val="nil"/>
              <w:bottom w:val="nil"/>
              <w:right w:val="nil"/>
            </w:tcBorders>
            <w:shd w:val="clear" w:color="FFFFFF" w:fill="FFFFFF"/>
            <w:noWrap/>
            <w:vAlign w:val="bottom"/>
            <w:hideMark/>
          </w:tcPr>
          <w:p w14:paraId="4EB30A90" w14:textId="77777777" w:rsidR="00A43992" w:rsidRDefault="00A43992" w:rsidP="007211E3">
            <w:pPr>
              <w:jc w:val="right"/>
              <w:rPr>
                <w:rFonts w:ascii="Arial" w:hAnsi="Arial" w:cs="Arial"/>
                <w:sz w:val="18"/>
                <w:szCs w:val="18"/>
              </w:rPr>
            </w:pPr>
            <w:r>
              <w:rPr>
                <w:rFonts w:ascii="Arial" w:hAnsi="Arial" w:cs="Arial"/>
                <w:sz w:val="18"/>
                <w:szCs w:val="18"/>
              </w:rPr>
              <w:t> </w:t>
            </w:r>
          </w:p>
        </w:tc>
      </w:tr>
      <w:tr w:rsidR="00A43992" w14:paraId="3BE76CCD" w14:textId="77777777" w:rsidTr="007211E3">
        <w:trPr>
          <w:trHeight w:val="255"/>
        </w:trPr>
        <w:tc>
          <w:tcPr>
            <w:tcW w:w="4916" w:type="dxa"/>
            <w:tcBorders>
              <w:top w:val="nil"/>
              <w:left w:val="nil"/>
              <w:bottom w:val="nil"/>
              <w:right w:val="nil"/>
            </w:tcBorders>
            <w:shd w:val="clear" w:color="FFFFFF" w:fill="FFFFFF"/>
            <w:vAlign w:val="bottom"/>
            <w:hideMark/>
          </w:tcPr>
          <w:p w14:paraId="043EDE6D" w14:textId="77777777" w:rsidR="00A43992" w:rsidRDefault="00A43992" w:rsidP="007211E3">
            <w:pPr>
              <w:ind w:firstLineChars="100" w:firstLine="180"/>
              <w:rPr>
                <w:rFonts w:ascii="Arial" w:hAnsi="Arial" w:cs="Arial"/>
                <w:sz w:val="18"/>
                <w:szCs w:val="18"/>
              </w:rPr>
            </w:pPr>
            <w:r>
              <w:rPr>
                <w:rFonts w:ascii="Arial" w:hAnsi="Arial" w:cs="Arial"/>
                <w:sz w:val="18"/>
                <w:szCs w:val="18"/>
              </w:rPr>
              <w:t>By purchase</w:t>
            </w:r>
          </w:p>
        </w:tc>
        <w:tc>
          <w:tcPr>
            <w:tcW w:w="1556" w:type="dxa"/>
            <w:tcBorders>
              <w:top w:val="nil"/>
              <w:left w:val="nil"/>
              <w:bottom w:val="nil"/>
              <w:right w:val="nil"/>
            </w:tcBorders>
            <w:shd w:val="clear" w:color="FFFFFF" w:fill="FFFFFF"/>
            <w:noWrap/>
            <w:vAlign w:val="bottom"/>
            <w:hideMark/>
          </w:tcPr>
          <w:p w14:paraId="7AE7B750" w14:textId="77777777" w:rsidR="00A43992" w:rsidRDefault="00A43992" w:rsidP="007211E3">
            <w:pPr>
              <w:jc w:val="right"/>
              <w:rPr>
                <w:rFonts w:ascii="Arial" w:hAnsi="Arial" w:cs="Arial"/>
                <w:sz w:val="18"/>
                <w:szCs w:val="18"/>
              </w:rPr>
            </w:pPr>
            <w:r>
              <w:rPr>
                <w:rFonts w:ascii="Arial" w:hAnsi="Arial" w:cs="Arial"/>
                <w:sz w:val="18"/>
                <w:szCs w:val="18"/>
              </w:rPr>
              <w:t xml:space="preserve">13,088 </w:t>
            </w:r>
          </w:p>
        </w:tc>
        <w:tc>
          <w:tcPr>
            <w:tcW w:w="1316" w:type="dxa"/>
            <w:tcBorders>
              <w:top w:val="nil"/>
              <w:left w:val="nil"/>
              <w:bottom w:val="nil"/>
              <w:right w:val="nil"/>
            </w:tcBorders>
            <w:shd w:val="clear" w:color="FFFFFF" w:fill="FFFFFF"/>
            <w:noWrap/>
            <w:vAlign w:val="bottom"/>
            <w:hideMark/>
          </w:tcPr>
          <w:p w14:paraId="26706F5A" w14:textId="77777777" w:rsidR="00A43992" w:rsidRDefault="00A43992" w:rsidP="007211E3">
            <w:pPr>
              <w:jc w:val="right"/>
              <w:rPr>
                <w:rFonts w:ascii="Arial" w:hAnsi="Arial" w:cs="Arial"/>
                <w:sz w:val="18"/>
                <w:szCs w:val="18"/>
              </w:rPr>
            </w:pPr>
            <w:r>
              <w:rPr>
                <w:rFonts w:ascii="Arial" w:hAnsi="Arial" w:cs="Arial"/>
                <w:sz w:val="18"/>
                <w:szCs w:val="18"/>
              </w:rPr>
              <w:t xml:space="preserve">1,179 </w:t>
            </w:r>
          </w:p>
        </w:tc>
        <w:tc>
          <w:tcPr>
            <w:tcW w:w="1316" w:type="dxa"/>
            <w:tcBorders>
              <w:top w:val="nil"/>
              <w:left w:val="nil"/>
              <w:bottom w:val="nil"/>
              <w:right w:val="nil"/>
            </w:tcBorders>
            <w:shd w:val="clear" w:color="FFFFFF" w:fill="FFFFFF"/>
            <w:noWrap/>
            <w:vAlign w:val="bottom"/>
            <w:hideMark/>
          </w:tcPr>
          <w:p w14:paraId="426C89C4" w14:textId="77777777" w:rsidR="00A43992" w:rsidRDefault="00A43992" w:rsidP="007211E3">
            <w:pPr>
              <w:jc w:val="right"/>
              <w:rPr>
                <w:rFonts w:ascii="Arial" w:hAnsi="Arial" w:cs="Arial"/>
                <w:sz w:val="18"/>
                <w:szCs w:val="18"/>
              </w:rPr>
            </w:pPr>
            <w:r>
              <w:rPr>
                <w:rFonts w:ascii="Arial" w:hAnsi="Arial" w:cs="Arial"/>
                <w:sz w:val="18"/>
                <w:szCs w:val="18"/>
              </w:rPr>
              <w:t xml:space="preserve">3,278 </w:t>
            </w:r>
          </w:p>
        </w:tc>
        <w:tc>
          <w:tcPr>
            <w:tcW w:w="1316" w:type="dxa"/>
            <w:tcBorders>
              <w:top w:val="nil"/>
              <w:left w:val="nil"/>
              <w:bottom w:val="nil"/>
              <w:right w:val="nil"/>
            </w:tcBorders>
            <w:shd w:val="clear" w:color="FFFFFF" w:fill="FFFFFF"/>
            <w:noWrap/>
            <w:vAlign w:val="bottom"/>
            <w:hideMark/>
          </w:tcPr>
          <w:p w14:paraId="58EDF546" w14:textId="77777777" w:rsidR="00A43992" w:rsidRDefault="00A43992" w:rsidP="007211E3">
            <w:pPr>
              <w:jc w:val="right"/>
              <w:rPr>
                <w:rFonts w:ascii="Arial" w:hAnsi="Arial" w:cs="Arial"/>
                <w:sz w:val="18"/>
                <w:szCs w:val="18"/>
              </w:rPr>
            </w:pPr>
            <w:r>
              <w:rPr>
                <w:rFonts w:ascii="Arial" w:hAnsi="Arial" w:cs="Arial"/>
                <w:sz w:val="18"/>
                <w:szCs w:val="18"/>
              </w:rPr>
              <w:t>17,545</w:t>
            </w:r>
          </w:p>
        </w:tc>
      </w:tr>
      <w:tr w:rsidR="00A43992" w14:paraId="1131614F" w14:textId="77777777" w:rsidTr="007211E3">
        <w:trPr>
          <w:trHeight w:val="255"/>
        </w:trPr>
        <w:tc>
          <w:tcPr>
            <w:tcW w:w="4916" w:type="dxa"/>
            <w:tcBorders>
              <w:top w:val="nil"/>
              <w:left w:val="nil"/>
              <w:bottom w:val="nil"/>
              <w:right w:val="nil"/>
            </w:tcBorders>
            <w:shd w:val="clear" w:color="FFFFFF" w:fill="FFFFFF"/>
            <w:vAlign w:val="bottom"/>
            <w:hideMark/>
          </w:tcPr>
          <w:p w14:paraId="3845BD4E" w14:textId="77777777" w:rsidR="00A43992" w:rsidRDefault="00A43992" w:rsidP="007211E3">
            <w:pPr>
              <w:ind w:firstLineChars="100" w:firstLine="180"/>
              <w:rPr>
                <w:rFonts w:ascii="Arial" w:hAnsi="Arial" w:cs="Arial"/>
                <w:sz w:val="18"/>
                <w:szCs w:val="18"/>
              </w:rPr>
            </w:pPr>
            <w:r>
              <w:rPr>
                <w:rFonts w:ascii="Arial" w:hAnsi="Arial" w:cs="Arial"/>
                <w:sz w:val="18"/>
                <w:szCs w:val="18"/>
              </w:rPr>
              <w:t>Assets first found</w:t>
            </w:r>
          </w:p>
        </w:tc>
        <w:tc>
          <w:tcPr>
            <w:tcW w:w="1556" w:type="dxa"/>
            <w:tcBorders>
              <w:top w:val="nil"/>
              <w:left w:val="nil"/>
              <w:bottom w:val="nil"/>
              <w:right w:val="nil"/>
            </w:tcBorders>
            <w:shd w:val="clear" w:color="FFFFFF" w:fill="FFFFFF"/>
            <w:noWrap/>
            <w:vAlign w:val="bottom"/>
            <w:hideMark/>
          </w:tcPr>
          <w:p w14:paraId="667C2217" w14:textId="77777777" w:rsidR="00A43992" w:rsidRDefault="00A43992" w:rsidP="007211E3">
            <w:pPr>
              <w:jc w:val="right"/>
              <w:rPr>
                <w:rFonts w:ascii="Arial" w:hAnsi="Arial" w:cs="Arial"/>
                <w:sz w:val="18"/>
                <w:szCs w:val="18"/>
              </w:rPr>
            </w:pPr>
            <w:r>
              <w:rPr>
                <w:rFonts w:ascii="Arial" w:hAnsi="Arial" w:cs="Arial"/>
                <w:sz w:val="18"/>
                <w:szCs w:val="18"/>
              </w:rPr>
              <w:t xml:space="preserve"> -</w:t>
            </w:r>
          </w:p>
        </w:tc>
        <w:tc>
          <w:tcPr>
            <w:tcW w:w="1316" w:type="dxa"/>
            <w:tcBorders>
              <w:top w:val="nil"/>
              <w:left w:val="nil"/>
              <w:bottom w:val="nil"/>
              <w:right w:val="nil"/>
            </w:tcBorders>
            <w:shd w:val="clear" w:color="FFFFFF" w:fill="FFFFFF"/>
            <w:noWrap/>
            <w:vAlign w:val="bottom"/>
            <w:hideMark/>
          </w:tcPr>
          <w:p w14:paraId="4334B482" w14:textId="77777777" w:rsidR="00A43992" w:rsidRDefault="00A43992" w:rsidP="007211E3">
            <w:pPr>
              <w:jc w:val="right"/>
              <w:rPr>
                <w:rFonts w:ascii="Arial" w:hAnsi="Arial" w:cs="Arial"/>
                <w:sz w:val="18"/>
                <w:szCs w:val="18"/>
              </w:rPr>
            </w:pPr>
            <w:r>
              <w:rPr>
                <w:rFonts w:ascii="Arial" w:hAnsi="Arial" w:cs="Arial"/>
                <w:sz w:val="18"/>
                <w:szCs w:val="18"/>
              </w:rPr>
              <w:t xml:space="preserve">206 </w:t>
            </w:r>
          </w:p>
        </w:tc>
        <w:tc>
          <w:tcPr>
            <w:tcW w:w="1316" w:type="dxa"/>
            <w:tcBorders>
              <w:top w:val="nil"/>
              <w:left w:val="nil"/>
              <w:bottom w:val="nil"/>
              <w:right w:val="nil"/>
            </w:tcBorders>
            <w:shd w:val="clear" w:color="FFFFFF" w:fill="FFFFFF"/>
            <w:noWrap/>
            <w:vAlign w:val="bottom"/>
            <w:hideMark/>
          </w:tcPr>
          <w:p w14:paraId="57FDA522" w14:textId="77777777" w:rsidR="00A43992" w:rsidRDefault="00A43992" w:rsidP="007211E3">
            <w:pPr>
              <w:jc w:val="right"/>
              <w:rPr>
                <w:rFonts w:ascii="Arial" w:hAnsi="Arial" w:cs="Arial"/>
                <w:sz w:val="18"/>
                <w:szCs w:val="18"/>
              </w:rPr>
            </w:pPr>
            <w:r>
              <w:rPr>
                <w:rFonts w:ascii="Arial" w:hAnsi="Arial" w:cs="Arial"/>
                <w:sz w:val="18"/>
                <w:szCs w:val="18"/>
              </w:rPr>
              <w:t xml:space="preserve"> -</w:t>
            </w:r>
          </w:p>
        </w:tc>
        <w:tc>
          <w:tcPr>
            <w:tcW w:w="1316" w:type="dxa"/>
            <w:tcBorders>
              <w:top w:val="nil"/>
              <w:left w:val="nil"/>
              <w:bottom w:val="nil"/>
              <w:right w:val="nil"/>
            </w:tcBorders>
            <w:shd w:val="clear" w:color="FFFFFF" w:fill="FFFFFF"/>
            <w:noWrap/>
            <w:vAlign w:val="bottom"/>
            <w:hideMark/>
          </w:tcPr>
          <w:p w14:paraId="38B4F540" w14:textId="77777777" w:rsidR="00A43992" w:rsidRDefault="00A43992" w:rsidP="007211E3">
            <w:pPr>
              <w:jc w:val="right"/>
              <w:rPr>
                <w:rFonts w:ascii="Arial" w:hAnsi="Arial" w:cs="Arial"/>
                <w:sz w:val="18"/>
                <w:szCs w:val="18"/>
              </w:rPr>
            </w:pPr>
            <w:r>
              <w:rPr>
                <w:rFonts w:ascii="Arial" w:hAnsi="Arial" w:cs="Arial"/>
                <w:sz w:val="18"/>
                <w:szCs w:val="18"/>
              </w:rPr>
              <w:t>206</w:t>
            </w:r>
          </w:p>
        </w:tc>
      </w:tr>
      <w:tr w:rsidR="00A43992" w14:paraId="6E24B9E4" w14:textId="77777777" w:rsidTr="007211E3">
        <w:trPr>
          <w:trHeight w:val="255"/>
        </w:trPr>
        <w:tc>
          <w:tcPr>
            <w:tcW w:w="4916" w:type="dxa"/>
            <w:tcBorders>
              <w:top w:val="nil"/>
              <w:left w:val="nil"/>
              <w:bottom w:val="nil"/>
              <w:right w:val="nil"/>
            </w:tcBorders>
            <w:shd w:val="clear" w:color="FFFFFF" w:fill="FFFFFF"/>
            <w:vAlign w:val="bottom"/>
            <w:hideMark/>
          </w:tcPr>
          <w:p w14:paraId="2E6ECAFF" w14:textId="77777777" w:rsidR="00A43992" w:rsidRDefault="00A43992" w:rsidP="007211E3">
            <w:pPr>
              <w:rPr>
                <w:rFonts w:ascii="Arial" w:hAnsi="Arial" w:cs="Arial"/>
                <w:sz w:val="18"/>
                <w:szCs w:val="18"/>
              </w:rPr>
            </w:pPr>
            <w:r>
              <w:rPr>
                <w:rFonts w:ascii="Arial" w:hAnsi="Arial" w:cs="Arial"/>
                <w:sz w:val="18"/>
                <w:szCs w:val="18"/>
              </w:rPr>
              <w:t xml:space="preserve">Depreciation and </w:t>
            </w:r>
            <w:proofErr w:type="spellStart"/>
            <w:r>
              <w:rPr>
                <w:rFonts w:ascii="Arial" w:hAnsi="Arial" w:cs="Arial"/>
                <w:sz w:val="18"/>
                <w:szCs w:val="18"/>
              </w:rPr>
              <w:t>amortisation</w:t>
            </w:r>
            <w:proofErr w:type="spellEnd"/>
            <w:r>
              <w:rPr>
                <w:rFonts w:ascii="Arial" w:hAnsi="Arial" w:cs="Arial"/>
                <w:sz w:val="18"/>
                <w:szCs w:val="18"/>
              </w:rPr>
              <w:t xml:space="preserve"> expense</w:t>
            </w:r>
          </w:p>
        </w:tc>
        <w:tc>
          <w:tcPr>
            <w:tcW w:w="1556" w:type="dxa"/>
            <w:tcBorders>
              <w:top w:val="nil"/>
              <w:left w:val="nil"/>
              <w:bottom w:val="nil"/>
              <w:right w:val="nil"/>
            </w:tcBorders>
            <w:shd w:val="clear" w:color="FFFFFF" w:fill="FFFFFF"/>
            <w:noWrap/>
            <w:vAlign w:val="bottom"/>
            <w:hideMark/>
          </w:tcPr>
          <w:p w14:paraId="6B6E746C" w14:textId="77777777" w:rsidR="00A43992" w:rsidRDefault="00A43992" w:rsidP="007211E3">
            <w:pPr>
              <w:jc w:val="right"/>
              <w:rPr>
                <w:rFonts w:ascii="Arial" w:hAnsi="Arial" w:cs="Arial"/>
                <w:sz w:val="18"/>
                <w:szCs w:val="18"/>
              </w:rPr>
            </w:pPr>
            <w:r>
              <w:rPr>
                <w:rFonts w:ascii="Arial" w:hAnsi="Arial" w:cs="Arial"/>
                <w:sz w:val="18"/>
                <w:szCs w:val="18"/>
              </w:rPr>
              <w:t>(7,086)</w:t>
            </w:r>
          </w:p>
        </w:tc>
        <w:tc>
          <w:tcPr>
            <w:tcW w:w="1316" w:type="dxa"/>
            <w:tcBorders>
              <w:top w:val="nil"/>
              <w:left w:val="nil"/>
              <w:bottom w:val="nil"/>
              <w:right w:val="nil"/>
            </w:tcBorders>
            <w:shd w:val="clear" w:color="FFFFFF" w:fill="FFFFFF"/>
            <w:noWrap/>
            <w:vAlign w:val="bottom"/>
            <w:hideMark/>
          </w:tcPr>
          <w:p w14:paraId="077540A2" w14:textId="77777777" w:rsidR="00A43992" w:rsidRDefault="00A43992" w:rsidP="007211E3">
            <w:pPr>
              <w:jc w:val="right"/>
              <w:rPr>
                <w:rFonts w:ascii="Arial" w:hAnsi="Arial" w:cs="Arial"/>
                <w:sz w:val="18"/>
                <w:szCs w:val="18"/>
              </w:rPr>
            </w:pPr>
            <w:r>
              <w:rPr>
                <w:rFonts w:ascii="Arial" w:hAnsi="Arial" w:cs="Arial"/>
                <w:sz w:val="18"/>
                <w:szCs w:val="18"/>
              </w:rPr>
              <w:t>(807)</w:t>
            </w:r>
          </w:p>
        </w:tc>
        <w:tc>
          <w:tcPr>
            <w:tcW w:w="1316" w:type="dxa"/>
            <w:tcBorders>
              <w:top w:val="nil"/>
              <w:left w:val="nil"/>
              <w:bottom w:val="nil"/>
              <w:right w:val="nil"/>
            </w:tcBorders>
            <w:shd w:val="clear" w:color="FFFFFF" w:fill="FFFFFF"/>
            <w:noWrap/>
            <w:vAlign w:val="bottom"/>
            <w:hideMark/>
          </w:tcPr>
          <w:p w14:paraId="383D41D2" w14:textId="77777777" w:rsidR="00A43992" w:rsidRDefault="00A43992" w:rsidP="007211E3">
            <w:pPr>
              <w:jc w:val="right"/>
              <w:rPr>
                <w:rFonts w:ascii="Arial" w:hAnsi="Arial" w:cs="Arial"/>
                <w:sz w:val="18"/>
                <w:szCs w:val="18"/>
              </w:rPr>
            </w:pPr>
            <w:r>
              <w:rPr>
                <w:rFonts w:ascii="Arial" w:hAnsi="Arial" w:cs="Arial"/>
                <w:sz w:val="18"/>
                <w:szCs w:val="18"/>
              </w:rPr>
              <w:t>(139)</w:t>
            </w:r>
          </w:p>
        </w:tc>
        <w:tc>
          <w:tcPr>
            <w:tcW w:w="1316" w:type="dxa"/>
            <w:tcBorders>
              <w:top w:val="nil"/>
              <w:left w:val="nil"/>
              <w:bottom w:val="nil"/>
              <w:right w:val="nil"/>
            </w:tcBorders>
            <w:shd w:val="clear" w:color="FFFFFF" w:fill="FFFFFF"/>
            <w:noWrap/>
            <w:vAlign w:val="bottom"/>
            <w:hideMark/>
          </w:tcPr>
          <w:p w14:paraId="2112ED42" w14:textId="77777777" w:rsidR="00A43992" w:rsidRDefault="00A43992" w:rsidP="007211E3">
            <w:pPr>
              <w:jc w:val="right"/>
              <w:rPr>
                <w:rFonts w:ascii="Arial" w:hAnsi="Arial" w:cs="Arial"/>
                <w:sz w:val="18"/>
                <w:szCs w:val="18"/>
              </w:rPr>
            </w:pPr>
            <w:r>
              <w:rPr>
                <w:rFonts w:ascii="Arial" w:hAnsi="Arial" w:cs="Arial"/>
                <w:sz w:val="18"/>
                <w:szCs w:val="18"/>
              </w:rPr>
              <w:t>(8,032)</w:t>
            </w:r>
          </w:p>
        </w:tc>
      </w:tr>
      <w:tr w:rsidR="00A43992" w14:paraId="6D411708" w14:textId="77777777" w:rsidTr="007211E3">
        <w:trPr>
          <w:trHeight w:val="255"/>
        </w:trPr>
        <w:tc>
          <w:tcPr>
            <w:tcW w:w="4916" w:type="dxa"/>
            <w:tcBorders>
              <w:top w:val="nil"/>
              <w:left w:val="nil"/>
              <w:bottom w:val="nil"/>
              <w:right w:val="nil"/>
            </w:tcBorders>
            <w:shd w:val="clear" w:color="FFFFFF" w:fill="FFFFFF"/>
            <w:vAlign w:val="bottom"/>
            <w:hideMark/>
          </w:tcPr>
          <w:p w14:paraId="11FC5385" w14:textId="77777777" w:rsidR="00A43992" w:rsidRDefault="00A43992" w:rsidP="007211E3">
            <w:pPr>
              <w:rPr>
                <w:rFonts w:ascii="Arial" w:hAnsi="Arial" w:cs="Arial"/>
                <w:sz w:val="18"/>
                <w:szCs w:val="18"/>
              </w:rPr>
            </w:pPr>
            <w:r>
              <w:rPr>
                <w:rFonts w:ascii="Arial" w:hAnsi="Arial" w:cs="Arial"/>
                <w:sz w:val="18"/>
                <w:szCs w:val="18"/>
              </w:rPr>
              <w:t>Disposals:</w:t>
            </w:r>
          </w:p>
        </w:tc>
        <w:tc>
          <w:tcPr>
            <w:tcW w:w="1556" w:type="dxa"/>
            <w:tcBorders>
              <w:top w:val="nil"/>
              <w:left w:val="nil"/>
              <w:bottom w:val="nil"/>
              <w:right w:val="nil"/>
            </w:tcBorders>
            <w:shd w:val="clear" w:color="FFFFFF" w:fill="FFFFFF"/>
            <w:noWrap/>
            <w:vAlign w:val="bottom"/>
            <w:hideMark/>
          </w:tcPr>
          <w:p w14:paraId="181CDA2E" w14:textId="77777777" w:rsidR="00A43992" w:rsidRDefault="00A43992" w:rsidP="007211E3">
            <w:pPr>
              <w:rPr>
                <w:rFonts w:ascii="Arial" w:hAnsi="Arial" w:cs="Arial"/>
                <w:sz w:val="18"/>
                <w:szCs w:val="18"/>
              </w:rPr>
            </w:pPr>
            <w:r>
              <w:rPr>
                <w:rFonts w:ascii="Arial" w:hAnsi="Arial" w:cs="Arial"/>
                <w:sz w:val="18"/>
                <w:szCs w:val="18"/>
              </w:rPr>
              <w:t> </w:t>
            </w:r>
          </w:p>
        </w:tc>
        <w:tc>
          <w:tcPr>
            <w:tcW w:w="1316" w:type="dxa"/>
            <w:tcBorders>
              <w:top w:val="nil"/>
              <w:left w:val="nil"/>
              <w:bottom w:val="nil"/>
              <w:right w:val="nil"/>
            </w:tcBorders>
            <w:shd w:val="clear" w:color="FFFFFF" w:fill="FFFFFF"/>
            <w:noWrap/>
            <w:vAlign w:val="bottom"/>
            <w:hideMark/>
          </w:tcPr>
          <w:p w14:paraId="25EAC76B" w14:textId="77777777" w:rsidR="00A43992" w:rsidRDefault="00A43992" w:rsidP="007211E3">
            <w:pPr>
              <w:rPr>
                <w:rFonts w:ascii="Arial" w:hAnsi="Arial" w:cs="Arial"/>
                <w:sz w:val="18"/>
                <w:szCs w:val="18"/>
              </w:rPr>
            </w:pPr>
            <w:r>
              <w:rPr>
                <w:rFonts w:ascii="Arial" w:hAnsi="Arial" w:cs="Arial"/>
                <w:sz w:val="18"/>
                <w:szCs w:val="18"/>
              </w:rPr>
              <w:t> </w:t>
            </w:r>
          </w:p>
        </w:tc>
        <w:tc>
          <w:tcPr>
            <w:tcW w:w="1316" w:type="dxa"/>
            <w:tcBorders>
              <w:top w:val="nil"/>
              <w:left w:val="nil"/>
              <w:bottom w:val="nil"/>
              <w:right w:val="nil"/>
            </w:tcBorders>
            <w:shd w:val="clear" w:color="FFFFFF" w:fill="FFFFFF"/>
            <w:noWrap/>
            <w:vAlign w:val="bottom"/>
            <w:hideMark/>
          </w:tcPr>
          <w:p w14:paraId="3AF109E5" w14:textId="77777777" w:rsidR="00A43992" w:rsidRDefault="00A43992" w:rsidP="007211E3">
            <w:pPr>
              <w:rPr>
                <w:rFonts w:ascii="Arial" w:hAnsi="Arial" w:cs="Arial"/>
                <w:sz w:val="18"/>
                <w:szCs w:val="18"/>
              </w:rPr>
            </w:pPr>
            <w:r>
              <w:rPr>
                <w:rFonts w:ascii="Arial" w:hAnsi="Arial" w:cs="Arial"/>
                <w:sz w:val="18"/>
                <w:szCs w:val="18"/>
              </w:rPr>
              <w:t> </w:t>
            </w:r>
          </w:p>
        </w:tc>
        <w:tc>
          <w:tcPr>
            <w:tcW w:w="1316" w:type="dxa"/>
            <w:tcBorders>
              <w:top w:val="nil"/>
              <w:left w:val="nil"/>
              <w:bottom w:val="nil"/>
              <w:right w:val="nil"/>
            </w:tcBorders>
            <w:shd w:val="clear" w:color="FFFFFF" w:fill="FFFFFF"/>
            <w:noWrap/>
            <w:vAlign w:val="bottom"/>
            <w:hideMark/>
          </w:tcPr>
          <w:p w14:paraId="4C156E9B" w14:textId="77777777" w:rsidR="00A43992" w:rsidRDefault="00A43992" w:rsidP="007211E3">
            <w:pPr>
              <w:jc w:val="right"/>
              <w:rPr>
                <w:rFonts w:ascii="Arial" w:hAnsi="Arial" w:cs="Arial"/>
                <w:sz w:val="18"/>
                <w:szCs w:val="18"/>
              </w:rPr>
            </w:pPr>
            <w:r>
              <w:rPr>
                <w:rFonts w:ascii="Arial" w:hAnsi="Arial" w:cs="Arial"/>
                <w:sz w:val="18"/>
                <w:szCs w:val="18"/>
              </w:rPr>
              <w:t> </w:t>
            </w:r>
          </w:p>
        </w:tc>
      </w:tr>
      <w:tr w:rsidR="00A43992" w14:paraId="7FA8FF76" w14:textId="77777777" w:rsidTr="007211E3">
        <w:trPr>
          <w:trHeight w:val="255"/>
        </w:trPr>
        <w:tc>
          <w:tcPr>
            <w:tcW w:w="4916" w:type="dxa"/>
            <w:tcBorders>
              <w:top w:val="nil"/>
              <w:left w:val="nil"/>
              <w:bottom w:val="nil"/>
              <w:right w:val="nil"/>
            </w:tcBorders>
            <w:shd w:val="clear" w:color="FFFFFF" w:fill="FFFFFF"/>
            <w:noWrap/>
            <w:vAlign w:val="bottom"/>
            <w:hideMark/>
          </w:tcPr>
          <w:p w14:paraId="751D8F3B" w14:textId="77777777" w:rsidR="00A43992" w:rsidRDefault="00A43992" w:rsidP="007211E3">
            <w:pPr>
              <w:ind w:firstLineChars="100" w:firstLine="180"/>
              <w:rPr>
                <w:rFonts w:ascii="Arial" w:hAnsi="Arial" w:cs="Arial"/>
                <w:sz w:val="18"/>
                <w:szCs w:val="18"/>
              </w:rPr>
            </w:pPr>
            <w:r>
              <w:rPr>
                <w:rFonts w:ascii="Arial" w:hAnsi="Arial" w:cs="Arial"/>
                <w:sz w:val="18"/>
                <w:szCs w:val="18"/>
              </w:rPr>
              <w:t>Other (net of depreciation)</w:t>
            </w:r>
          </w:p>
        </w:tc>
        <w:tc>
          <w:tcPr>
            <w:tcW w:w="1556" w:type="dxa"/>
            <w:tcBorders>
              <w:top w:val="nil"/>
              <w:left w:val="nil"/>
              <w:bottom w:val="nil"/>
              <w:right w:val="nil"/>
            </w:tcBorders>
            <w:shd w:val="clear" w:color="FFFFFF" w:fill="FFFFFF"/>
            <w:noWrap/>
            <w:vAlign w:val="bottom"/>
            <w:hideMark/>
          </w:tcPr>
          <w:p w14:paraId="0A0CB80F" w14:textId="77777777" w:rsidR="00A43992" w:rsidRDefault="00A43992" w:rsidP="007211E3">
            <w:pPr>
              <w:jc w:val="right"/>
              <w:rPr>
                <w:rFonts w:ascii="Arial" w:hAnsi="Arial" w:cs="Arial"/>
                <w:sz w:val="18"/>
                <w:szCs w:val="18"/>
              </w:rPr>
            </w:pPr>
            <w:r>
              <w:rPr>
                <w:rFonts w:ascii="Arial" w:hAnsi="Arial" w:cs="Arial"/>
                <w:sz w:val="18"/>
                <w:szCs w:val="18"/>
              </w:rPr>
              <w:t xml:space="preserve"> -</w:t>
            </w:r>
          </w:p>
        </w:tc>
        <w:tc>
          <w:tcPr>
            <w:tcW w:w="1316" w:type="dxa"/>
            <w:tcBorders>
              <w:top w:val="nil"/>
              <w:left w:val="nil"/>
              <w:bottom w:val="nil"/>
              <w:right w:val="nil"/>
            </w:tcBorders>
            <w:shd w:val="clear" w:color="FFFFFF" w:fill="FFFFFF"/>
            <w:noWrap/>
            <w:vAlign w:val="bottom"/>
            <w:hideMark/>
          </w:tcPr>
          <w:p w14:paraId="24FDC109" w14:textId="77777777" w:rsidR="00A43992" w:rsidRDefault="00A43992" w:rsidP="007211E3">
            <w:pPr>
              <w:jc w:val="right"/>
              <w:rPr>
                <w:rFonts w:ascii="Arial" w:hAnsi="Arial" w:cs="Arial"/>
                <w:sz w:val="18"/>
                <w:szCs w:val="18"/>
              </w:rPr>
            </w:pPr>
            <w:r>
              <w:rPr>
                <w:rFonts w:ascii="Arial" w:hAnsi="Arial" w:cs="Arial"/>
                <w:sz w:val="18"/>
                <w:szCs w:val="18"/>
              </w:rPr>
              <w:t>(19)</w:t>
            </w:r>
          </w:p>
        </w:tc>
        <w:tc>
          <w:tcPr>
            <w:tcW w:w="1316" w:type="dxa"/>
            <w:tcBorders>
              <w:top w:val="nil"/>
              <w:left w:val="nil"/>
              <w:bottom w:val="nil"/>
              <w:right w:val="nil"/>
            </w:tcBorders>
            <w:shd w:val="clear" w:color="FFFFFF" w:fill="FFFFFF"/>
            <w:noWrap/>
            <w:vAlign w:val="bottom"/>
            <w:hideMark/>
          </w:tcPr>
          <w:p w14:paraId="35E348D7" w14:textId="77777777" w:rsidR="00A43992" w:rsidRDefault="00A43992" w:rsidP="007211E3">
            <w:pPr>
              <w:jc w:val="right"/>
              <w:rPr>
                <w:rFonts w:ascii="Arial" w:hAnsi="Arial" w:cs="Arial"/>
                <w:sz w:val="18"/>
                <w:szCs w:val="18"/>
              </w:rPr>
            </w:pPr>
            <w:r>
              <w:rPr>
                <w:rFonts w:ascii="Arial" w:hAnsi="Arial" w:cs="Arial"/>
                <w:sz w:val="18"/>
                <w:szCs w:val="18"/>
              </w:rPr>
              <w:t xml:space="preserve"> -</w:t>
            </w:r>
          </w:p>
        </w:tc>
        <w:tc>
          <w:tcPr>
            <w:tcW w:w="1316" w:type="dxa"/>
            <w:tcBorders>
              <w:top w:val="nil"/>
              <w:left w:val="nil"/>
              <w:bottom w:val="nil"/>
              <w:right w:val="nil"/>
            </w:tcBorders>
            <w:shd w:val="clear" w:color="FFFFFF" w:fill="FFFFFF"/>
            <w:noWrap/>
            <w:vAlign w:val="bottom"/>
            <w:hideMark/>
          </w:tcPr>
          <w:p w14:paraId="6B6E4063" w14:textId="77777777" w:rsidR="00A43992" w:rsidRDefault="00A43992" w:rsidP="007211E3">
            <w:pPr>
              <w:jc w:val="right"/>
              <w:rPr>
                <w:rFonts w:ascii="Arial" w:hAnsi="Arial" w:cs="Arial"/>
                <w:sz w:val="18"/>
                <w:szCs w:val="18"/>
              </w:rPr>
            </w:pPr>
            <w:r>
              <w:rPr>
                <w:rFonts w:ascii="Arial" w:hAnsi="Arial" w:cs="Arial"/>
                <w:sz w:val="18"/>
                <w:szCs w:val="18"/>
              </w:rPr>
              <w:t>(19)</w:t>
            </w:r>
          </w:p>
        </w:tc>
      </w:tr>
      <w:tr w:rsidR="00A43992" w14:paraId="26C18B04" w14:textId="77777777" w:rsidTr="007211E3">
        <w:trPr>
          <w:trHeight w:val="255"/>
        </w:trPr>
        <w:tc>
          <w:tcPr>
            <w:tcW w:w="4916" w:type="dxa"/>
            <w:tcBorders>
              <w:top w:val="single" w:sz="4" w:space="0" w:color="auto"/>
              <w:left w:val="nil"/>
              <w:bottom w:val="single" w:sz="4" w:space="0" w:color="auto"/>
              <w:right w:val="nil"/>
            </w:tcBorders>
            <w:shd w:val="clear" w:color="FFFFFF" w:fill="FFFFFF"/>
            <w:vAlign w:val="bottom"/>
            <w:hideMark/>
          </w:tcPr>
          <w:p w14:paraId="115D487B" w14:textId="77777777" w:rsidR="00A43992" w:rsidRDefault="00A43992" w:rsidP="007211E3">
            <w:pPr>
              <w:rPr>
                <w:rFonts w:ascii="Arial" w:hAnsi="Arial" w:cs="Arial"/>
                <w:b/>
                <w:bCs/>
                <w:sz w:val="18"/>
                <w:szCs w:val="18"/>
              </w:rPr>
            </w:pPr>
            <w:r>
              <w:rPr>
                <w:rFonts w:ascii="Arial" w:hAnsi="Arial" w:cs="Arial"/>
                <w:b/>
                <w:bCs/>
                <w:sz w:val="18"/>
                <w:szCs w:val="18"/>
              </w:rPr>
              <w:t>Net book value 30 June 2015</w:t>
            </w:r>
          </w:p>
        </w:tc>
        <w:tc>
          <w:tcPr>
            <w:tcW w:w="1556" w:type="dxa"/>
            <w:tcBorders>
              <w:top w:val="single" w:sz="4" w:space="0" w:color="auto"/>
              <w:left w:val="nil"/>
              <w:bottom w:val="single" w:sz="4" w:space="0" w:color="auto"/>
              <w:right w:val="nil"/>
            </w:tcBorders>
            <w:shd w:val="clear" w:color="FFFFFF" w:fill="FFFFFF"/>
            <w:noWrap/>
            <w:vAlign w:val="bottom"/>
            <w:hideMark/>
          </w:tcPr>
          <w:p w14:paraId="42B25ED7" w14:textId="77777777" w:rsidR="00A43992" w:rsidRDefault="00A43992" w:rsidP="007211E3">
            <w:pPr>
              <w:jc w:val="right"/>
              <w:rPr>
                <w:rFonts w:ascii="Arial" w:hAnsi="Arial" w:cs="Arial"/>
                <w:sz w:val="18"/>
                <w:szCs w:val="18"/>
              </w:rPr>
            </w:pPr>
            <w:r>
              <w:rPr>
                <w:rFonts w:ascii="Arial" w:hAnsi="Arial" w:cs="Arial"/>
                <w:sz w:val="18"/>
                <w:szCs w:val="18"/>
              </w:rPr>
              <w:t>26,463</w:t>
            </w:r>
          </w:p>
        </w:tc>
        <w:tc>
          <w:tcPr>
            <w:tcW w:w="1316" w:type="dxa"/>
            <w:tcBorders>
              <w:top w:val="single" w:sz="4" w:space="0" w:color="auto"/>
              <w:left w:val="nil"/>
              <w:bottom w:val="single" w:sz="4" w:space="0" w:color="auto"/>
              <w:right w:val="nil"/>
            </w:tcBorders>
            <w:shd w:val="clear" w:color="FFFFFF" w:fill="FFFFFF"/>
            <w:noWrap/>
            <w:vAlign w:val="bottom"/>
            <w:hideMark/>
          </w:tcPr>
          <w:p w14:paraId="4FED34DF" w14:textId="77777777" w:rsidR="00A43992" w:rsidRDefault="00A43992" w:rsidP="007211E3">
            <w:pPr>
              <w:jc w:val="right"/>
              <w:rPr>
                <w:rFonts w:ascii="Arial" w:hAnsi="Arial" w:cs="Arial"/>
                <w:sz w:val="18"/>
                <w:szCs w:val="18"/>
              </w:rPr>
            </w:pPr>
            <w:r>
              <w:rPr>
                <w:rFonts w:ascii="Arial" w:hAnsi="Arial" w:cs="Arial"/>
                <w:sz w:val="18"/>
                <w:szCs w:val="18"/>
              </w:rPr>
              <w:t>1,456</w:t>
            </w:r>
          </w:p>
        </w:tc>
        <w:tc>
          <w:tcPr>
            <w:tcW w:w="1316" w:type="dxa"/>
            <w:tcBorders>
              <w:top w:val="single" w:sz="4" w:space="0" w:color="auto"/>
              <w:left w:val="nil"/>
              <w:bottom w:val="single" w:sz="4" w:space="0" w:color="auto"/>
              <w:right w:val="nil"/>
            </w:tcBorders>
            <w:shd w:val="clear" w:color="FFFFFF" w:fill="FFFFFF"/>
            <w:noWrap/>
            <w:vAlign w:val="bottom"/>
            <w:hideMark/>
          </w:tcPr>
          <w:p w14:paraId="5A1235E3" w14:textId="77777777" w:rsidR="00A43992" w:rsidRDefault="00A43992" w:rsidP="007211E3">
            <w:pPr>
              <w:jc w:val="right"/>
              <w:rPr>
                <w:rFonts w:ascii="Arial" w:hAnsi="Arial" w:cs="Arial"/>
                <w:sz w:val="18"/>
                <w:szCs w:val="18"/>
              </w:rPr>
            </w:pPr>
            <w:r>
              <w:rPr>
                <w:rFonts w:ascii="Arial" w:hAnsi="Arial" w:cs="Arial"/>
                <w:sz w:val="18"/>
                <w:szCs w:val="18"/>
              </w:rPr>
              <w:t>3,416</w:t>
            </w:r>
          </w:p>
        </w:tc>
        <w:tc>
          <w:tcPr>
            <w:tcW w:w="1316" w:type="dxa"/>
            <w:tcBorders>
              <w:top w:val="single" w:sz="4" w:space="0" w:color="auto"/>
              <w:left w:val="nil"/>
              <w:bottom w:val="single" w:sz="4" w:space="0" w:color="auto"/>
              <w:right w:val="nil"/>
            </w:tcBorders>
            <w:shd w:val="clear" w:color="FFFFFF" w:fill="FFFFFF"/>
            <w:noWrap/>
            <w:vAlign w:val="bottom"/>
            <w:hideMark/>
          </w:tcPr>
          <w:p w14:paraId="07AA2E5E" w14:textId="77777777" w:rsidR="00A43992" w:rsidRDefault="00A43992" w:rsidP="007211E3">
            <w:pPr>
              <w:jc w:val="right"/>
              <w:rPr>
                <w:rFonts w:ascii="Arial" w:hAnsi="Arial" w:cs="Arial"/>
                <w:sz w:val="18"/>
                <w:szCs w:val="18"/>
              </w:rPr>
            </w:pPr>
            <w:r>
              <w:rPr>
                <w:rFonts w:ascii="Arial" w:hAnsi="Arial" w:cs="Arial"/>
                <w:sz w:val="18"/>
                <w:szCs w:val="18"/>
              </w:rPr>
              <w:t>31,335</w:t>
            </w:r>
          </w:p>
        </w:tc>
      </w:tr>
      <w:tr w:rsidR="00A43992" w14:paraId="0EDC965A" w14:textId="77777777" w:rsidTr="007211E3">
        <w:trPr>
          <w:trHeight w:val="255"/>
        </w:trPr>
        <w:tc>
          <w:tcPr>
            <w:tcW w:w="4916" w:type="dxa"/>
            <w:tcBorders>
              <w:top w:val="nil"/>
              <w:left w:val="nil"/>
              <w:bottom w:val="nil"/>
              <w:right w:val="nil"/>
            </w:tcBorders>
            <w:shd w:val="clear" w:color="FFFFFF" w:fill="FFFFFF"/>
            <w:noWrap/>
            <w:vAlign w:val="bottom"/>
            <w:hideMark/>
          </w:tcPr>
          <w:p w14:paraId="69FEDB23" w14:textId="77777777" w:rsidR="00A43992" w:rsidRDefault="00A43992" w:rsidP="007211E3">
            <w:pPr>
              <w:rPr>
                <w:rFonts w:ascii="Arial" w:hAnsi="Arial" w:cs="Arial"/>
                <w:b/>
                <w:bCs/>
                <w:sz w:val="18"/>
                <w:szCs w:val="18"/>
              </w:rPr>
            </w:pPr>
            <w:r>
              <w:rPr>
                <w:rFonts w:ascii="Arial" w:hAnsi="Arial" w:cs="Arial"/>
                <w:b/>
                <w:bCs/>
                <w:sz w:val="18"/>
                <w:szCs w:val="18"/>
              </w:rPr>
              <w:t> </w:t>
            </w:r>
          </w:p>
        </w:tc>
        <w:tc>
          <w:tcPr>
            <w:tcW w:w="1556" w:type="dxa"/>
            <w:tcBorders>
              <w:top w:val="nil"/>
              <w:left w:val="nil"/>
              <w:bottom w:val="nil"/>
              <w:right w:val="nil"/>
            </w:tcBorders>
            <w:shd w:val="clear" w:color="FFFFFF" w:fill="FFFFFF"/>
            <w:noWrap/>
            <w:vAlign w:val="bottom"/>
            <w:hideMark/>
          </w:tcPr>
          <w:p w14:paraId="7129C0E0" w14:textId="77777777" w:rsidR="00A43992" w:rsidRDefault="00A43992" w:rsidP="007211E3">
            <w:pPr>
              <w:rPr>
                <w:rFonts w:ascii="Arial" w:hAnsi="Arial" w:cs="Arial"/>
                <w:sz w:val="18"/>
                <w:szCs w:val="18"/>
              </w:rPr>
            </w:pPr>
            <w:r>
              <w:rPr>
                <w:rFonts w:ascii="Arial" w:hAnsi="Arial" w:cs="Arial"/>
                <w:sz w:val="18"/>
                <w:szCs w:val="18"/>
              </w:rPr>
              <w:t> </w:t>
            </w:r>
          </w:p>
        </w:tc>
        <w:tc>
          <w:tcPr>
            <w:tcW w:w="1316" w:type="dxa"/>
            <w:tcBorders>
              <w:top w:val="nil"/>
              <w:left w:val="nil"/>
              <w:bottom w:val="nil"/>
              <w:right w:val="nil"/>
            </w:tcBorders>
            <w:shd w:val="clear" w:color="FFFFFF" w:fill="FFFFFF"/>
            <w:noWrap/>
            <w:vAlign w:val="bottom"/>
            <w:hideMark/>
          </w:tcPr>
          <w:p w14:paraId="69D9588B" w14:textId="77777777" w:rsidR="00A43992" w:rsidRDefault="00A43992" w:rsidP="007211E3">
            <w:pPr>
              <w:rPr>
                <w:rFonts w:ascii="Arial" w:hAnsi="Arial" w:cs="Arial"/>
                <w:sz w:val="18"/>
                <w:szCs w:val="18"/>
              </w:rPr>
            </w:pPr>
            <w:r>
              <w:rPr>
                <w:rFonts w:ascii="Arial" w:hAnsi="Arial" w:cs="Arial"/>
                <w:sz w:val="18"/>
                <w:szCs w:val="18"/>
              </w:rPr>
              <w:t> </w:t>
            </w:r>
          </w:p>
        </w:tc>
        <w:tc>
          <w:tcPr>
            <w:tcW w:w="1316" w:type="dxa"/>
            <w:tcBorders>
              <w:top w:val="nil"/>
              <w:left w:val="nil"/>
              <w:bottom w:val="nil"/>
              <w:right w:val="nil"/>
            </w:tcBorders>
            <w:shd w:val="clear" w:color="FFFFFF" w:fill="FFFFFF"/>
            <w:noWrap/>
            <w:vAlign w:val="bottom"/>
            <w:hideMark/>
          </w:tcPr>
          <w:p w14:paraId="5226C069" w14:textId="77777777" w:rsidR="00A43992" w:rsidRDefault="00A43992" w:rsidP="007211E3">
            <w:pPr>
              <w:rPr>
                <w:rFonts w:ascii="Arial" w:hAnsi="Arial" w:cs="Arial"/>
                <w:sz w:val="18"/>
                <w:szCs w:val="18"/>
              </w:rPr>
            </w:pPr>
            <w:r>
              <w:rPr>
                <w:rFonts w:ascii="Arial" w:hAnsi="Arial" w:cs="Arial"/>
                <w:sz w:val="18"/>
                <w:szCs w:val="18"/>
              </w:rPr>
              <w:t> </w:t>
            </w:r>
          </w:p>
        </w:tc>
        <w:tc>
          <w:tcPr>
            <w:tcW w:w="1316" w:type="dxa"/>
            <w:tcBorders>
              <w:top w:val="nil"/>
              <w:left w:val="nil"/>
              <w:bottom w:val="nil"/>
              <w:right w:val="nil"/>
            </w:tcBorders>
            <w:shd w:val="clear" w:color="FFFFFF" w:fill="FFFFFF"/>
            <w:noWrap/>
            <w:vAlign w:val="bottom"/>
            <w:hideMark/>
          </w:tcPr>
          <w:p w14:paraId="33B055E9" w14:textId="77777777" w:rsidR="00A43992" w:rsidRDefault="00A43992" w:rsidP="007211E3">
            <w:pPr>
              <w:rPr>
                <w:rFonts w:ascii="Arial" w:hAnsi="Arial" w:cs="Arial"/>
                <w:sz w:val="18"/>
                <w:szCs w:val="18"/>
              </w:rPr>
            </w:pPr>
            <w:r>
              <w:rPr>
                <w:rFonts w:ascii="Arial" w:hAnsi="Arial" w:cs="Arial"/>
                <w:sz w:val="18"/>
                <w:szCs w:val="18"/>
              </w:rPr>
              <w:t> </w:t>
            </w:r>
          </w:p>
        </w:tc>
      </w:tr>
      <w:tr w:rsidR="00A43992" w14:paraId="10E05228" w14:textId="77777777" w:rsidTr="007211E3">
        <w:trPr>
          <w:trHeight w:val="255"/>
        </w:trPr>
        <w:tc>
          <w:tcPr>
            <w:tcW w:w="4916" w:type="dxa"/>
            <w:tcBorders>
              <w:top w:val="nil"/>
              <w:left w:val="nil"/>
              <w:bottom w:val="nil"/>
              <w:right w:val="nil"/>
            </w:tcBorders>
            <w:shd w:val="clear" w:color="FFFFFF" w:fill="FFFFFF"/>
            <w:vAlign w:val="bottom"/>
            <w:hideMark/>
          </w:tcPr>
          <w:p w14:paraId="3F80B1D8" w14:textId="77777777" w:rsidR="00A43992" w:rsidRDefault="00A43992" w:rsidP="007211E3">
            <w:pPr>
              <w:rPr>
                <w:rFonts w:ascii="Arial" w:hAnsi="Arial" w:cs="Arial"/>
                <w:b/>
                <w:bCs/>
                <w:sz w:val="18"/>
                <w:szCs w:val="18"/>
              </w:rPr>
            </w:pPr>
            <w:r>
              <w:rPr>
                <w:rFonts w:ascii="Arial" w:hAnsi="Arial" w:cs="Arial"/>
                <w:b/>
                <w:bCs/>
                <w:sz w:val="18"/>
                <w:szCs w:val="18"/>
              </w:rPr>
              <w:lastRenderedPageBreak/>
              <w:t>Net book value as of 30 June 2015 represented by:</w:t>
            </w:r>
          </w:p>
        </w:tc>
        <w:tc>
          <w:tcPr>
            <w:tcW w:w="1556" w:type="dxa"/>
            <w:tcBorders>
              <w:top w:val="nil"/>
              <w:left w:val="nil"/>
              <w:bottom w:val="nil"/>
              <w:right w:val="nil"/>
            </w:tcBorders>
            <w:shd w:val="clear" w:color="FFFFFF" w:fill="FFFFFF"/>
            <w:noWrap/>
            <w:vAlign w:val="bottom"/>
            <w:hideMark/>
          </w:tcPr>
          <w:p w14:paraId="47337952" w14:textId="77777777" w:rsidR="00A43992" w:rsidRDefault="00A43992" w:rsidP="007211E3">
            <w:pPr>
              <w:rPr>
                <w:rFonts w:ascii="Arial" w:hAnsi="Arial" w:cs="Arial"/>
                <w:sz w:val="18"/>
                <w:szCs w:val="18"/>
              </w:rPr>
            </w:pPr>
            <w:r>
              <w:rPr>
                <w:rFonts w:ascii="Arial" w:hAnsi="Arial" w:cs="Arial"/>
                <w:sz w:val="18"/>
                <w:szCs w:val="18"/>
              </w:rPr>
              <w:t> </w:t>
            </w:r>
          </w:p>
        </w:tc>
        <w:tc>
          <w:tcPr>
            <w:tcW w:w="1316" w:type="dxa"/>
            <w:tcBorders>
              <w:top w:val="nil"/>
              <w:left w:val="nil"/>
              <w:bottom w:val="nil"/>
              <w:right w:val="nil"/>
            </w:tcBorders>
            <w:shd w:val="clear" w:color="FFFFFF" w:fill="FFFFFF"/>
            <w:noWrap/>
            <w:vAlign w:val="bottom"/>
            <w:hideMark/>
          </w:tcPr>
          <w:p w14:paraId="1CC20E11" w14:textId="77777777" w:rsidR="00A43992" w:rsidRDefault="00A43992" w:rsidP="007211E3">
            <w:pPr>
              <w:rPr>
                <w:rFonts w:ascii="Arial" w:hAnsi="Arial" w:cs="Arial"/>
                <w:sz w:val="18"/>
                <w:szCs w:val="18"/>
              </w:rPr>
            </w:pPr>
            <w:r>
              <w:rPr>
                <w:rFonts w:ascii="Arial" w:hAnsi="Arial" w:cs="Arial"/>
                <w:sz w:val="18"/>
                <w:szCs w:val="18"/>
              </w:rPr>
              <w:t> </w:t>
            </w:r>
          </w:p>
        </w:tc>
        <w:tc>
          <w:tcPr>
            <w:tcW w:w="1316" w:type="dxa"/>
            <w:tcBorders>
              <w:top w:val="nil"/>
              <w:left w:val="nil"/>
              <w:bottom w:val="nil"/>
              <w:right w:val="nil"/>
            </w:tcBorders>
            <w:shd w:val="clear" w:color="FFFFFF" w:fill="FFFFFF"/>
            <w:noWrap/>
            <w:vAlign w:val="bottom"/>
            <w:hideMark/>
          </w:tcPr>
          <w:p w14:paraId="5BA25C65" w14:textId="77777777" w:rsidR="00A43992" w:rsidRDefault="00A43992" w:rsidP="007211E3">
            <w:pPr>
              <w:rPr>
                <w:rFonts w:ascii="Arial" w:hAnsi="Arial" w:cs="Arial"/>
                <w:sz w:val="18"/>
                <w:szCs w:val="18"/>
              </w:rPr>
            </w:pPr>
            <w:r>
              <w:rPr>
                <w:rFonts w:ascii="Arial" w:hAnsi="Arial" w:cs="Arial"/>
                <w:sz w:val="18"/>
                <w:szCs w:val="18"/>
              </w:rPr>
              <w:t> </w:t>
            </w:r>
          </w:p>
        </w:tc>
        <w:tc>
          <w:tcPr>
            <w:tcW w:w="1316" w:type="dxa"/>
            <w:tcBorders>
              <w:top w:val="nil"/>
              <w:left w:val="nil"/>
              <w:bottom w:val="nil"/>
              <w:right w:val="nil"/>
            </w:tcBorders>
            <w:shd w:val="clear" w:color="FFFFFF" w:fill="FFFFFF"/>
            <w:noWrap/>
            <w:vAlign w:val="bottom"/>
            <w:hideMark/>
          </w:tcPr>
          <w:p w14:paraId="7EBF6DB2" w14:textId="77777777" w:rsidR="00A43992" w:rsidRDefault="00A43992" w:rsidP="007211E3">
            <w:pPr>
              <w:rPr>
                <w:rFonts w:ascii="Arial" w:hAnsi="Arial" w:cs="Arial"/>
                <w:sz w:val="18"/>
                <w:szCs w:val="18"/>
              </w:rPr>
            </w:pPr>
            <w:r>
              <w:rPr>
                <w:rFonts w:ascii="Arial" w:hAnsi="Arial" w:cs="Arial"/>
                <w:sz w:val="18"/>
                <w:szCs w:val="18"/>
              </w:rPr>
              <w:t> </w:t>
            </w:r>
          </w:p>
        </w:tc>
      </w:tr>
      <w:tr w:rsidR="00A43992" w14:paraId="60859729" w14:textId="77777777" w:rsidTr="007211E3">
        <w:trPr>
          <w:trHeight w:val="255"/>
        </w:trPr>
        <w:tc>
          <w:tcPr>
            <w:tcW w:w="4916" w:type="dxa"/>
            <w:tcBorders>
              <w:top w:val="nil"/>
              <w:left w:val="nil"/>
              <w:bottom w:val="nil"/>
              <w:right w:val="nil"/>
            </w:tcBorders>
            <w:shd w:val="clear" w:color="FFFFFF" w:fill="FFFFFF"/>
            <w:vAlign w:val="bottom"/>
            <w:hideMark/>
          </w:tcPr>
          <w:p w14:paraId="08BC9231" w14:textId="77777777" w:rsidR="00A43992" w:rsidRDefault="00A43992" w:rsidP="007211E3">
            <w:pPr>
              <w:rPr>
                <w:rFonts w:ascii="Arial" w:hAnsi="Arial" w:cs="Arial"/>
                <w:sz w:val="18"/>
                <w:szCs w:val="18"/>
              </w:rPr>
            </w:pPr>
            <w:r>
              <w:rPr>
                <w:rFonts w:ascii="Arial" w:hAnsi="Arial" w:cs="Arial"/>
                <w:sz w:val="18"/>
                <w:szCs w:val="18"/>
              </w:rPr>
              <w:t>Gross book value</w:t>
            </w:r>
          </w:p>
        </w:tc>
        <w:tc>
          <w:tcPr>
            <w:tcW w:w="1556" w:type="dxa"/>
            <w:tcBorders>
              <w:top w:val="nil"/>
              <w:left w:val="nil"/>
              <w:bottom w:val="nil"/>
              <w:right w:val="nil"/>
            </w:tcBorders>
            <w:shd w:val="clear" w:color="FFFFFF" w:fill="FFFFFF"/>
            <w:noWrap/>
            <w:vAlign w:val="bottom"/>
            <w:hideMark/>
          </w:tcPr>
          <w:p w14:paraId="4541041E" w14:textId="77777777" w:rsidR="00A43992" w:rsidRDefault="00A43992" w:rsidP="007211E3">
            <w:pPr>
              <w:jc w:val="right"/>
              <w:rPr>
                <w:rFonts w:ascii="Arial" w:hAnsi="Arial" w:cs="Arial"/>
                <w:sz w:val="18"/>
                <w:szCs w:val="18"/>
              </w:rPr>
            </w:pPr>
            <w:r>
              <w:rPr>
                <w:rFonts w:ascii="Arial" w:hAnsi="Arial" w:cs="Arial"/>
                <w:sz w:val="18"/>
                <w:szCs w:val="18"/>
              </w:rPr>
              <w:t xml:space="preserve">37,747 </w:t>
            </w:r>
          </w:p>
        </w:tc>
        <w:tc>
          <w:tcPr>
            <w:tcW w:w="1316" w:type="dxa"/>
            <w:tcBorders>
              <w:top w:val="nil"/>
              <w:left w:val="nil"/>
              <w:bottom w:val="nil"/>
              <w:right w:val="nil"/>
            </w:tcBorders>
            <w:shd w:val="clear" w:color="FFFFFF" w:fill="FFFFFF"/>
            <w:noWrap/>
            <w:vAlign w:val="bottom"/>
            <w:hideMark/>
          </w:tcPr>
          <w:p w14:paraId="6A47D414" w14:textId="77777777" w:rsidR="00A43992" w:rsidRDefault="00A43992" w:rsidP="007211E3">
            <w:pPr>
              <w:jc w:val="right"/>
              <w:rPr>
                <w:rFonts w:ascii="Arial" w:hAnsi="Arial" w:cs="Arial"/>
                <w:sz w:val="18"/>
                <w:szCs w:val="18"/>
              </w:rPr>
            </w:pPr>
            <w:r>
              <w:rPr>
                <w:rFonts w:ascii="Arial" w:hAnsi="Arial" w:cs="Arial"/>
                <w:sz w:val="18"/>
                <w:szCs w:val="18"/>
              </w:rPr>
              <w:t xml:space="preserve">2,298 </w:t>
            </w:r>
          </w:p>
        </w:tc>
        <w:tc>
          <w:tcPr>
            <w:tcW w:w="1316" w:type="dxa"/>
            <w:tcBorders>
              <w:top w:val="nil"/>
              <w:left w:val="nil"/>
              <w:bottom w:val="nil"/>
              <w:right w:val="nil"/>
            </w:tcBorders>
            <w:shd w:val="clear" w:color="FFFFFF" w:fill="FFFFFF"/>
            <w:noWrap/>
            <w:vAlign w:val="bottom"/>
            <w:hideMark/>
          </w:tcPr>
          <w:p w14:paraId="609FF3A8" w14:textId="77777777" w:rsidR="00A43992" w:rsidRDefault="00A43992" w:rsidP="007211E3">
            <w:pPr>
              <w:jc w:val="right"/>
              <w:rPr>
                <w:rFonts w:ascii="Arial" w:hAnsi="Arial" w:cs="Arial"/>
                <w:sz w:val="18"/>
                <w:szCs w:val="18"/>
              </w:rPr>
            </w:pPr>
            <w:r>
              <w:rPr>
                <w:rFonts w:ascii="Arial" w:hAnsi="Arial" w:cs="Arial"/>
                <w:sz w:val="18"/>
                <w:szCs w:val="18"/>
              </w:rPr>
              <w:t xml:space="preserve">3,555 </w:t>
            </w:r>
          </w:p>
        </w:tc>
        <w:tc>
          <w:tcPr>
            <w:tcW w:w="1316" w:type="dxa"/>
            <w:tcBorders>
              <w:top w:val="nil"/>
              <w:left w:val="nil"/>
              <w:bottom w:val="nil"/>
              <w:right w:val="nil"/>
            </w:tcBorders>
            <w:shd w:val="clear" w:color="FFFFFF" w:fill="FFFFFF"/>
            <w:noWrap/>
            <w:vAlign w:val="bottom"/>
            <w:hideMark/>
          </w:tcPr>
          <w:p w14:paraId="73535F8D" w14:textId="77777777" w:rsidR="00A43992" w:rsidRDefault="00A43992" w:rsidP="007211E3">
            <w:pPr>
              <w:jc w:val="right"/>
              <w:rPr>
                <w:rFonts w:ascii="Arial" w:hAnsi="Arial" w:cs="Arial"/>
                <w:sz w:val="18"/>
                <w:szCs w:val="18"/>
              </w:rPr>
            </w:pPr>
            <w:r>
              <w:rPr>
                <w:rFonts w:ascii="Arial" w:hAnsi="Arial" w:cs="Arial"/>
                <w:sz w:val="18"/>
                <w:szCs w:val="18"/>
              </w:rPr>
              <w:t>43,600</w:t>
            </w:r>
          </w:p>
        </w:tc>
      </w:tr>
      <w:tr w:rsidR="00A43992" w14:paraId="1F6FD724" w14:textId="77777777" w:rsidTr="007211E3">
        <w:trPr>
          <w:trHeight w:val="255"/>
        </w:trPr>
        <w:tc>
          <w:tcPr>
            <w:tcW w:w="4916" w:type="dxa"/>
            <w:tcBorders>
              <w:top w:val="nil"/>
              <w:left w:val="nil"/>
              <w:bottom w:val="nil"/>
              <w:right w:val="nil"/>
            </w:tcBorders>
            <w:shd w:val="clear" w:color="FFFFFF" w:fill="FFFFFF"/>
            <w:vAlign w:val="bottom"/>
            <w:hideMark/>
          </w:tcPr>
          <w:p w14:paraId="0004F250" w14:textId="77777777" w:rsidR="00A43992" w:rsidRDefault="00A43992" w:rsidP="007211E3">
            <w:pPr>
              <w:rPr>
                <w:rFonts w:ascii="Arial" w:hAnsi="Arial" w:cs="Arial"/>
                <w:sz w:val="18"/>
                <w:szCs w:val="18"/>
              </w:rPr>
            </w:pPr>
            <w:r>
              <w:rPr>
                <w:rFonts w:ascii="Arial" w:hAnsi="Arial" w:cs="Arial"/>
                <w:sz w:val="18"/>
                <w:szCs w:val="18"/>
              </w:rPr>
              <w:t>Accumulated depreciation and impairment</w:t>
            </w:r>
          </w:p>
        </w:tc>
        <w:tc>
          <w:tcPr>
            <w:tcW w:w="1556" w:type="dxa"/>
            <w:tcBorders>
              <w:top w:val="nil"/>
              <w:left w:val="nil"/>
              <w:bottom w:val="nil"/>
              <w:right w:val="nil"/>
            </w:tcBorders>
            <w:shd w:val="clear" w:color="FFFFFF" w:fill="FFFFFF"/>
            <w:noWrap/>
            <w:vAlign w:val="bottom"/>
            <w:hideMark/>
          </w:tcPr>
          <w:p w14:paraId="58D0A88C" w14:textId="77777777" w:rsidR="00A43992" w:rsidRDefault="00A43992" w:rsidP="007211E3">
            <w:pPr>
              <w:jc w:val="right"/>
              <w:rPr>
                <w:rFonts w:ascii="Arial" w:hAnsi="Arial" w:cs="Arial"/>
                <w:sz w:val="18"/>
                <w:szCs w:val="18"/>
              </w:rPr>
            </w:pPr>
            <w:r>
              <w:rPr>
                <w:rFonts w:ascii="Arial" w:hAnsi="Arial" w:cs="Arial"/>
                <w:sz w:val="18"/>
                <w:szCs w:val="18"/>
              </w:rPr>
              <w:t>(11,284)</w:t>
            </w:r>
          </w:p>
        </w:tc>
        <w:tc>
          <w:tcPr>
            <w:tcW w:w="1316" w:type="dxa"/>
            <w:tcBorders>
              <w:top w:val="nil"/>
              <w:left w:val="nil"/>
              <w:bottom w:val="nil"/>
              <w:right w:val="nil"/>
            </w:tcBorders>
            <w:shd w:val="clear" w:color="FFFFFF" w:fill="FFFFFF"/>
            <w:noWrap/>
            <w:vAlign w:val="bottom"/>
            <w:hideMark/>
          </w:tcPr>
          <w:p w14:paraId="57DEF99F" w14:textId="77777777" w:rsidR="00A43992" w:rsidRDefault="00A43992" w:rsidP="007211E3">
            <w:pPr>
              <w:jc w:val="right"/>
              <w:rPr>
                <w:rFonts w:ascii="Arial" w:hAnsi="Arial" w:cs="Arial"/>
                <w:sz w:val="18"/>
                <w:szCs w:val="18"/>
              </w:rPr>
            </w:pPr>
            <w:r>
              <w:rPr>
                <w:rFonts w:ascii="Arial" w:hAnsi="Arial" w:cs="Arial"/>
                <w:sz w:val="18"/>
                <w:szCs w:val="18"/>
              </w:rPr>
              <w:t>(842)</w:t>
            </w:r>
          </w:p>
        </w:tc>
        <w:tc>
          <w:tcPr>
            <w:tcW w:w="1316" w:type="dxa"/>
            <w:tcBorders>
              <w:top w:val="nil"/>
              <w:left w:val="nil"/>
              <w:bottom w:val="nil"/>
              <w:right w:val="nil"/>
            </w:tcBorders>
            <w:shd w:val="clear" w:color="FFFFFF" w:fill="FFFFFF"/>
            <w:noWrap/>
            <w:vAlign w:val="bottom"/>
            <w:hideMark/>
          </w:tcPr>
          <w:p w14:paraId="201B2CA5" w14:textId="77777777" w:rsidR="00A43992" w:rsidRDefault="00A43992" w:rsidP="007211E3">
            <w:pPr>
              <w:jc w:val="right"/>
              <w:rPr>
                <w:rFonts w:ascii="Arial" w:hAnsi="Arial" w:cs="Arial"/>
                <w:sz w:val="18"/>
                <w:szCs w:val="18"/>
              </w:rPr>
            </w:pPr>
            <w:r>
              <w:rPr>
                <w:rFonts w:ascii="Arial" w:hAnsi="Arial" w:cs="Arial"/>
                <w:sz w:val="18"/>
                <w:szCs w:val="18"/>
              </w:rPr>
              <w:t>(139)</w:t>
            </w:r>
          </w:p>
        </w:tc>
        <w:tc>
          <w:tcPr>
            <w:tcW w:w="1316" w:type="dxa"/>
            <w:tcBorders>
              <w:top w:val="nil"/>
              <w:left w:val="nil"/>
              <w:bottom w:val="nil"/>
              <w:right w:val="nil"/>
            </w:tcBorders>
            <w:shd w:val="clear" w:color="FFFFFF" w:fill="FFFFFF"/>
            <w:noWrap/>
            <w:vAlign w:val="bottom"/>
            <w:hideMark/>
          </w:tcPr>
          <w:p w14:paraId="4D8C6E49" w14:textId="77777777" w:rsidR="00A43992" w:rsidRDefault="00A43992" w:rsidP="007211E3">
            <w:pPr>
              <w:jc w:val="right"/>
              <w:rPr>
                <w:rFonts w:ascii="Arial" w:hAnsi="Arial" w:cs="Arial"/>
                <w:sz w:val="18"/>
                <w:szCs w:val="18"/>
              </w:rPr>
            </w:pPr>
            <w:r>
              <w:rPr>
                <w:rFonts w:ascii="Arial" w:hAnsi="Arial" w:cs="Arial"/>
                <w:sz w:val="18"/>
                <w:szCs w:val="18"/>
              </w:rPr>
              <w:t>(12,265)</w:t>
            </w:r>
          </w:p>
        </w:tc>
      </w:tr>
      <w:tr w:rsidR="00A43992" w14:paraId="7277C055" w14:textId="77777777" w:rsidTr="007211E3">
        <w:trPr>
          <w:trHeight w:val="255"/>
        </w:trPr>
        <w:tc>
          <w:tcPr>
            <w:tcW w:w="4916" w:type="dxa"/>
            <w:tcBorders>
              <w:top w:val="nil"/>
              <w:left w:val="nil"/>
              <w:bottom w:val="nil"/>
              <w:right w:val="nil"/>
            </w:tcBorders>
            <w:shd w:val="clear" w:color="FFFFFF" w:fill="FFFFFF"/>
            <w:noWrap/>
            <w:vAlign w:val="bottom"/>
            <w:hideMark/>
          </w:tcPr>
          <w:p w14:paraId="209D33C8" w14:textId="77777777" w:rsidR="00A43992" w:rsidRDefault="00A43992" w:rsidP="007211E3">
            <w:pPr>
              <w:rPr>
                <w:rFonts w:ascii="Arial" w:hAnsi="Arial" w:cs="Arial"/>
                <w:b/>
                <w:bCs/>
                <w:i/>
                <w:iCs/>
                <w:sz w:val="18"/>
                <w:szCs w:val="18"/>
              </w:rPr>
            </w:pPr>
            <w:r>
              <w:rPr>
                <w:rFonts w:ascii="Arial" w:hAnsi="Arial" w:cs="Arial"/>
                <w:b/>
                <w:bCs/>
                <w:i/>
                <w:iCs/>
                <w:sz w:val="18"/>
                <w:szCs w:val="18"/>
              </w:rPr>
              <w:t> </w:t>
            </w:r>
          </w:p>
        </w:tc>
        <w:tc>
          <w:tcPr>
            <w:tcW w:w="1556" w:type="dxa"/>
            <w:tcBorders>
              <w:top w:val="single" w:sz="4" w:space="0" w:color="auto"/>
              <w:left w:val="nil"/>
              <w:bottom w:val="single" w:sz="4" w:space="0" w:color="auto"/>
              <w:right w:val="nil"/>
            </w:tcBorders>
            <w:shd w:val="clear" w:color="FFFFFF" w:fill="FFFFFF"/>
            <w:noWrap/>
            <w:vAlign w:val="bottom"/>
            <w:hideMark/>
          </w:tcPr>
          <w:p w14:paraId="49D83FDF" w14:textId="77777777" w:rsidR="00A43992" w:rsidRDefault="00A43992" w:rsidP="007211E3">
            <w:pPr>
              <w:jc w:val="right"/>
              <w:rPr>
                <w:rFonts w:ascii="Arial" w:hAnsi="Arial" w:cs="Arial"/>
                <w:sz w:val="18"/>
                <w:szCs w:val="18"/>
              </w:rPr>
            </w:pPr>
            <w:r>
              <w:rPr>
                <w:rFonts w:ascii="Arial" w:hAnsi="Arial" w:cs="Arial"/>
                <w:sz w:val="18"/>
                <w:szCs w:val="18"/>
              </w:rPr>
              <w:t>26,463</w:t>
            </w:r>
          </w:p>
        </w:tc>
        <w:tc>
          <w:tcPr>
            <w:tcW w:w="1316" w:type="dxa"/>
            <w:tcBorders>
              <w:top w:val="single" w:sz="4" w:space="0" w:color="auto"/>
              <w:left w:val="nil"/>
              <w:bottom w:val="single" w:sz="4" w:space="0" w:color="auto"/>
              <w:right w:val="nil"/>
            </w:tcBorders>
            <w:shd w:val="clear" w:color="FFFFFF" w:fill="FFFFFF"/>
            <w:noWrap/>
            <w:vAlign w:val="bottom"/>
            <w:hideMark/>
          </w:tcPr>
          <w:p w14:paraId="08171B0B" w14:textId="77777777" w:rsidR="00A43992" w:rsidRDefault="00A43992" w:rsidP="007211E3">
            <w:pPr>
              <w:jc w:val="right"/>
              <w:rPr>
                <w:rFonts w:ascii="Arial" w:hAnsi="Arial" w:cs="Arial"/>
                <w:sz w:val="18"/>
                <w:szCs w:val="18"/>
              </w:rPr>
            </w:pPr>
            <w:r>
              <w:rPr>
                <w:rFonts w:ascii="Arial" w:hAnsi="Arial" w:cs="Arial"/>
                <w:sz w:val="18"/>
                <w:szCs w:val="18"/>
              </w:rPr>
              <w:t>1,456</w:t>
            </w:r>
          </w:p>
        </w:tc>
        <w:tc>
          <w:tcPr>
            <w:tcW w:w="1316" w:type="dxa"/>
            <w:tcBorders>
              <w:top w:val="single" w:sz="4" w:space="0" w:color="auto"/>
              <w:left w:val="nil"/>
              <w:bottom w:val="single" w:sz="4" w:space="0" w:color="auto"/>
              <w:right w:val="nil"/>
            </w:tcBorders>
            <w:shd w:val="clear" w:color="FFFFFF" w:fill="FFFFFF"/>
            <w:noWrap/>
            <w:vAlign w:val="bottom"/>
            <w:hideMark/>
          </w:tcPr>
          <w:p w14:paraId="79751DFB" w14:textId="77777777" w:rsidR="00A43992" w:rsidRDefault="00A43992" w:rsidP="007211E3">
            <w:pPr>
              <w:jc w:val="right"/>
              <w:rPr>
                <w:rFonts w:ascii="Arial" w:hAnsi="Arial" w:cs="Arial"/>
                <w:sz w:val="18"/>
                <w:szCs w:val="18"/>
              </w:rPr>
            </w:pPr>
            <w:r>
              <w:rPr>
                <w:rFonts w:ascii="Arial" w:hAnsi="Arial" w:cs="Arial"/>
                <w:sz w:val="18"/>
                <w:szCs w:val="18"/>
              </w:rPr>
              <w:t>3,416</w:t>
            </w:r>
          </w:p>
        </w:tc>
        <w:tc>
          <w:tcPr>
            <w:tcW w:w="1316" w:type="dxa"/>
            <w:tcBorders>
              <w:top w:val="single" w:sz="4" w:space="0" w:color="auto"/>
              <w:left w:val="nil"/>
              <w:bottom w:val="single" w:sz="4" w:space="0" w:color="auto"/>
              <w:right w:val="nil"/>
            </w:tcBorders>
            <w:shd w:val="clear" w:color="FFFFFF" w:fill="FFFFFF"/>
            <w:noWrap/>
            <w:vAlign w:val="bottom"/>
            <w:hideMark/>
          </w:tcPr>
          <w:p w14:paraId="1D0C0DBD" w14:textId="77777777" w:rsidR="00A43992" w:rsidRDefault="00A43992" w:rsidP="007211E3">
            <w:pPr>
              <w:jc w:val="right"/>
              <w:rPr>
                <w:rFonts w:ascii="Arial" w:hAnsi="Arial" w:cs="Arial"/>
                <w:sz w:val="18"/>
                <w:szCs w:val="18"/>
              </w:rPr>
            </w:pPr>
            <w:r>
              <w:rPr>
                <w:rFonts w:ascii="Arial" w:hAnsi="Arial" w:cs="Arial"/>
                <w:sz w:val="18"/>
                <w:szCs w:val="18"/>
              </w:rPr>
              <w:t>31,335</w:t>
            </w:r>
          </w:p>
        </w:tc>
      </w:tr>
    </w:tbl>
    <w:p w14:paraId="771A7150" w14:textId="77777777" w:rsidR="00A43992" w:rsidRDefault="00A43992" w:rsidP="00A43992">
      <w:pPr>
        <w:pStyle w:val="ReferenceText"/>
      </w:pPr>
      <w:bookmarkStart w:id="296" w:name="RANGE!E45:I64"/>
      <w:bookmarkStart w:id="297" w:name="RANGE!E46:I65"/>
      <w:bookmarkStart w:id="298" w:name="RANGE!E46:K65"/>
      <w:bookmarkStart w:id="299" w:name="RANGE!E47:K66"/>
      <w:bookmarkStart w:id="300" w:name="RANGE!E46:J65"/>
      <w:bookmarkStart w:id="301" w:name="RANGE!E43:J62"/>
      <w:bookmarkStart w:id="302" w:name="RANGE!E43:J63"/>
      <w:bookmarkStart w:id="303" w:name="RANGE!E45:J65"/>
      <w:bookmarkStart w:id="304" w:name="RANGE!E41:J61"/>
      <w:bookmarkStart w:id="305" w:name="RANGE!E57:L81"/>
      <w:bookmarkStart w:id="306" w:name="RANGE!E56:L80"/>
      <w:bookmarkStart w:id="307" w:name="RANGE!E60:L84"/>
      <w:bookmarkStart w:id="308" w:name="RANGE!E59:L83"/>
      <w:bookmarkStart w:id="309" w:name="RANGE!E59:K83"/>
      <w:bookmarkStart w:id="310" w:name="RANGE!E40:J60"/>
      <w:bookmarkStart w:id="311" w:name="RANGE!D7:G23"/>
      <w:bookmarkStart w:id="312" w:name="RANGE!D6:G22"/>
      <w:bookmarkStart w:id="313" w:name="RANGE!D6:D23"/>
      <w:bookmarkStart w:id="314" w:name="RANGE!D6:G23"/>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p>
    <w:p w14:paraId="4C7A14C1" w14:textId="77777777" w:rsidR="00A43992" w:rsidRPr="005E5430" w:rsidRDefault="00A43992" w:rsidP="00A43992">
      <w:pPr>
        <w:pStyle w:val="ReferenceText"/>
      </w:pPr>
      <w:r>
        <w:t xml:space="preserve">Property, plant and equipment and </w:t>
      </w:r>
      <w:r w:rsidRPr="005E5430">
        <w:t>Intangible assets were assessed for recoverable amounts and no indicators of impairment were found.</w:t>
      </w:r>
    </w:p>
    <w:p w14:paraId="027B1259" w14:textId="77777777" w:rsidR="00A43992" w:rsidRPr="005E5430" w:rsidRDefault="00A43992" w:rsidP="00A43992">
      <w:pPr>
        <w:pStyle w:val="ReferenceText"/>
      </w:pPr>
      <w:r w:rsidRPr="005E5430">
        <w:t>No</w:t>
      </w:r>
      <w:r>
        <w:t xml:space="preserve"> items of property, plant and equipment or</w:t>
      </w:r>
      <w:r w:rsidRPr="005E5430">
        <w:t xml:space="preserve"> intangibles are expected to be sold or disposed of within the next 12 months.</w:t>
      </w:r>
      <w:bookmarkStart w:id="315" w:name="RANGE!E7:G24"/>
      <w:bookmarkStart w:id="316" w:name="RANGE!E7:G23"/>
      <w:bookmarkStart w:id="317" w:name="RANGE!E7:G30"/>
      <w:bookmarkStart w:id="318" w:name="RANGE!E7:J47"/>
      <w:bookmarkStart w:id="319" w:name="RANGE!E6:J46"/>
      <w:bookmarkStart w:id="320" w:name="RANGE!E6:E47"/>
      <w:bookmarkStart w:id="321" w:name="RANGE!E6:J47"/>
      <w:bookmarkEnd w:id="315"/>
      <w:bookmarkEnd w:id="316"/>
      <w:bookmarkEnd w:id="317"/>
      <w:bookmarkEnd w:id="318"/>
      <w:bookmarkEnd w:id="319"/>
      <w:bookmarkEnd w:id="320"/>
      <w:bookmarkEnd w:id="321"/>
    </w:p>
    <w:p w14:paraId="467B98D4" w14:textId="77777777" w:rsidR="00A43992" w:rsidRPr="005E5430" w:rsidRDefault="00A43992" w:rsidP="00A43992">
      <w:pPr>
        <w:spacing w:line="240" w:lineRule="auto"/>
      </w:pPr>
      <w:bookmarkStart w:id="322" w:name="RANGE!E33:G50"/>
      <w:bookmarkEnd w:id="322"/>
      <w:r w:rsidRPr="005E5430">
        <w:br w:type="page"/>
      </w:r>
      <w:bookmarkStart w:id="323" w:name="RANGE!E39:G55"/>
      <w:bookmarkStart w:id="324" w:name="RANGE!E55:J79"/>
      <w:bookmarkStart w:id="325" w:name="RANGE!E56:J80"/>
      <w:bookmarkEnd w:id="323"/>
      <w:bookmarkEnd w:id="324"/>
      <w:bookmarkEnd w:id="325"/>
    </w:p>
    <w:p w14:paraId="0EA2D536" w14:textId="77777777" w:rsidR="00A43992" w:rsidRPr="005E5430" w:rsidRDefault="00A43992" w:rsidP="00A43992">
      <w:pPr>
        <w:sectPr w:rsidR="00A43992" w:rsidRPr="005E5430" w:rsidSect="007211E3">
          <w:type w:val="continuous"/>
          <w:pgSz w:w="16838" w:h="11906" w:orient="landscape" w:code="9"/>
          <w:pgMar w:top="1134" w:right="1670" w:bottom="1134" w:left="1134" w:header="958" w:footer="737" w:gutter="0"/>
          <w:cols w:space="708"/>
          <w:docGrid w:linePitch="360"/>
        </w:sectPr>
      </w:pPr>
    </w:p>
    <w:tbl>
      <w:tblPr>
        <w:tblW w:w="9087" w:type="dxa"/>
        <w:tblInd w:w="80" w:type="dxa"/>
        <w:tblLayout w:type="fixed"/>
        <w:tblLook w:val="04A0" w:firstRow="1" w:lastRow="0" w:firstColumn="1" w:lastColumn="0" w:noHBand="0" w:noVBand="1"/>
      </w:tblPr>
      <w:tblGrid>
        <w:gridCol w:w="6353"/>
        <w:gridCol w:w="1249"/>
        <w:gridCol w:w="236"/>
        <w:gridCol w:w="1249"/>
      </w:tblGrid>
      <w:tr w:rsidR="00A43992" w14:paraId="5DD83817" w14:textId="77777777" w:rsidTr="007211E3">
        <w:trPr>
          <w:trHeight w:val="255"/>
        </w:trPr>
        <w:tc>
          <w:tcPr>
            <w:tcW w:w="6353" w:type="dxa"/>
            <w:tcBorders>
              <w:top w:val="nil"/>
              <w:left w:val="nil"/>
              <w:bottom w:val="nil"/>
              <w:right w:val="nil"/>
            </w:tcBorders>
            <w:shd w:val="clear" w:color="FFFFFF" w:fill="FFFFFF"/>
            <w:noWrap/>
            <w:vAlign w:val="bottom"/>
            <w:hideMark/>
          </w:tcPr>
          <w:p w14:paraId="17DA3B15" w14:textId="77777777" w:rsidR="00A43992" w:rsidRDefault="00A43992" w:rsidP="007211E3">
            <w:pPr>
              <w:rPr>
                <w:rFonts w:ascii="Arial" w:hAnsi="Arial" w:cs="Arial"/>
                <w:sz w:val="18"/>
                <w:szCs w:val="18"/>
              </w:rPr>
            </w:pPr>
            <w:bookmarkStart w:id="326" w:name="Note_ONATABLE1" w:colFirst="0" w:colLast="0"/>
            <w:r>
              <w:rPr>
                <w:rFonts w:ascii="Arial" w:hAnsi="Arial" w:cs="Arial"/>
                <w:sz w:val="18"/>
                <w:szCs w:val="18"/>
              </w:rPr>
              <w:lastRenderedPageBreak/>
              <w:t> </w:t>
            </w:r>
          </w:p>
        </w:tc>
        <w:tc>
          <w:tcPr>
            <w:tcW w:w="1249" w:type="dxa"/>
            <w:tcBorders>
              <w:top w:val="nil"/>
              <w:left w:val="nil"/>
              <w:bottom w:val="nil"/>
              <w:right w:val="nil"/>
            </w:tcBorders>
            <w:shd w:val="clear" w:color="FFFFFF" w:fill="FFFFFF"/>
            <w:vAlign w:val="bottom"/>
            <w:hideMark/>
          </w:tcPr>
          <w:p w14:paraId="2A194C87" w14:textId="77777777" w:rsidR="00A43992" w:rsidRDefault="00A43992" w:rsidP="007211E3">
            <w:pPr>
              <w:jc w:val="right"/>
              <w:rPr>
                <w:rFonts w:ascii="Arial" w:hAnsi="Arial" w:cs="Arial"/>
                <w:b/>
                <w:bCs/>
                <w:sz w:val="18"/>
                <w:szCs w:val="18"/>
              </w:rPr>
            </w:pPr>
            <w:r>
              <w:rPr>
                <w:rFonts w:ascii="Arial" w:hAnsi="Arial" w:cs="Arial"/>
                <w:b/>
                <w:bCs/>
                <w:sz w:val="18"/>
                <w:szCs w:val="18"/>
              </w:rPr>
              <w:t>2016</w:t>
            </w:r>
          </w:p>
        </w:tc>
        <w:tc>
          <w:tcPr>
            <w:tcW w:w="236" w:type="dxa"/>
            <w:tcBorders>
              <w:top w:val="nil"/>
              <w:left w:val="nil"/>
              <w:bottom w:val="nil"/>
              <w:right w:val="nil"/>
            </w:tcBorders>
            <w:shd w:val="clear" w:color="FFFFFF" w:fill="FFFFFF"/>
            <w:noWrap/>
            <w:vAlign w:val="bottom"/>
            <w:hideMark/>
          </w:tcPr>
          <w:p w14:paraId="27999DDA" w14:textId="77777777" w:rsidR="00A43992" w:rsidRDefault="00A43992" w:rsidP="007211E3">
            <w:pPr>
              <w:rPr>
                <w:rFonts w:ascii="Arial" w:hAnsi="Arial" w:cs="Arial"/>
                <w:sz w:val="18"/>
                <w:szCs w:val="18"/>
              </w:rPr>
            </w:pPr>
            <w:r>
              <w:rPr>
                <w:rFonts w:ascii="Arial" w:hAnsi="Arial" w:cs="Arial"/>
                <w:sz w:val="18"/>
                <w:szCs w:val="18"/>
              </w:rPr>
              <w:t> </w:t>
            </w:r>
          </w:p>
        </w:tc>
        <w:tc>
          <w:tcPr>
            <w:tcW w:w="1249" w:type="dxa"/>
            <w:tcBorders>
              <w:top w:val="nil"/>
              <w:left w:val="nil"/>
              <w:bottom w:val="nil"/>
              <w:right w:val="nil"/>
            </w:tcBorders>
            <w:shd w:val="clear" w:color="FFFFFF" w:fill="FFFFFF"/>
            <w:vAlign w:val="bottom"/>
            <w:hideMark/>
          </w:tcPr>
          <w:p w14:paraId="4B49809F" w14:textId="77777777" w:rsidR="00A43992" w:rsidRDefault="00A43992" w:rsidP="007211E3">
            <w:pPr>
              <w:jc w:val="right"/>
              <w:rPr>
                <w:rFonts w:ascii="Arial" w:hAnsi="Arial" w:cs="Arial"/>
                <w:sz w:val="18"/>
                <w:szCs w:val="18"/>
              </w:rPr>
            </w:pPr>
            <w:r>
              <w:rPr>
                <w:rFonts w:ascii="Arial" w:hAnsi="Arial" w:cs="Arial"/>
                <w:sz w:val="18"/>
                <w:szCs w:val="18"/>
              </w:rPr>
              <w:t>2015</w:t>
            </w:r>
          </w:p>
        </w:tc>
      </w:tr>
      <w:tr w:rsidR="00A43992" w14:paraId="3093DB7A" w14:textId="77777777" w:rsidTr="007211E3">
        <w:trPr>
          <w:trHeight w:val="255"/>
        </w:trPr>
        <w:tc>
          <w:tcPr>
            <w:tcW w:w="6353" w:type="dxa"/>
            <w:tcBorders>
              <w:top w:val="nil"/>
              <w:left w:val="nil"/>
              <w:bottom w:val="nil"/>
              <w:right w:val="nil"/>
            </w:tcBorders>
            <w:shd w:val="clear" w:color="FFFFFF" w:fill="FFFFFF"/>
            <w:noWrap/>
            <w:vAlign w:val="bottom"/>
            <w:hideMark/>
          </w:tcPr>
          <w:p w14:paraId="4AECAC83" w14:textId="77777777" w:rsidR="00A43992" w:rsidRDefault="00A43992" w:rsidP="007211E3">
            <w:pPr>
              <w:rPr>
                <w:rFonts w:ascii="Arial" w:hAnsi="Arial" w:cs="Arial"/>
                <w:sz w:val="18"/>
                <w:szCs w:val="18"/>
              </w:rPr>
            </w:pPr>
            <w:bookmarkStart w:id="327" w:name="RANGE!D8:D17"/>
            <w:bookmarkEnd w:id="326"/>
            <w:r>
              <w:rPr>
                <w:rFonts w:ascii="Arial" w:hAnsi="Arial" w:cs="Arial"/>
                <w:sz w:val="18"/>
                <w:szCs w:val="18"/>
              </w:rPr>
              <w:t> </w:t>
            </w:r>
            <w:bookmarkEnd w:id="327"/>
          </w:p>
        </w:tc>
        <w:tc>
          <w:tcPr>
            <w:tcW w:w="1249" w:type="dxa"/>
            <w:tcBorders>
              <w:top w:val="nil"/>
              <w:left w:val="nil"/>
              <w:bottom w:val="nil"/>
              <w:right w:val="nil"/>
            </w:tcBorders>
            <w:shd w:val="clear" w:color="FFFFFF" w:fill="FFFFFF"/>
            <w:vAlign w:val="bottom"/>
            <w:hideMark/>
          </w:tcPr>
          <w:p w14:paraId="74A2F57A" w14:textId="77777777" w:rsidR="00A43992" w:rsidRDefault="00A43992" w:rsidP="007211E3">
            <w:pPr>
              <w:jc w:val="right"/>
              <w:rPr>
                <w:rFonts w:ascii="Arial" w:hAnsi="Arial" w:cs="Arial"/>
                <w:b/>
                <w:bCs/>
                <w:sz w:val="18"/>
                <w:szCs w:val="18"/>
              </w:rPr>
            </w:pPr>
            <w:r>
              <w:rPr>
                <w:rFonts w:ascii="Arial" w:hAnsi="Arial" w:cs="Arial"/>
                <w:b/>
                <w:bCs/>
                <w:sz w:val="18"/>
                <w:szCs w:val="18"/>
              </w:rPr>
              <w:t>$'000</w:t>
            </w:r>
          </w:p>
        </w:tc>
        <w:tc>
          <w:tcPr>
            <w:tcW w:w="236" w:type="dxa"/>
            <w:tcBorders>
              <w:top w:val="nil"/>
              <w:left w:val="nil"/>
              <w:bottom w:val="nil"/>
              <w:right w:val="nil"/>
            </w:tcBorders>
            <w:shd w:val="clear" w:color="FFFFFF" w:fill="FFFFFF"/>
            <w:noWrap/>
            <w:vAlign w:val="bottom"/>
            <w:hideMark/>
          </w:tcPr>
          <w:p w14:paraId="2AB04BFF" w14:textId="77777777" w:rsidR="00A43992" w:rsidRDefault="00A43992" w:rsidP="007211E3">
            <w:pPr>
              <w:rPr>
                <w:rFonts w:ascii="Arial" w:hAnsi="Arial" w:cs="Arial"/>
                <w:sz w:val="18"/>
                <w:szCs w:val="18"/>
              </w:rPr>
            </w:pPr>
            <w:r>
              <w:rPr>
                <w:rFonts w:ascii="Arial" w:hAnsi="Arial" w:cs="Arial"/>
                <w:sz w:val="18"/>
                <w:szCs w:val="18"/>
              </w:rPr>
              <w:t> </w:t>
            </w:r>
          </w:p>
        </w:tc>
        <w:tc>
          <w:tcPr>
            <w:tcW w:w="1249" w:type="dxa"/>
            <w:tcBorders>
              <w:top w:val="nil"/>
              <w:left w:val="nil"/>
              <w:bottom w:val="nil"/>
              <w:right w:val="nil"/>
            </w:tcBorders>
            <w:shd w:val="clear" w:color="FFFFFF" w:fill="FFFFFF"/>
            <w:vAlign w:val="bottom"/>
            <w:hideMark/>
          </w:tcPr>
          <w:p w14:paraId="48604715" w14:textId="77777777" w:rsidR="00A43992" w:rsidRDefault="00A43992" w:rsidP="007211E3">
            <w:pPr>
              <w:jc w:val="right"/>
              <w:rPr>
                <w:rFonts w:ascii="Arial" w:hAnsi="Arial" w:cs="Arial"/>
                <w:sz w:val="18"/>
                <w:szCs w:val="18"/>
              </w:rPr>
            </w:pPr>
            <w:r>
              <w:rPr>
                <w:rFonts w:ascii="Arial" w:hAnsi="Arial" w:cs="Arial"/>
                <w:sz w:val="18"/>
                <w:szCs w:val="18"/>
              </w:rPr>
              <w:t>$'000</w:t>
            </w:r>
          </w:p>
        </w:tc>
      </w:tr>
      <w:tr w:rsidR="00A43992" w14:paraId="271BD9DD" w14:textId="77777777" w:rsidTr="007211E3">
        <w:trPr>
          <w:trHeight w:val="255"/>
        </w:trPr>
        <w:tc>
          <w:tcPr>
            <w:tcW w:w="6353" w:type="dxa"/>
            <w:tcBorders>
              <w:top w:val="nil"/>
              <w:left w:val="nil"/>
              <w:bottom w:val="nil"/>
              <w:right w:val="nil"/>
            </w:tcBorders>
            <w:shd w:val="clear" w:color="FFFFFF" w:fill="FFFFFF"/>
            <w:noWrap/>
            <w:vAlign w:val="bottom"/>
            <w:hideMark/>
          </w:tcPr>
          <w:p w14:paraId="3357B1E9" w14:textId="77777777" w:rsidR="00A43992" w:rsidRDefault="00A43992" w:rsidP="007211E3">
            <w:pPr>
              <w:rPr>
                <w:rFonts w:ascii="Arial" w:hAnsi="Arial" w:cs="Arial"/>
                <w:b/>
                <w:bCs/>
                <w:sz w:val="18"/>
                <w:szCs w:val="18"/>
                <w:u w:val="single"/>
              </w:rPr>
            </w:pPr>
            <w:r>
              <w:rPr>
                <w:rFonts w:ascii="Arial" w:hAnsi="Arial" w:cs="Arial"/>
                <w:b/>
                <w:bCs/>
                <w:sz w:val="18"/>
                <w:szCs w:val="18"/>
                <w:u w:val="single"/>
              </w:rPr>
              <w:t>Note 2.2C: Other non-financial assets</w:t>
            </w:r>
          </w:p>
        </w:tc>
        <w:tc>
          <w:tcPr>
            <w:tcW w:w="1249" w:type="dxa"/>
            <w:tcBorders>
              <w:top w:val="nil"/>
              <w:left w:val="nil"/>
              <w:bottom w:val="nil"/>
              <w:right w:val="nil"/>
            </w:tcBorders>
            <w:shd w:val="clear" w:color="FFFFFF" w:fill="FFFFFF"/>
            <w:noWrap/>
            <w:vAlign w:val="bottom"/>
            <w:hideMark/>
          </w:tcPr>
          <w:p w14:paraId="46510246" w14:textId="77777777" w:rsidR="00A43992" w:rsidRDefault="00A43992" w:rsidP="007211E3">
            <w:pPr>
              <w:rPr>
                <w:rFonts w:ascii="Arial" w:hAnsi="Arial" w:cs="Arial"/>
                <w:sz w:val="18"/>
                <w:szCs w:val="18"/>
              </w:rPr>
            </w:pPr>
            <w:r>
              <w:rPr>
                <w:rFonts w:ascii="Arial" w:hAnsi="Arial" w:cs="Arial"/>
                <w:sz w:val="18"/>
                <w:szCs w:val="18"/>
              </w:rPr>
              <w:t> </w:t>
            </w:r>
          </w:p>
        </w:tc>
        <w:tc>
          <w:tcPr>
            <w:tcW w:w="236" w:type="dxa"/>
            <w:tcBorders>
              <w:top w:val="nil"/>
              <w:left w:val="nil"/>
              <w:bottom w:val="nil"/>
              <w:right w:val="nil"/>
            </w:tcBorders>
            <w:shd w:val="clear" w:color="FFFFFF" w:fill="FFFFFF"/>
            <w:noWrap/>
            <w:vAlign w:val="bottom"/>
            <w:hideMark/>
          </w:tcPr>
          <w:p w14:paraId="2CD10DF9" w14:textId="77777777" w:rsidR="00A43992" w:rsidRDefault="00A43992" w:rsidP="007211E3">
            <w:pPr>
              <w:rPr>
                <w:rFonts w:ascii="Arial" w:hAnsi="Arial" w:cs="Arial"/>
                <w:sz w:val="18"/>
                <w:szCs w:val="18"/>
              </w:rPr>
            </w:pPr>
            <w:r>
              <w:rPr>
                <w:rFonts w:ascii="Arial" w:hAnsi="Arial" w:cs="Arial"/>
                <w:sz w:val="18"/>
                <w:szCs w:val="18"/>
              </w:rPr>
              <w:t> </w:t>
            </w:r>
          </w:p>
        </w:tc>
        <w:tc>
          <w:tcPr>
            <w:tcW w:w="1249" w:type="dxa"/>
            <w:tcBorders>
              <w:top w:val="nil"/>
              <w:left w:val="nil"/>
              <w:bottom w:val="nil"/>
              <w:right w:val="nil"/>
            </w:tcBorders>
            <w:shd w:val="clear" w:color="FFFFFF" w:fill="FFFFFF"/>
            <w:noWrap/>
            <w:vAlign w:val="bottom"/>
            <w:hideMark/>
          </w:tcPr>
          <w:p w14:paraId="6B11DB6D" w14:textId="77777777" w:rsidR="00A43992" w:rsidRDefault="00A43992" w:rsidP="007211E3">
            <w:pPr>
              <w:rPr>
                <w:rFonts w:ascii="Arial" w:hAnsi="Arial" w:cs="Arial"/>
                <w:sz w:val="18"/>
                <w:szCs w:val="18"/>
              </w:rPr>
            </w:pPr>
            <w:r>
              <w:rPr>
                <w:rFonts w:ascii="Arial" w:hAnsi="Arial" w:cs="Arial"/>
                <w:sz w:val="18"/>
                <w:szCs w:val="18"/>
              </w:rPr>
              <w:t> </w:t>
            </w:r>
          </w:p>
        </w:tc>
      </w:tr>
      <w:tr w:rsidR="00A43992" w14:paraId="5ADCE1B0" w14:textId="77777777" w:rsidTr="007211E3">
        <w:trPr>
          <w:trHeight w:val="285"/>
        </w:trPr>
        <w:tc>
          <w:tcPr>
            <w:tcW w:w="6353" w:type="dxa"/>
            <w:tcBorders>
              <w:top w:val="nil"/>
              <w:left w:val="nil"/>
              <w:bottom w:val="nil"/>
              <w:right w:val="nil"/>
            </w:tcBorders>
            <w:shd w:val="clear" w:color="FFFFFF" w:fill="FFFFFF"/>
            <w:noWrap/>
            <w:vAlign w:val="bottom"/>
            <w:hideMark/>
          </w:tcPr>
          <w:p w14:paraId="7281B119" w14:textId="77777777" w:rsidR="00A43992" w:rsidRDefault="00A43992" w:rsidP="007211E3">
            <w:pPr>
              <w:rPr>
                <w:rFonts w:ascii="Arial" w:hAnsi="Arial" w:cs="Arial"/>
                <w:sz w:val="18"/>
                <w:szCs w:val="18"/>
              </w:rPr>
            </w:pPr>
            <w:r>
              <w:rPr>
                <w:rFonts w:ascii="Arial" w:hAnsi="Arial" w:cs="Arial"/>
                <w:sz w:val="18"/>
                <w:szCs w:val="18"/>
              </w:rPr>
              <w:t>Participant advances</w:t>
            </w:r>
            <w:r>
              <w:rPr>
                <w:rFonts w:ascii="Arial" w:hAnsi="Arial" w:cs="Arial"/>
                <w:vertAlign w:val="superscript"/>
              </w:rPr>
              <w:t>1</w:t>
            </w:r>
          </w:p>
        </w:tc>
        <w:tc>
          <w:tcPr>
            <w:tcW w:w="1249" w:type="dxa"/>
            <w:tcBorders>
              <w:top w:val="nil"/>
              <w:left w:val="nil"/>
              <w:bottom w:val="nil"/>
              <w:right w:val="nil"/>
            </w:tcBorders>
            <w:shd w:val="clear" w:color="FFFFFF" w:fill="FFFFFF"/>
            <w:noWrap/>
            <w:vAlign w:val="bottom"/>
            <w:hideMark/>
          </w:tcPr>
          <w:p w14:paraId="747406A9" w14:textId="77777777" w:rsidR="00A43992" w:rsidRDefault="00A43992" w:rsidP="007211E3">
            <w:pPr>
              <w:jc w:val="right"/>
              <w:rPr>
                <w:rFonts w:ascii="Arial" w:hAnsi="Arial" w:cs="Arial"/>
                <w:b/>
                <w:bCs/>
                <w:sz w:val="18"/>
                <w:szCs w:val="18"/>
              </w:rPr>
            </w:pPr>
            <w:r>
              <w:rPr>
                <w:rFonts w:ascii="Arial" w:hAnsi="Arial" w:cs="Arial"/>
                <w:b/>
                <w:bCs/>
                <w:sz w:val="18"/>
                <w:szCs w:val="18"/>
              </w:rPr>
              <w:t>7,060</w:t>
            </w:r>
          </w:p>
        </w:tc>
        <w:tc>
          <w:tcPr>
            <w:tcW w:w="236" w:type="dxa"/>
            <w:tcBorders>
              <w:top w:val="nil"/>
              <w:left w:val="nil"/>
              <w:bottom w:val="nil"/>
              <w:right w:val="nil"/>
            </w:tcBorders>
            <w:shd w:val="clear" w:color="FFFFFF" w:fill="FFFFFF"/>
            <w:noWrap/>
            <w:vAlign w:val="bottom"/>
            <w:hideMark/>
          </w:tcPr>
          <w:p w14:paraId="223087E5" w14:textId="77777777" w:rsidR="00A43992" w:rsidRDefault="00A43992" w:rsidP="007211E3">
            <w:pPr>
              <w:rPr>
                <w:rFonts w:ascii="Arial" w:hAnsi="Arial" w:cs="Arial"/>
                <w:sz w:val="18"/>
                <w:szCs w:val="18"/>
              </w:rPr>
            </w:pPr>
            <w:r>
              <w:rPr>
                <w:rFonts w:ascii="Arial" w:hAnsi="Arial" w:cs="Arial"/>
                <w:sz w:val="18"/>
                <w:szCs w:val="18"/>
              </w:rPr>
              <w:t> </w:t>
            </w:r>
          </w:p>
        </w:tc>
        <w:tc>
          <w:tcPr>
            <w:tcW w:w="1249" w:type="dxa"/>
            <w:tcBorders>
              <w:top w:val="nil"/>
              <w:left w:val="nil"/>
              <w:bottom w:val="nil"/>
              <w:right w:val="nil"/>
            </w:tcBorders>
            <w:shd w:val="clear" w:color="FFFFFF" w:fill="FFFFFF"/>
            <w:noWrap/>
            <w:vAlign w:val="bottom"/>
            <w:hideMark/>
          </w:tcPr>
          <w:p w14:paraId="3ADA1177" w14:textId="77777777" w:rsidR="00A43992" w:rsidRDefault="00A43992" w:rsidP="007211E3">
            <w:pPr>
              <w:jc w:val="right"/>
              <w:rPr>
                <w:rFonts w:ascii="Arial" w:hAnsi="Arial" w:cs="Arial"/>
                <w:sz w:val="18"/>
                <w:szCs w:val="18"/>
              </w:rPr>
            </w:pPr>
            <w:r>
              <w:rPr>
                <w:rFonts w:ascii="Arial" w:hAnsi="Arial" w:cs="Arial"/>
                <w:sz w:val="18"/>
                <w:szCs w:val="18"/>
              </w:rPr>
              <w:t>3,137</w:t>
            </w:r>
          </w:p>
        </w:tc>
      </w:tr>
      <w:tr w:rsidR="00A43992" w14:paraId="09A283A8" w14:textId="77777777" w:rsidTr="007211E3">
        <w:trPr>
          <w:trHeight w:val="270"/>
        </w:trPr>
        <w:tc>
          <w:tcPr>
            <w:tcW w:w="6353" w:type="dxa"/>
            <w:tcBorders>
              <w:top w:val="nil"/>
              <w:left w:val="nil"/>
              <w:bottom w:val="nil"/>
              <w:right w:val="nil"/>
            </w:tcBorders>
            <w:shd w:val="clear" w:color="FFFFFF" w:fill="FFFFFF"/>
            <w:noWrap/>
            <w:vAlign w:val="bottom"/>
            <w:hideMark/>
          </w:tcPr>
          <w:p w14:paraId="66CB0682" w14:textId="77777777" w:rsidR="00A43992" w:rsidRDefault="00A43992" w:rsidP="007211E3">
            <w:pPr>
              <w:rPr>
                <w:rFonts w:ascii="Arial" w:hAnsi="Arial" w:cs="Arial"/>
                <w:sz w:val="18"/>
                <w:szCs w:val="18"/>
              </w:rPr>
            </w:pPr>
            <w:r>
              <w:rPr>
                <w:rFonts w:ascii="Arial" w:hAnsi="Arial" w:cs="Arial"/>
                <w:sz w:val="18"/>
                <w:szCs w:val="18"/>
              </w:rPr>
              <w:t>Participant plan prepayments</w:t>
            </w:r>
            <w:r>
              <w:rPr>
                <w:rFonts w:ascii="Arial" w:hAnsi="Arial" w:cs="Arial"/>
                <w:sz w:val="18"/>
                <w:szCs w:val="18"/>
                <w:vertAlign w:val="superscript"/>
              </w:rPr>
              <w:t>2</w:t>
            </w:r>
          </w:p>
        </w:tc>
        <w:tc>
          <w:tcPr>
            <w:tcW w:w="1249" w:type="dxa"/>
            <w:tcBorders>
              <w:top w:val="nil"/>
              <w:left w:val="nil"/>
              <w:bottom w:val="nil"/>
              <w:right w:val="nil"/>
            </w:tcBorders>
            <w:shd w:val="clear" w:color="FFFFFF" w:fill="FFFFFF"/>
            <w:noWrap/>
            <w:vAlign w:val="bottom"/>
            <w:hideMark/>
          </w:tcPr>
          <w:p w14:paraId="15C5A6CF" w14:textId="77777777" w:rsidR="00A43992" w:rsidRDefault="00A43992" w:rsidP="007211E3">
            <w:pPr>
              <w:jc w:val="right"/>
              <w:rPr>
                <w:rFonts w:ascii="Arial" w:hAnsi="Arial" w:cs="Arial"/>
                <w:b/>
                <w:bCs/>
                <w:sz w:val="18"/>
                <w:szCs w:val="18"/>
              </w:rPr>
            </w:pPr>
            <w:r>
              <w:rPr>
                <w:rFonts w:ascii="Arial" w:hAnsi="Arial" w:cs="Arial"/>
                <w:b/>
                <w:bCs/>
                <w:sz w:val="18"/>
                <w:szCs w:val="18"/>
              </w:rPr>
              <w:t>275</w:t>
            </w:r>
          </w:p>
        </w:tc>
        <w:tc>
          <w:tcPr>
            <w:tcW w:w="236" w:type="dxa"/>
            <w:tcBorders>
              <w:top w:val="nil"/>
              <w:left w:val="nil"/>
              <w:bottom w:val="nil"/>
              <w:right w:val="nil"/>
            </w:tcBorders>
            <w:shd w:val="clear" w:color="FFFFFF" w:fill="FFFFFF"/>
            <w:noWrap/>
            <w:vAlign w:val="bottom"/>
            <w:hideMark/>
          </w:tcPr>
          <w:p w14:paraId="5A9D1728" w14:textId="77777777" w:rsidR="00A43992" w:rsidRDefault="00A43992" w:rsidP="007211E3">
            <w:pPr>
              <w:rPr>
                <w:rFonts w:ascii="Arial" w:hAnsi="Arial" w:cs="Arial"/>
                <w:sz w:val="18"/>
                <w:szCs w:val="18"/>
              </w:rPr>
            </w:pPr>
            <w:r>
              <w:rPr>
                <w:rFonts w:ascii="Arial" w:hAnsi="Arial" w:cs="Arial"/>
                <w:sz w:val="18"/>
                <w:szCs w:val="18"/>
              </w:rPr>
              <w:t> </w:t>
            </w:r>
          </w:p>
        </w:tc>
        <w:tc>
          <w:tcPr>
            <w:tcW w:w="1249" w:type="dxa"/>
            <w:tcBorders>
              <w:top w:val="nil"/>
              <w:left w:val="nil"/>
              <w:bottom w:val="nil"/>
              <w:right w:val="nil"/>
            </w:tcBorders>
            <w:shd w:val="clear" w:color="FFFFFF" w:fill="FFFFFF"/>
            <w:noWrap/>
            <w:vAlign w:val="bottom"/>
            <w:hideMark/>
          </w:tcPr>
          <w:p w14:paraId="578E5011" w14:textId="77777777" w:rsidR="00A43992" w:rsidRDefault="00A43992" w:rsidP="007211E3">
            <w:pPr>
              <w:jc w:val="right"/>
              <w:rPr>
                <w:rFonts w:ascii="Arial" w:hAnsi="Arial" w:cs="Arial"/>
                <w:sz w:val="18"/>
                <w:szCs w:val="18"/>
              </w:rPr>
            </w:pPr>
            <w:r>
              <w:rPr>
                <w:rFonts w:ascii="Arial" w:hAnsi="Arial" w:cs="Arial"/>
                <w:sz w:val="18"/>
                <w:szCs w:val="18"/>
              </w:rPr>
              <w:t>328</w:t>
            </w:r>
          </w:p>
        </w:tc>
      </w:tr>
      <w:tr w:rsidR="00A43992" w14:paraId="4AD9B7AE" w14:textId="77777777" w:rsidTr="007211E3">
        <w:trPr>
          <w:trHeight w:val="255"/>
        </w:trPr>
        <w:tc>
          <w:tcPr>
            <w:tcW w:w="6353" w:type="dxa"/>
            <w:tcBorders>
              <w:top w:val="nil"/>
              <w:left w:val="nil"/>
              <w:bottom w:val="nil"/>
              <w:right w:val="nil"/>
            </w:tcBorders>
            <w:shd w:val="clear" w:color="FFFFFF" w:fill="FFFFFF"/>
            <w:noWrap/>
            <w:vAlign w:val="bottom"/>
            <w:hideMark/>
          </w:tcPr>
          <w:p w14:paraId="3AA17197" w14:textId="77777777" w:rsidR="00A43992" w:rsidRDefault="00A43992" w:rsidP="007211E3">
            <w:pPr>
              <w:rPr>
                <w:rFonts w:ascii="Arial" w:hAnsi="Arial" w:cs="Arial"/>
                <w:sz w:val="18"/>
                <w:szCs w:val="18"/>
              </w:rPr>
            </w:pPr>
            <w:r>
              <w:rPr>
                <w:rFonts w:ascii="Arial" w:hAnsi="Arial" w:cs="Arial"/>
                <w:sz w:val="18"/>
                <w:szCs w:val="18"/>
              </w:rPr>
              <w:t>Other prepayments</w:t>
            </w:r>
          </w:p>
        </w:tc>
        <w:tc>
          <w:tcPr>
            <w:tcW w:w="1249" w:type="dxa"/>
            <w:tcBorders>
              <w:top w:val="nil"/>
              <w:left w:val="nil"/>
              <w:bottom w:val="nil"/>
              <w:right w:val="nil"/>
            </w:tcBorders>
            <w:shd w:val="clear" w:color="FFFFFF" w:fill="FFFFFF"/>
            <w:noWrap/>
            <w:vAlign w:val="bottom"/>
            <w:hideMark/>
          </w:tcPr>
          <w:p w14:paraId="5E8F721D" w14:textId="77777777" w:rsidR="00A43992" w:rsidRDefault="00A43992" w:rsidP="007211E3">
            <w:pPr>
              <w:jc w:val="right"/>
              <w:rPr>
                <w:rFonts w:ascii="Arial" w:hAnsi="Arial" w:cs="Arial"/>
                <w:b/>
                <w:bCs/>
                <w:sz w:val="18"/>
                <w:szCs w:val="18"/>
              </w:rPr>
            </w:pPr>
            <w:r>
              <w:rPr>
                <w:rFonts w:ascii="Arial" w:hAnsi="Arial" w:cs="Arial"/>
                <w:b/>
                <w:bCs/>
                <w:sz w:val="18"/>
                <w:szCs w:val="18"/>
              </w:rPr>
              <w:t>3,137</w:t>
            </w:r>
          </w:p>
        </w:tc>
        <w:tc>
          <w:tcPr>
            <w:tcW w:w="236" w:type="dxa"/>
            <w:tcBorders>
              <w:top w:val="nil"/>
              <w:left w:val="nil"/>
              <w:bottom w:val="nil"/>
              <w:right w:val="nil"/>
            </w:tcBorders>
            <w:shd w:val="clear" w:color="FFFFFF" w:fill="FFFFFF"/>
            <w:noWrap/>
            <w:vAlign w:val="bottom"/>
            <w:hideMark/>
          </w:tcPr>
          <w:p w14:paraId="4019AE95" w14:textId="77777777" w:rsidR="00A43992" w:rsidRDefault="00A43992" w:rsidP="007211E3">
            <w:pPr>
              <w:rPr>
                <w:rFonts w:ascii="Arial" w:hAnsi="Arial" w:cs="Arial"/>
                <w:sz w:val="18"/>
                <w:szCs w:val="18"/>
              </w:rPr>
            </w:pPr>
            <w:r>
              <w:rPr>
                <w:rFonts w:ascii="Arial" w:hAnsi="Arial" w:cs="Arial"/>
                <w:sz w:val="18"/>
                <w:szCs w:val="18"/>
              </w:rPr>
              <w:t> </w:t>
            </w:r>
          </w:p>
        </w:tc>
        <w:tc>
          <w:tcPr>
            <w:tcW w:w="1249" w:type="dxa"/>
            <w:tcBorders>
              <w:top w:val="nil"/>
              <w:left w:val="nil"/>
              <w:bottom w:val="nil"/>
              <w:right w:val="nil"/>
            </w:tcBorders>
            <w:shd w:val="clear" w:color="FFFFFF" w:fill="FFFFFF"/>
            <w:noWrap/>
            <w:vAlign w:val="bottom"/>
            <w:hideMark/>
          </w:tcPr>
          <w:p w14:paraId="344B611F" w14:textId="77777777" w:rsidR="00A43992" w:rsidRDefault="00A43992" w:rsidP="007211E3">
            <w:pPr>
              <w:jc w:val="right"/>
              <w:rPr>
                <w:rFonts w:ascii="Arial" w:hAnsi="Arial" w:cs="Arial"/>
                <w:sz w:val="18"/>
                <w:szCs w:val="18"/>
              </w:rPr>
            </w:pPr>
            <w:r>
              <w:rPr>
                <w:rFonts w:ascii="Arial" w:hAnsi="Arial" w:cs="Arial"/>
                <w:sz w:val="18"/>
                <w:szCs w:val="18"/>
              </w:rPr>
              <w:t>809</w:t>
            </w:r>
          </w:p>
        </w:tc>
      </w:tr>
      <w:tr w:rsidR="00A43992" w14:paraId="532CC598" w14:textId="77777777" w:rsidTr="007211E3">
        <w:trPr>
          <w:trHeight w:val="255"/>
        </w:trPr>
        <w:tc>
          <w:tcPr>
            <w:tcW w:w="6353" w:type="dxa"/>
            <w:tcBorders>
              <w:top w:val="nil"/>
              <w:left w:val="nil"/>
              <w:bottom w:val="nil"/>
              <w:right w:val="nil"/>
            </w:tcBorders>
            <w:shd w:val="clear" w:color="FFFFFF" w:fill="FFFFFF"/>
            <w:vAlign w:val="bottom"/>
            <w:hideMark/>
          </w:tcPr>
          <w:p w14:paraId="1D686AC0" w14:textId="77777777" w:rsidR="00A43992" w:rsidRDefault="00A43992" w:rsidP="007211E3">
            <w:pPr>
              <w:rPr>
                <w:rFonts w:ascii="Arial" w:hAnsi="Arial" w:cs="Arial"/>
                <w:b/>
                <w:bCs/>
                <w:sz w:val="18"/>
                <w:szCs w:val="18"/>
              </w:rPr>
            </w:pPr>
            <w:r>
              <w:rPr>
                <w:rFonts w:ascii="Arial" w:hAnsi="Arial" w:cs="Arial"/>
                <w:b/>
                <w:bCs/>
                <w:sz w:val="18"/>
                <w:szCs w:val="18"/>
              </w:rPr>
              <w:t>Total other non-financial assets</w:t>
            </w:r>
          </w:p>
        </w:tc>
        <w:tc>
          <w:tcPr>
            <w:tcW w:w="1249" w:type="dxa"/>
            <w:tcBorders>
              <w:top w:val="single" w:sz="4" w:space="0" w:color="auto"/>
              <w:left w:val="nil"/>
              <w:bottom w:val="single" w:sz="4" w:space="0" w:color="auto"/>
              <w:right w:val="nil"/>
            </w:tcBorders>
            <w:shd w:val="clear" w:color="FFFFFF" w:fill="FFFFFF"/>
            <w:noWrap/>
            <w:vAlign w:val="bottom"/>
            <w:hideMark/>
          </w:tcPr>
          <w:p w14:paraId="49D407BD" w14:textId="77777777" w:rsidR="00A43992" w:rsidRDefault="00A43992" w:rsidP="007211E3">
            <w:pPr>
              <w:jc w:val="right"/>
              <w:rPr>
                <w:rFonts w:ascii="Arial" w:hAnsi="Arial" w:cs="Arial"/>
                <w:b/>
                <w:bCs/>
                <w:sz w:val="18"/>
                <w:szCs w:val="18"/>
              </w:rPr>
            </w:pPr>
            <w:r>
              <w:rPr>
                <w:rFonts w:ascii="Arial" w:hAnsi="Arial" w:cs="Arial"/>
                <w:b/>
                <w:bCs/>
                <w:sz w:val="18"/>
                <w:szCs w:val="18"/>
              </w:rPr>
              <w:t>10,472</w:t>
            </w:r>
          </w:p>
        </w:tc>
        <w:tc>
          <w:tcPr>
            <w:tcW w:w="236" w:type="dxa"/>
            <w:tcBorders>
              <w:top w:val="nil"/>
              <w:left w:val="nil"/>
              <w:bottom w:val="nil"/>
              <w:right w:val="nil"/>
            </w:tcBorders>
            <w:shd w:val="clear" w:color="FFFFFF" w:fill="FFFFFF"/>
            <w:noWrap/>
            <w:vAlign w:val="bottom"/>
            <w:hideMark/>
          </w:tcPr>
          <w:p w14:paraId="6639BC25" w14:textId="77777777" w:rsidR="00A43992" w:rsidRDefault="00A43992" w:rsidP="007211E3">
            <w:pPr>
              <w:rPr>
                <w:rFonts w:ascii="Arial" w:hAnsi="Arial" w:cs="Arial"/>
                <w:sz w:val="18"/>
                <w:szCs w:val="18"/>
              </w:rPr>
            </w:pPr>
            <w:r>
              <w:rPr>
                <w:rFonts w:ascii="Arial" w:hAnsi="Arial" w:cs="Arial"/>
                <w:sz w:val="18"/>
                <w:szCs w:val="18"/>
              </w:rPr>
              <w:t> </w:t>
            </w:r>
          </w:p>
        </w:tc>
        <w:tc>
          <w:tcPr>
            <w:tcW w:w="1249" w:type="dxa"/>
            <w:tcBorders>
              <w:top w:val="single" w:sz="4" w:space="0" w:color="auto"/>
              <w:left w:val="nil"/>
              <w:bottom w:val="single" w:sz="4" w:space="0" w:color="auto"/>
              <w:right w:val="nil"/>
            </w:tcBorders>
            <w:shd w:val="clear" w:color="FFFFFF" w:fill="FFFFFF"/>
            <w:noWrap/>
            <w:vAlign w:val="bottom"/>
            <w:hideMark/>
          </w:tcPr>
          <w:p w14:paraId="4FF3B327" w14:textId="77777777" w:rsidR="00A43992" w:rsidRDefault="00A43992" w:rsidP="007211E3">
            <w:pPr>
              <w:jc w:val="right"/>
              <w:rPr>
                <w:rFonts w:ascii="Arial" w:hAnsi="Arial" w:cs="Arial"/>
                <w:sz w:val="18"/>
                <w:szCs w:val="18"/>
              </w:rPr>
            </w:pPr>
            <w:r>
              <w:rPr>
                <w:rFonts w:ascii="Arial" w:hAnsi="Arial" w:cs="Arial"/>
                <w:sz w:val="18"/>
                <w:szCs w:val="18"/>
              </w:rPr>
              <w:t>4,274</w:t>
            </w:r>
          </w:p>
        </w:tc>
      </w:tr>
      <w:tr w:rsidR="00A43992" w14:paraId="685F0607" w14:textId="77777777" w:rsidTr="007211E3">
        <w:trPr>
          <w:trHeight w:val="255"/>
        </w:trPr>
        <w:tc>
          <w:tcPr>
            <w:tcW w:w="6353" w:type="dxa"/>
            <w:tcBorders>
              <w:top w:val="nil"/>
              <w:left w:val="nil"/>
              <w:bottom w:val="nil"/>
              <w:right w:val="nil"/>
            </w:tcBorders>
            <w:shd w:val="clear" w:color="FFFFFF" w:fill="FFFFFF"/>
            <w:noWrap/>
            <w:vAlign w:val="bottom"/>
            <w:hideMark/>
          </w:tcPr>
          <w:p w14:paraId="77A53DAB" w14:textId="77777777" w:rsidR="00A43992" w:rsidRDefault="00A43992" w:rsidP="007211E3">
            <w:pPr>
              <w:rPr>
                <w:rFonts w:ascii="Arial" w:hAnsi="Arial" w:cs="Arial"/>
                <w:sz w:val="18"/>
                <w:szCs w:val="18"/>
              </w:rPr>
            </w:pPr>
            <w:r>
              <w:rPr>
                <w:rFonts w:ascii="Arial" w:hAnsi="Arial" w:cs="Arial"/>
                <w:sz w:val="18"/>
                <w:szCs w:val="18"/>
              </w:rPr>
              <w:t> </w:t>
            </w:r>
          </w:p>
        </w:tc>
        <w:tc>
          <w:tcPr>
            <w:tcW w:w="1249" w:type="dxa"/>
            <w:tcBorders>
              <w:top w:val="nil"/>
              <w:left w:val="nil"/>
              <w:bottom w:val="nil"/>
              <w:right w:val="nil"/>
            </w:tcBorders>
            <w:shd w:val="clear" w:color="FFFFFF" w:fill="FFFFFF"/>
            <w:noWrap/>
            <w:vAlign w:val="bottom"/>
            <w:hideMark/>
          </w:tcPr>
          <w:p w14:paraId="193BC714" w14:textId="77777777" w:rsidR="00A43992" w:rsidRDefault="00A43992" w:rsidP="007211E3">
            <w:pPr>
              <w:rPr>
                <w:rFonts w:ascii="Arial" w:hAnsi="Arial" w:cs="Arial"/>
                <w:sz w:val="18"/>
                <w:szCs w:val="18"/>
              </w:rPr>
            </w:pPr>
            <w:r>
              <w:rPr>
                <w:rFonts w:ascii="Arial" w:hAnsi="Arial" w:cs="Arial"/>
                <w:sz w:val="18"/>
                <w:szCs w:val="18"/>
              </w:rPr>
              <w:t> </w:t>
            </w:r>
          </w:p>
        </w:tc>
        <w:tc>
          <w:tcPr>
            <w:tcW w:w="236" w:type="dxa"/>
            <w:tcBorders>
              <w:top w:val="nil"/>
              <w:left w:val="nil"/>
              <w:bottom w:val="nil"/>
              <w:right w:val="nil"/>
            </w:tcBorders>
            <w:shd w:val="clear" w:color="FFFFFF" w:fill="FFFFFF"/>
            <w:noWrap/>
            <w:vAlign w:val="bottom"/>
            <w:hideMark/>
          </w:tcPr>
          <w:p w14:paraId="25510AC8" w14:textId="77777777" w:rsidR="00A43992" w:rsidRDefault="00A43992" w:rsidP="007211E3">
            <w:pPr>
              <w:rPr>
                <w:rFonts w:ascii="Arial" w:hAnsi="Arial" w:cs="Arial"/>
                <w:sz w:val="18"/>
                <w:szCs w:val="18"/>
              </w:rPr>
            </w:pPr>
            <w:r>
              <w:rPr>
                <w:rFonts w:ascii="Arial" w:hAnsi="Arial" w:cs="Arial"/>
                <w:sz w:val="18"/>
                <w:szCs w:val="18"/>
              </w:rPr>
              <w:t> </w:t>
            </w:r>
          </w:p>
        </w:tc>
        <w:tc>
          <w:tcPr>
            <w:tcW w:w="1249" w:type="dxa"/>
            <w:tcBorders>
              <w:top w:val="nil"/>
              <w:left w:val="nil"/>
              <w:bottom w:val="nil"/>
              <w:right w:val="nil"/>
            </w:tcBorders>
            <w:shd w:val="clear" w:color="FFFFFF" w:fill="FFFFFF"/>
            <w:noWrap/>
            <w:vAlign w:val="bottom"/>
            <w:hideMark/>
          </w:tcPr>
          <w:p w14:paraId="31175D32" w14:textId="77777777" w:rsidR="00A43992" w:rsidRDefault="00A43992" w:rsidP="007211E3">
            <w:pPr>
              <w:rPr>
                <w:rFonts w:ascii="Arial" w:hAnsi="Arial" w:cs="Arial"/>
                <w:sz w:val="18"/>
                <w:szCs w:val="18"/>
              </w:rPr>
            </w:pPr>
            <w:r>
              <w:rPr>
                <w:rFonts w:ascii="Arial" w:hAnsi="Arial" w:cs="Arial"/>
                <w:sz w:val="18"/>
                <w:szCs w:val="18"/>
              </w:rPr>
              <w:t> </w:t>
            </w:r>
          </w:p>
        </w:tc>
      </w:tr>
      <w:tr w:rsidR="00A43992" w14:paraId="398A289D" w14:textId="77777777" w:rsidTr="007211E3">
        <w:trPr>
          <w:trHeight w:val="255"/>
        </w:trPr>
        <w:tc>
          <w:tcPr>
            <w:tcW w:w="6353" w:type="dxa"/>
            <w:tcBorders>
              <w:top w:val="nil"/>
              <w:left w:val="nil"/>
              <w:bottom w:val="nil"/>
              <w:right w:val="nil"/>
            </w:tcBorders>
            <w:shd w:val="clear" w:color="FFFFFF" w:fill="FFFFFF"/>
            <w:vAlign w:val="bottom"/>
            <w:hideMark/>
          </w:tcPr>
          <w:p w14:paraId="20772398" w14:textId="77777777" w:rsidR="00A43992" w:rsidRDefault="00A43992" w:rsidP="007211E3">
            <w:pPr>
              <w:rPr>
                <w:rFonts w:ascii="Arial" w:hAnsi="Arial" w:cs="Arial"/>
                <w:b/>
                <w:bCs/>
                <w:sz w:val="18"/>
                <w:szCs w:val="18"/>
              </w:rPr>
            </w:pPr>
            <w:r>
              <w:rPr>
                <w:rFonts w:ascii="Arial" w:hAnsi="Arial" w:cs="Arial"/>
                <w:b/>
                <w:bCs/>
                <w:sz w:val="18"/>
                <w:szCs w:val="18"/>
              </w:rPr>
              <w:t>Other non-financial assets expected to be recovered</w:t>
            </w:r>
          </w:p>
        </w:tc>
        <w:tc>
          <w:tcPr>
            <w:tcW w:w="1249" w:type="dxa"/>
            <w:tcBorders>
              <w:top w:val="nil"/>
              <w:left w:val="nil"/>
              <w:bottom w:val="nil"/>
              <w:right w:val="nil"/>
            </w:tcBorders>
            <w:shd w:val="clear" w:color="FFFFFF" w:fill="FFFFFF"/>
            <w:noWrap/>
            <w:vAlign w:val="bottom"/>
            <w:hideMark/>
          </w:tcPr>
          <w:p w14:paraId="159D4B06" w14:textId="77777777" w:rsidR="00A43992" w:rsidRDefault="00A43992" w:rsidP="007211E3">
            <w:pPr>
              <w:rPr>
                <w:rFonts w:ascii="Arial" w:hAnsi="Arial" w:cs="Arial"/>
                <w:sz w:val="18"/>
                <w:szCs w:val="18"/>
              </w:rPr>
            </w:pPr>
            <w:r>
              <w:rPr>
                <w:rFonts w:ascii="Arial" w:hAnsi="Arial" w:cs="Arial"/>
                <w:sz w:val="18"/>
                <w:szCs w:val="18"/>
              </w:rPr>
              <w:t> </w:t>
            </w:r>
          </w:p>
        </w:tc>
        <w:tc>
          <w:tcPr>
            <w:tcW w:w="236" w:type="dxa"/>
            <w:tcBorders>
              <w:top w:val="nil"/>
              <w:left w:val="nil"/>
              <w:bottom w:val="nil"/>
              <w:right w:val="nil"/>
            </w:tcBorders>
            <w:shd w:val="clear" w:color="FFFFFF" w:fill="FFFFFF"/>
            <w:noWrap/>
            <w:vAlign w:val="bottom"/>
            <w:hideMark/>
          </w:tcPr>
          <w:p w14:paraId="4E53DFA0" w14:textId="77777777" w:rsidR="00A43992" w:rsidRDefault="00A43992" w:rsidP="007211E3">
            <w:pPr>
              <w:rPr>
                <w:rFonts w:ascii="Arial" w:hAnsi="Arial" w:cs="Arial"/>
                <w:sz w:val="18"/>
                <w:szCs w:val="18"/>
              </w:rPr>
            </w:pPr>
            <w:r>
              <w:rPr>
                <w:rFonts w:ascii="Arial" w:hAnsi="Arial" w:cs="Arial"/>
                <w:sz w:val="18"/>
                <w:szCs w:val="18"/>
              </w:rPr>
              <w:t> </w:t>
            </w:r>
          </w:p>
        </w:tc>
        <w:tc>
          <w:tcPr>
            <w:tcW w:w="1249" w:type="dxa"/>
            <w:tcBorders>
              <w:top w:val="nil"/>
              <w:left w:val="nil"/>
              <w:bottom w:val="nil"/>
              <w:right w:val="nil"/>
            </w:tcBorders>
            <w:shd w:val="clear" w:color="FFFFFF" w:fill="FFFFFF"/>
            <w:noWrap/>
            <w:vAlign w:val="bottom"/>
            <w:hideMark/>
          </w:tcPr>
          <w:p w14:paraId="02B6CAAE" w14:textId="77777777" w:rsidR="00A43992" w:rsidRDefault="00A43992" w:rsidP="007211E3">
            <w:pPr>
              <w:rPr>
                <w:rFonts w:ascii="Arial" w:hAnsi="Arial" w:cs="Arial"/>
                <w:sz w:val="18"/>
                <w:szCs w:val="18"/>
              </w:rPr>
            </w:pPr>
            <w:r>
              <w:rPr>
                <w:rFonts w:ascii="Arial" w:hAnsi="Arial" w:cs="Arial"/>
                <w:sz w:val="18"/>
                <w:szCs w:val="18"/>
              </w:rPr>
              <w:t> </w:t>
            </w:r>
          </w:p>
        </w:tc>
      </w:tr>
      <w:tr w:rsidR="00A43992" w14:paraId="1BE2CB4A" w14:textId="77777777" w:rsidTr="007211E3">
        <w:trPr>
          <w:trHeight w:val="255"/>
        </w:trPr>
        <w:tc>
          <w:tcPr>
            <w:tcW w:w="6353" w:type="dxa"/>
            <w:tcBorders>
              <w:top w:val="nil"/>
              <w:left w:val="nil"/>
              <w:bottom w:val="nil"/>
              <w:right w:val="nil"/>
            </w:tcBorders>
            <w:shd w:val="clear" w:color="FFFFFF" w:fill="FFFFFF"/>
            <w:noWrap/>
            <w:vAlign w:val="bottom"/>
            <w:hideMark/>
          </w:tcPr>
          <w:p w14:paraId="0444D9BF" w14:textId="77777777" w:rsidR="00A43992" w:rsidRDefault="00A43992" w:rsidP="007211E3">
            <w:pPr>
              <w:ind w:firstLineChars="100" w:firstLine="180"/>
              <w:rPr>
                <w:rFonts w:ascii="Arial" w:hAnsi="Arial" w:cs="Arial"/>
                <w:sz w:val="18"/>
                <w:szCs w:val="18"/>
              </w:rPr>
            </w:pPr>
            <w:r>
              <w:rPr>
                <w:rFonts w:ascii="Arial" w:hAnsi="Arial" w:cs="Arial"/>
                <w:sz w:val="18"/>
                <w:szCs w:val="18"/>
              </w:rPr>
              <w:t>No more than 12 months</w:t>
            </w:r>
          </w:p>
        </w:tc>
        <w:tc>
          <w:tcPr>
            <w:tcW w:w="1249" w:type="dxa"/>
            <w:tcBorders>
              <w:top w:val="nil"/>
              <w:left w:val="nil"/>
              <w:bottom w:val="nil"/>
              <w:right w:val="nil"/>
            </w:tcBorders>
            <w:shd w:val="clear" w:color="FFFFFF" w:fill="FFFFFF"/>
            <w:noWrap/>
            <w:vAlign w:val="bottom"/>
            <w:hideMark/>
          </w:tcPr>
          <w:p w14:paraId="60621C2C" w14:textId="77777777" w:rsidR="00A43992" w:rsidRDefault="00A43992" w:rsidP="007211E3">
            <w:pPr>
              <w:jc w:val="right"/>
              <w:rPr>
                <w:rFonts w:ascii="Arial" w:hAnsi="Arial" w:cs="Arial"/>
                <w:b/>
                <w:bCs/>
                <w:sz w:val="18"/>
                <w:szCs w:val="18"/>
              </w:rPr>
            </w:pPr>
            <w:r>
              <w:rPr>
                <w:rFonts w:ascii="Arial" w:hAnsi="Arial" w:cs="Arial"/>
                <w:b/>
                <w:bCs/>
                <w:sz w:val="18"/>
                <w:szCs w:val="18"/>
              </w:rPr>
              <w:t>10,472</w:t>
            </w:r>
          </w:p>
        </w:tc>
        <w:tc>
          <w:tcPr>
            <w:tcW w:w="236" w:type="dxa"/>
            <w:tcBorders>
              <w:top w:val="nil"/>
              <w:left w:val="nil"/>
              <w:bottom w:val="nil"/>
              <w:right w:val="nil"/>
            </w:tcBorders>
            <w:shd w:val="clear" w:color="FFFFFF" w:fill="FFFFFF"/>
            <w:noWrap/>
            <w:vAlign w:val="bottom"/>
            <w:hideMark/>
          </w:tcPr>
          <w:p w14:paraId="2EDFAF22" w14:textId="77777777" w:rsidR="00A43992" w:rsidRDefault="00A43992" w:rsidP="007211E3">
            <w:pPr>
              <w:rPr>
                <w:rFonts w:ascii="Arial" w:hAnsi="Arial" w:cs="Arial"/>
                <w:sz w:val="18"/>
                <w:szCs w:val="18"/>
              </w:rPr>
            </w:pPr>
            <w:r>
              <w:rPr>
                <w:rFonts w:ascii="Arial" w:hAnsi="Arial" w:cs="Arial"/>
                <w:sz w:val="18"/>
                <w:szCs w:val="18"/>
              </w:rPr>
              <w:t> </w:t>
            </w:r>
          </w:p>
        </w:tc>
        <w:tc>
          <w:tcPr>
            <w:tcW w:w="1249" w:type="dxa"/>
            <w:tcBorders>
              <w:top w:val="nil"/>
              <w:left w:val="nil"/>
              <w:bottom w:val="nil"/>
              <w:right w:val="nil"/>
            </w:tcBorders>
            <w:shd w:val="clear" w:color="FFFFFF" w:fill="FFFFFF"/>
            <w:noWrap/>
            <w:vAlign w:val="bottom"/>
            <w:hideMark/>
          </w:tcPr>
          <w:p w14:paraId="564E7B73" w14:textId="77777777" w:rsidR="00A43992" w:rsidRDefault="00A43992" w:rsidP="007211E3">
            <w:pPr>
              <w:jc w:val="right"/>
              <w:rPr>
                <w:rFonts w:ascii="Arial" w:hAnsi="Arial" w:cs="Arial"/>
                <w:sz w:val="18"/>
                <w:szCs w:val="18"/>
              </w:rPr>
            </w:pPr>
            <w:r>
              <w:rPr>
                <w:rFonts w:ascii="Arial" w:hAnsi="Arial" w:cs="Arial"/>
                <w:sz w:val="18"/>
                <w:szCs w:val="18"/>
              </w:rPr>
              <w:t xml:space="preserve">4,274 </w:t>
            </w:r>
          </w:p>
        </w:tc>
      </w:tr>
      <w:tr w:rsidR="00A43992" w14:paraId="23A145F4" w14:textId="77777777" w:rsidTr="007211E3">
        <w:trPr>
          <w:trHeight w:val="255"/>
        </w:trPr>
        <w:tc>
          <w:tcPr>
            <w:tcW w:w="6353" w:type="dxa"/>
            <w:tcBorders>
              <w:top w:val="nil"/>
              <w:left w:val="nil"/>
              <w:bottom w:val="nil"/>
              <w:right w:val="nil"/>
            </w:tcBorders>
            <w:shd w:val="clear" w:color="FFFFFF" w:fill="FFFFFF"/>
            <w:vAlign w:val="bottom"/>
            <w:hideMark/>
          </w:tcPr>
          <w:p w14:paraId="669D878F" w14:textId="77777777" w:rsidR="00A43992" w:rsidRDefault="00A43992" w:rsidP="007211E3">
            <w:pPr>
              <w:rPr>
                <w:rFonts w:ascii="Arial" w:hAnsi="Arial" w:cs="Arial"/>
                <w:b/>
                <w:bCs/>
                <w:sz w:val="18"/>
                <w:szCs w:val="18"/>
              </w:rPr>
            </w:pPr>
            <w:r>
              <w:rPr>
                <w:rFonts w:ascii="Arial" w:hAnsi="Arial" w:cs="Arial"/>
                <w:b/>
                <w:bCs/>
                <w:sz w:val="18"/>
                <w:szCs w:val="18"/>
              </w:rPr>
              <w:t>Total other non-financial assets</w:t>
            </w:r>
          </w:p>
        </w:tc>
        <w:tc>
          <w:tcPr>
            <w:tcW w:w="1249" w:type="dxa"/>
            <w:tcBorders>
              <w:top w:val="single" w:sz="4" w:space="0" w:color="auto"/>
              <w:left w:val="nil"/>
              <w:bottom w:val="single" w:sz="4" w:space="0" w:color="auto"/>
              <w:right w:val="nil"/>
            </w:tcBorders>
            <w:shd w:val="clear" w:color="FFFFFF" w:fill="FFFFFF"/>
            <w:noWrap/>
            <w:vAlign w:val="bottom"/>
            <w:hideMark/>
          </w:tcPr>
          <w:p w14:paraId="44666333" w14:textId="77777777" w:rsidR="00A43992" w:rsidRDefault="00A43992" w:rsidP="007211E3">
            <w:pPr>
              <w:jc w:val="right"/>
              <w:rPr>
                <w:rFonts w:ascii="Arial" w:hAnsi="Arial" w:cs="Arial"/>
                <w:b/>
                <w:bCs/>
                <w:sz w:val="18"/>
                <w:szCs w:val="18"/>
              </w:rPr>
            </w:pPr>
            <w:r>
              <w:rPr>
                <w:rFonts w:ascii="Arial" w:hAnsi="Arial" w:cs="Arial"/>
                <w:b/>
                <w:bCs/>
                <w:sz w:val="18"/>
                <w:szCs w:val="18"/>
              </w:rPr>
              <w:t>10,472</w:t>
            </w:r>
          </w:p>
        </w:tc>
        <w:tc>
          <w:tcPr>
            <w:tcW w:w="236" w:type="dxa"/>
            <w:tcBorders>
              <w:top w:val="nil"/>
              <w:left w:val="nil"/>
              <w:bottom w:val="nil"/>
              <w:right w:val="nil"/>
            </w:tcBorders>
            <w:shd w:val="clear" w:color="FFFFFF" w:fill="FFFFFF"/>
            <w:noWrap/>
            <w:vAlign w:val="bottom"/>
            <w:hideMark/>
          </w:tcPr>
          <w:p w14:paraId="26F864BC" w14:textId="77777777" w:rsidR="00A43992" w:rsidRDefault="00A43992" w:rsidP="007211E3">
            <w:pPr>
              <w:rPr>
                <w:rFonts w:ascii="Arial" w:hAnsi="Arial" w:cs="Arial"/>
                <w:sz w:val="18"/>
                <w:szCs w:val="18"/>
              </w:rPr>
            </w:pPr>
            <w:r>
              <w:rPr>
                <w:rFonts w:ascii="Arial" w:hAnsi="Arial" w:cs="Arial"/>
                <w:sz w:val="18"/>
                <w:szCs w:val="18"/>
              </w:rPr>
              <w:t> </w:t>
            </w:r>
          </w:p>
        </w:tc>
        <w:tc>
          <w:tcPr>
            <w:tcW w:w="1249" w:type="dxa"/>
            <w:tcBorders>
              <w:top w:val="single" w:sz="4" w:space="0" w:color="auto"/>
              <w:left w:val="nil"/>
              <w:bottom w:val="single" w:sz="4" w:space="0" w:color="auto"/>
              <w:right w:val="nil"/>
            </w:tcBorders>
            <w:shd w:val="clear" w:color="FFFFFF" w:fill="FFFFFF"/>
            <w:noWrap/>
            <w:vAlign w:val="bottom"/>
            <w:hideMark/>
          </w:tcPr>
          <w:p w14:paraId="223D4588" w14:textId="77777777" w:rsidR="00A43992" w:rsidRDefault="00A43992" w:rsidP="007211E3">
            <w:pPr>
              <w:jc w:val="right"/>
              <w:rPr>
                <w:rFonts w:ascii="Arial" w:hAnsi="Arial" w:cs="Arial"/>
                <w:sz w:val="18"/>
                <w:szCs w:val="18"/>
              </w:rPr>
            </w:pPr>
            <w:r>
              <w:rPr>
                <w:rFonts w:ascii="Arial" w:hAnsi="Arial" w:cs="Arial"/>
                <w:sz w:val="18"/>
                <w:szCs w:val="18"/>
              </w:rPr>
              <w:t>4,274</w:t>
            </w:r>
          </w:p>
        </w:tc>
      </w:tr>
    </w:tbl>
    <w:p w14:paraId="7D05696B" w14:textId="77777777" w:rsidR="00A43992" w:rsidRPr="005E5430" w:rsidRDefault="00A43992" w:rsidP="00A43992"/>
    <w:p w14:paraId="53AA2E86" w14:textId="77777777" w:rsidR="00A43992" w:rsidRPr="005E5430" w:rsidRDefault="00A43992" w:rsidP="00A43992">
      <w:pPr>
        <w:pStyle w:val="ReferenceText"/>
      </w:pPr>
      <w:r w:rsidRPr="005E5430">
        <w:t>No indicators of impairment were found for other non-financial assets.</w:t>
      </w:r>
    </w:p>
    <w:tbl>
      <w:tblPr>
        <w:tblStyle w:val="TableGrid"/>
        <w:tblW w:w="508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
        <w:gridCol w:w="8935"/>
      </w:tblGrid>
      <w:tr w:rsidR="00A43992" w:rsidRPr="005E5430" w14:paraId="4C384514" w14:textId="77777777" w:rsidTr="007211E3">
        <w:trPr>
          <w:trHeight w:val="618"/>
        </w:trPr>
        <w:tc>
          <w:tcPr>
            <w:tcW w:w="153" w:type="pct"/>
            <w:tcMar>
              <w:left w:w="0" w:type="dxa"/>
              <w:right w:w="0" w:type="dxa"/>
            </w:tcMar>
          </w:tcPr>
          <w:p w14:paraId="42C79FE0" w14:textId="77777777" w:rsidR="00A43992" w:rsidRPr="005E5430" w:rsidRDefault="00A43992" w:rsidP="007211E3">
            <w:pPr>
              <w:jc w:val="center"/>
            </w:pPr>
            <w:r w:rsidRPr="005E5430">
              <w:rPr>
                <w:rFonts w:ascii="Arial" w:eastAsia="Calibri" w:hAnsi="Arial" w:cs="Arial"/>
                <w:sz w:val="18"/>
                <w:szCs w:val="18"/>
                <w:vertAlign w:val="superscript"/>
              </w:rPr>
              <w:t>1</w:t>
            </w:r>
          </w:p>
        </w:tc>
        <w:tc>
          <w:tcPr>
            <w:tcW w:w="4847" w:type="pct"/>
            <w:tcMar>
              <w:left w:w="0" w:type="dxa"/>
              <w:right w:w="0" w:type="dxa"/>
            </w:tcMar>
          </w:tcPr>
          <w:p w14:paraId="7F4D1C01" w14:textId="77777777" w:rsidR="00A43992" w:rsidRPr="00E42114" w:rsidRDefault="00A43992" w:rsidP="007211E3">
            <w:pPr>
              <w:rPr>
                <w:rFonts w:ascii="Arial" w:hAnsi="Arial" w:cs="Arial"/>
                <w:sz w:val="18"/>
                <w:szCs w:val="18"/>
              </w:rPr>
            </w:pPr>
            <w:r w:rsidRPr="00E42114">
              <w:rPr>
                <w:rFonts w:ascii="Arial" w:hAnsi="Arial" w:cs="Arial"/>
                <w:sz w:val="18"/>
                <w:szCs w:val="18"/>
              </w:rPr>
              <w:t>Participant advances represent payments that have been made to self-managed participants in the Scheme in advance of support being provided.</w:t>
            </w:r>
          </w:p>
        </w:tc>
      </w:tr>
      <w:tr w:rsidR="00A43992" w:rsidRPr="005E5430" w14:paraId="49E925D3" w14:textId="77777777" w:rsidTr="007211E3">
        <w:trPr>
          <w:trHeight w:val="618"/>
        </w:trPr>
        <w:tc>
          <w:tcPr>
            <w:tcW w:w="153" w:type="pct"/>
            <w:tcMar>
              <w:left w:w="0" w:type="dxa"/>
              <w:right w:w="0" w:type="dxa"/>
            </w:tcMar>
          </w:tcPr>
          <w:p w14:paraId="25BEEDB4" w14:textId="77777777" w:rsidR="00A43992" w:rsidRPr="00742787" w:rsidRDefault="00A43992" w:rsidP="007211E3">
            <w:pPr>
              <w:jc w:val="center"/>
              <w:rPr>
                <w:rFonts w:ascii="Arial" w:eastAsia="Calibri" w:hAnsi="Arial" w:cs="Arial"/>
                <w:color w:val="00B050"/>
                <w:sz w:val="18"/>
                <w:szCs w:val="18"/>
                <w:vertAlign w:val="superscript"/>
              </w:rPr>
            </w:pPr>
            <w:r w:rsidRPr="0069264B">
              <w:rPr>
                <w:rFonts w:ascii="Arial" w:eastAsia="Calibri" w:hAnsi="Arial" w:cs="Arial"/>
                <w:sz w:val="18"/>
                <w:szCs w:val="18"/>
                <w:vertAlign w:val="superscript"/>
              </w:rPr>
              <w:t>2</w:t>
            </w:r>
          </w:p>
        </w:tc>
        <w:tc>
          <w:tcPr>
            <w:tcW w:w="4847" w:type="pct"/>
            <w:tcMar>
              <w:left w:w="0" w:type="dxa"/>
              <w:right w:w="0" w:type="dxa"/>
            </w:tcMar>
          </w:tcPr>
          <w:p w14:paraId="28B1D946" w14:textId="77777777" w:rsidR="00A43992" w:rsidRPr="00E42114" w:rsidRDefault="00A43992" w:rsidP="007211E3">
            <w:pPr>
              <w:rPr>
                <w:rFonts w:ascii="Arial" w:hAnsi="Arial" w:cs="Arial"/>
                <w:sz w:val="18"/>
                <w:szCs w:val="18"/>
              </w:rPr>
            </w:pPr>
            <w:r w:rsidRPr="00E42114">
              <w:rPr>
                <w:rFonts w:ascii="Arial" w:hAnsi="Arial" w:cs="Arial"/>
                <w:sz w:val="18"/>
                <w:szCs w:val="18"/>
              </w:rPr>
              <w:t xml:space="preserve">Participant plan prepayments represent payments that have been made to providers in advance of supports being utilised by participants. </w:t>
            </w:r>
          </w:p>
        </w:tc>
      </w:tr>
    </w:tbl>
    <w:p w14:paraId="105CEFDD" w14:textId="77777777" w:rsidR="00A43992" w:rsidRPr="005E5430" w:rsidRDefault="00A43992" w:rsidP="00A43992">
      <w:pPr>
        <w:spacing w:line="240" w:lineRule="auto"/>
      </w:pPr>
    </w:p>
    <w:p w14:paraId="586AAD74" w14:textId="41104DBE" w:rsidR="00A43992" w:rsidRPr="005D6360" w:rsidRDefault="00A43992" w:rsidP="00A43992">
      <w:pPr>
        <w:pStyle w:val="SubHeading"/>
      </w:pPr>
      <w:bookmarkStart w:id="328" w:name="_Toc443469531"/>
      <w:bookmarkStart w:id="329" w:name="_Toc443577405"/>
      <w:bookmarkStart w:id="330" w:name="_Toc445194083"/>
      <w:bookmarkStart w:id="331" w:name="_Toc447030541"/>
      <w:bookmarkStart w:id="332" w:name="_Toc447030693"/>
      <w:bookmarkStart w:id="333" w:name="_Toc447030786"/>
      <w:bookmarkStart w:id="334" w:name="_Toc456865060"/>
      <w:r w:rsidRPr="005D6360">
        <w:t>Payables</w:t>
      </w:r>
      <w:bookmarkEnd w:id="328"/>
      <w:bookmarkEnd w:id="329"/>
      <w:bookmarkEnd w:id="330"/>
      <w:bookmarkEnd w:id="331"/>
      <w:bookmarkEnd w:id="332"/>
      <w:bookmarkEnd w:id="333"/>
      <w:bookmarkEnd w:id="334"/>
    </w:p>
    <w:tbl>
      <w:tblPr>
        <w:tblW w:w="9087" w:type="dxa"/>
        <w:tblInd w:w="80" w:type="dxa"/>
        <w:tblLayout w:type="fixed"/>
        <w:tblLook w:val="04A0" w:firstRow="1" w:lastRow="0" w:firstColumn="1" w:lastColumn="0" w:noHBand="0" w:noVBand="1"/>
      </w:tblPr>
      <w:tblGrid>
        <w:gridCol w:w="6353"/>
        <w:gridCol w:w="1249"/>
        <w:gridCol w:w="236"/>
        <w:gridCol w:w="1249"/>
      </w:tblGrid>
      <w:tr w:rsidR="00A43992" w14:paraId="56F602AE" w14:textId="77777777" w:rsidTr="007211E3">
        <w:trPr>
          <w:trHeight w:val="255"/>
        </w:trPr>
        <w:tc>
          <w:tcPr>
            <w:tcW w:w="6353" w:type="dxa"/>
            <w:tcBorders>
              <w:top w:val="nil"/>
              <w:left w:val="nil"/>
              <w:bottom w:val="nil"/>
              <w:right w:val="nil"/>
            </w:tcBorders>
            <w:shd w:val="clear" w:color="FFFFFF" w:fill="FFFFFF"/>
            <w:noWrap/>
            <w:vAlign w:val="bottom"/>
            <w:hideMark/>
          </w:tcPr>
          <w:p w14:paraId="0F8D0F83" w14:textId="77777777" w:rsidR="00A43992" w:rsidRDefault="00A43992" w:rsidP="007211E3">
            <w:pPr>
              <w:rPr>
                <w:rFonts w:ascii="Arial" w:hAnsi="Arial" w:cs="Arial"/>
                <w:sz w:val="18"/>
                <w:szCs w:val="18"/>
              </w:rPr>
            </w:pPr>
            <w:bookmarkStart w:id="335" w:name="RANGE!D9:G19"/>
            <w:bookmarkStart w:id="336" w:name="Note_SPATABLE1" w:colFirst="0" w:colLast="0"/>
            <w:r>
              <w:rPr>
                <w:rFonts w:ascii="Arial" w:hAnsi="Arial" w:cs="Arial"/>
                <w:sz w:val="18"/>
                <w:szCs w:val="18"/>
              </w:rPr>
              <w:t> </w:t>
            </w:r>
            <w:bookmarkEnd w:id="335"/>
          </w:p>
        </w:tc>
        <w:tc>
          <w:tcPr>
            <w:tcW w:w="1249" w:type="dxa"/>
            <w:tcBorders>
              <w:top w:val="nil"/>
              <w:left w:val="nil"/>
              <w:bottom w:val="nil"/>
              <w:right w:val="nil"/>
            </w:tcBorders>
            <w:shd w:val="clear" w:color="FFFFFF" w:fill="FFFFFF"/>
            <w:noWrap/>
            <w:vAlign w:val="bottom"/>
            <w:hideMark/>
          </w:tcPr>
          <w:p w14:paraId="3198DC4C" w14:textId="77777777" w:rsidR="00A43992" w:rsidRDefault="00A43992" w:rsidP="007211E3">
            <w:pPr>
              <w:jc w:val="right"/>
              <w:rPr>
                <w:rFonts w:ascii="Arial" w:hAnsi="Arial" w:cs="Arial"/>
                <w:b/>
                <w:bCs/>
                <w:sz w:val="18"/>
                <w:szCs w:val="18"/>
              </w:rPr>
            </w:pPr>
            <w:r>
              <w:rPr>
                <w:rFonts w:ascii="Arial" w:hAnsi="Arial" w:cs="Arial"/>
                <w:b/>
                <w:bCs/>
                <w:sz w:val="18"/>
                <w:szCs w:val="18"/>
              </w:rPr>
              <w:t>2016</w:t>
            </w:r>
          </w:p>
        </w:tc>
        <w:tc>
          <w:tcPr>
            <w:tcW w:w="236" w:type="dxa"/>
            <w:tcBorders>
              <w:top w:val="nil"/>
              <w:left w:val="nil"/>
              <w:bottom w:val="nil"/>
              <w:right w:val="nil"/>
            </w:tcBorders>
            <w:shd w:val="clear" w:color="FFFFFF" w:fill="FFFFFF"/>
            <w:noWrap/>
            <w:vAlign w:val="bottom"/>
            <w:hideMark/>
          </w:tcPr>
          <w:p w14:paraId="504822EE" w14:textId="77777777" w:rsidR="00A43992" w:rsidRDefault="00A43992" w:rsidP="007211E3">
            <w:pPr>
              <w:rPr>
                <w:rFonts w:ascii="Arial" w:hAnsi="Arial" w:cs="Arial"/>
                <w:sz w:val="18"/>
                <w:szCs w:val="18"/>
              </w:rPr>
            </w:pPr>
            <w:r>
              <w:rPr>
                <w:rFonts w:ascii="Arial" w:hAnsi="Arial" w:cs="Arial"/>
                <w:sz w:val="18"/>
                <w:szCs w:val="18"/>
              </w:rPr>
              <w:t> </w:t>
            </w:r>
          </w:p>
        </w:tc>
        <w:tc>
          <w:tcPr>
            <w:tcW w:w="1249" w:type="dxa"/>
            <w:tcBorders>
              <w:top w:val="nil"/>
              <w:left w:val="nil"/>
              <w:bottom w:val="nil"/>
              <w:right w:val="nil"/>
            </w:tcBorders>
            <w:shd w:val="clear" w:color="FFFFFF" w:fill="FFFFFF"/>
            <w:noWrap/>
            <w:vAlign w:val="bottom"/>
            <w:hideMark/>
          </w:tcPr>
          <w:p w14:paraId="7A70DDB3" w14:textId="77777777" w:rsidR="00A43992" w:rsidRDefault="00A43992" w:rsidP="007211E3">
            <w:pPr>
              <w:jc w:val="right"/>
              <w:rPr>
                <w:rFonts w:ascii="Arial" w:hAnsi="Arial" w:cs="Arial"/>
                <w:sz w:val="18"/>
                <w:szCs w:val="18"/>
              </w:rPr>
            </w:pPr>
            <w:r>
              <w:rPr>
                <w:rFonts w:ascii="Arial" w:hAnsi="Arial" w:cs="Arial"/>
                <w:sz w:val="18"/>
                <w:szCs w:val="18"/>
              </w:rPr>
              <w:t>2015</w:t>
            </w:r>
          </w:p>
        </w:tc>
      </w:tr>
      <w:bookmarkEnd w:id="336"/>
      <w:tr w:rsidR="00A43992" w14:paraId="6413FB44" w14:textId="77777777" w:rsidTr="007211E3">
        <w:trPr>
          <w:trHeight w:val="255"/>
        </w:trPr>
        <w:tc>
          <w:tcPr>
            <w:tcW w:w="6353" w:type="dxa"/>
            <w:tcBorders>
              <w:top w:val="nil"/>
              <w:left w:val="nil"/>
              <w:bottom w:val="nil"/>
              <w:right w:val="nil"/>
            </w:tcBorders>
            <w:shd w:val="clear" w:color="FFFFFF" w:fill="FFFFFF"/>
            <w:noWrap/>
            <w:vAlign w:val="bottom"/>
            <w:hideMark/>
          </w:tcPr>
          <w:p w14:paraId="36D1A15B" w14:textId="77777777" w:rsidR="00A43992" w:rsidRDefault="00A43992" w:rsidP="007211E3">
            <w:pPr>
              <w:rPr>
                <w:rFonts w:ascii="Arial" w:hAnsi="Arial" w:cs="Arial"/>
                <w:sz w:val="18"/>
                <w:szCs w:val="18"/>
              </w:rPr>
            </w:pPr>
            <w:r>
              <w:rPr>
                <w:rFonts w:ascii="Arial" w:hAnsi="Arial" w:cs="Arial"/>
                <w:sz w:val="18"/>
                <w:szCs w:val="18"/>
              </w:rPr>
              <w:t> </w:t>
            </w:r>
          </w:p>
        </w:tc>
        <w:tc>
          <w:tcPr>
            <w:tcW w:w="1249" w:type="dxa"/>
            <w:tcBorders>
              <w:top w:val="nil"/>
              <w:left w:val="nil"/>
              <w:bottom w:val="nil"/>
              <w:right w:val="nil"/>
            </w:tcBorders>
            <w:shd w:val="clear" w:color="FFFFFF" w:fill="FFFFFF"/>
            <w:noWrap/>
            <w:vAlign w:val="bottom"/>
            <w:hideMark/>
          </w:tcPr>
          <w:p w14:paraId="2327F93A" w14:textId="77777777" w:rsidR="00A43992" w:rsidRDefault="00A43992" w:rsidP="007211E3">
            <w:pPr>
              <w:jc w:val="right"/>
              <w:rPr>
                <w:rFonts w:ascii="Arial" w:hAnsi="Arial" w:cs="Arial"/>
                <w:b/>
                <w:bCs/>
                <w:sz w:val="18"/>
                <w:szCs w:val="18"/>
              </w:rPr>
            </w:pPr>
            <w:r>
              <w:rPr>
                <w:rFonts w:ascii="Arial" w:hAnsi="Arial" w:cs="Arial"/>
                <w:b/>
                <w:bCs/>
                <w:sz w:val="18"/>
                <w:szCs w:val="18"/>
              </w:rPr>
              <w:t>$'000</w:t>
            </w:r>
          </w:p>
        </w:tc>
        <w:tc>
          <w:tcPr>
            <w:tcW w:w="236" w:type="dxa"/>
            <w:tcBorders>
              <w:top w:val="nil"/>
              <w:left w:val="nil"/>
              <w:bottom w:val="nil"/>
              <w:right w:val="nil"/>
            </w:tcBorders>
            <w:shd w:val="clear" w:color="FFFFFF" w:fill="FFFFFF"/>
            <w:noWrap/>
            <w:vAlign w:val="bottom"/>
            <w:hideMark/>
          </w:tcPr>
          <w:p w14:paraId="4F90DF64" w14:textId="77777777" w:rsidR="00A43992" w:rsidRDefault="00A43992" w:rsidP="007211E3">
            <w:pPr>
              <w:rPr>
                <w:rFonts w:ascii="Arial" w:hAnsi="Arial" w:cs="Arial"/>
                <w:sz w:val="18"/>
                <w:szCs w:val="18"/>
              </w:rPr>
            </w:pPr>
            <w:r>
              <w:rPr>
                <w:rFonts w:ascii="Arial" w:hAnsi="Arial" w:cs="Arial"/>
                <w:sz w:val="18"/>
                <w:szCs w:val="18"/>
              </w:rPr>
              <w:t> </w:t>
            </w:r>
          </w:p>
        </w:tc>
        <w:tc>
          <w:tcPr>
            <w:tcW w:w="1249" w:type="dxa"/>
            <w:tcBorders>
              <w:top w:val="nil"/>
              <w:left w:val="nil"/>
              <w:bottom w:val="nil"/>
              <w:right w:val="nil"/>
            </w:tcBorders>
            <w:shd w:val="clear" w:color="FFFFFF" w:fill="FFFFFF"/>
            <w:noWrap/>
            <w:vAlign w:val="bottom"/>
            <w:hideMark/>
          </w:tcPr>
          <w:p w14:paraId="03D6D773" w14:textId="77777777" w:rsidR="00A43992" w:rsidRDefault="00A43992" w:rsidP="007211E3">
            <w:pPr>
              <w:jc w:val="right"/>
              <w:rPr>
                <w:rFonts w:ascii="Arial" w:hAnsi="Arial" w:cs="Arial"/>
                <w:sz w:val="18"/>
                <w:szCs w:val="18"/>
              </w:rPr>
            </w:pPr>
            <w:r>
              <w:rPr>
                <w:rFonts w:ascii="Arial" w:hAnsi="Arial" w:cs="Arial"/>
                <w:sz w:val="18"/>
                <w:szCs w:val="18"/>
              </w:rPr>
              <w:t>$'000</w:t>
            </w:r>
          </w:p>
        </w:tc>
      </w:tr>
      <w:tr w:rsidR="00A43992" w14:paraId="130433A8" w14:textId="77777777" w:rsidTr="007211E3">
        <w:trPr>
          <w:trHeight w:val="255"/>
        </w:trPr>
        <w:tc>
          <w:tcPr>
            <w:tcW w:w="6353" w:type="dxa"/>
            <w:tcBorders>
              <w:top w:val="nil"/>
              <w:left w:val="nil"/>
              <w:bottom w:val="nil"/>
              <w:right w:val="nil"/>
            </w:tcBorders>
            <w:shd w:val="clear" w:color="FFFFFF" w:fill="FFFFFF"/>
            <w:noWrap/>
            <w:vAlign w:val="bottom"/>
            <w:hideMark/>
          </w:tcPr>
          <w:p w14:paraId="6D9B4B26" w14:textId="77777777" w:rsidR="00A43992" w:rsidRDefault="00A43992" w:rsidP="007211E3">
            <w:pPr>
              <w:rPr>
                <w:rFonts w:ascii="Arial" w:hAnsi="Arial" w:cs="Arial"/>
                <w:b/>
                <w:bCs/>
                <w:sz w:val="18"/>
                <w:szCs w:val="18"/>
                <w:u w:val="single"/>
              </w:rPr>
            </w:pPr>
            <w:r>
              <w:rPr>
                <w:rFonts w:ascii="Arial" w:hAnsi="Arial" w:cs="Arial"/>
                <w:b/>
                <w:bCs/>
                <w:sz w:val="18"/>
                <w:szCs w:val="18"/>
                <w:u w:val="single"/>
              </w:rPr>
              <w:t>Note 2.3A: Suppliers</w:t>
            </w:r>
          </w:p>
        </w:tc>
        <w:tc>
          <w:tcPr>
            <w:tcW w:w="1249" w:type="dxa"/>
            <w:tcBorders>
              <w:top w:val="nil"/>
              <w:left w:val="nil"/>
              <w:bottom w:val="nil"/>
              <w:right w:val="nil"/>
            </w:tcBorders>
            <w:shd w:val="clear" w:color="FFFFFF" w:fill="FFFFFF"/>
            <w:noWrap/>
            <w:vAlign w:val="bottom"/>
            <w:hideMark/>
          </w:tcPr>
          <w:p w14:paraId="799EDCC6" w14:textId="77777777" w:rsidR="00A43992" w:rsidRDefault="00A43992" w:rsidP="007211E3">
            <w:pPr>
              <w:rPr>
                <w:rFonts w:ascii="Arial" w:hAnsi="Arial" w:cs="Arial"/>
                <w:sz w:val="18"/>
                <w:szCs w:val="18"/>
              </w:rPr>
            </w:pPr>
            <w:r>
              <w:rPr>
                <w:rFonts w:ascii="Arial" w:hAnsi="Arial" w:cs="Arial"/>
                <w:sz w:val="18"/>
                <w:szCs w:val="18"/>
              </w:rPr>
              <w:t> </w:t>
            </w:r>
          </w:p>
        </w:tc>
        <w:tc>
          <w:tcPr>
            <w:tcW w:w="236" w:type="dxa"/>
            <w:tcBorders>
              <w:top w:val="nil"/>
              <w:left w:val="nil"/>
              <w:bottom w:val="nil"/>
              <w:right w:val="nil"/>
            </w:tcBorders>
            <w:shd w:val="clear" w:color="FFFFFF" w:fill="FFFFFF"/>
            <w:noWrap/>
            <w:vAlign w:val="bottom"/>
            <w:hideMark/>
          </w:tcPr>
          <w:p w14:paraId="5E888E64" w14:textId="77777777" w:rsidR="00A43992" w:rsidRDefault="00A43992" w:rsidP="007211E3">
            <w:pPr>
              <w:rPr>
                <w:rFonts w:ascii="Arial" w:hAnsi="Arial" w:cs="Arial"/>
                <w:sz w:val="18"/>
                <w:szCs w:val="18"/>
              </w:rPr>
            </w:pPr>
            <w:r>
              <w:rPr>
                <w:rFonts w:ascii="Arial" w:hAnsi="Arial" w:cs="Arial"/>
                <w:sz w:val="18"/>
                <w:szCs w:val="18"/>
              </w:rPr>
              <w:t> </w:t>
            </w:r>
          </w:p>
        </w:tc>
        <w:tc>
          <w:tcPr>
            <w:tcW w:w="1249" w:type="dxa"/>
            <w:tcBorders>
              <w:top w:val="nil"/>
              <w:left w:val="nil"/>
              <w:bottom w:val="nil"/>
              <w:right w:val="nil"/>
            </w:tcBorders>
            <w:shd w:val="clear" w:color="FFFFFF" w:fill="FFFFFF"/>
            <w:noWrap/>
            <w:vAlign w:val="bottom"/>
            <w:hideMark/>
          </w:tcPr>
          <w:p w14:paraId="37CB72E9" w14:textId="77777777" w:rsidR="00A43992" w:rsidRDefault="00A43992" w:rsidP="007211E3">
            <w:pPr>
              <w:rPr>
                <w:rFonts w:ascii="Arial" w:hAnsi="Arial" w:cs="Arial"/>
                <w:b/>
                <w:bCs/>
                <w:sz w:val="18"/>
                <w:szCs w:val="18"/>
              </w:rPr>
            </w:pPr>
            <w:r>
              <w:rPr>
                <w:rFonts w:ascii="Arial" w:hAnsi="Arial" w:cs="Arial"/>
                <w:b/>
                <w:bCs/>
                <w:sz w:val="18"/>
                <w:szCs w:val="18"/>
              </w:rPr>
              <w:t> </w:t>
            </w:r>
          </w:p>
        </w:tc>
      </w:tr>
      <w:tr w:rsidR="00A43992" w14:paraId="22361659" w14:textId="77777777" w:rsidTr="007211E3">
        <w:trPr>
          <w:trHeight w:val="255"/>
        </w:trPr>
        <w:tc>
          <w:tcPr>
            <w:tcW w:w="6353" w:type="dxa"/>
            <w:tcBorders>
              <w:top w:val="nil"/>
              <w:left w:val="nil"/>
              <w:bottom w:val="nil"/>
              <w:right w:val="nil"/>
            </w:tcBorders>
            <w:shd w:val="clear" w:color="FFFFFF" w:fill="FFFFFF"/>
            <w:vAlign w:val="bottom"/>
            <w:hideMark/>
          </w:tcPr>
          <w:p w14:paraId="233E73CC" w14:textId="77777777" w:rsidR="00A43992" w:rsidRDefault="00A43992" w:rsidP="007211E3">
            <w:pPr>
              <w:rPr>
                <w:rFonts w:ascii="Arial" w:hAnsi="Arial" w:cs="Arial"/>
                <w:sz w:val="18"/>
                <w:szCs w:val="18"/>
              </w:rPr>
            </w:pPr>
            <w:r>
              <w:rPr>
                <w:rFonts w:ascii="Arial" w:hAnsi="Arial" w:cs="Arial"/>
                <w:sz w:val="18"/>
                <w:szCs w:val="18"/>
              </w:rPr>
              <w:t>Trade creditors and accruals</w:t>
            </w:r>
          </w:p>
        </w:tc>
        <w:tc>
          <w:tcPr>
            <w:tcW w:w="1249" w:type="dxa"/>
            <w:tcBorders>
              <w:top w:val="nil"/>
              <w:left w:val="nil"/>
              <w:bottom w:val="nil"/>
              <w:right w:val="nil"/>
            </w:tcBorders>
            <w:shd w:val="clear" w:color="FFFFFF" w:fill="FFFFFF"/>
            <w:noWrap/>
            <w:vAlign w:val="bottom"/>
            <w:hideMark/>
          </w:tcPr>
          <w:p w14:paraId="2DED22B1" w14:textId="77777777" w:rsidR="00A43992" w:rsidRDefault="00A43992" w:rsidP="007211E3">
            <w:pPr>
              <w:jc w:val="right"/>
              <w:rPr>
                <w:rFonts w:ascii="Arial" w:hAnsi="Arial" w:cs="Arial"/>
                <w:b/>
                <w:bCs/>
                <w:sz w:val="18"/>
                <w:szCs w:val="18"/>
              </w:rPr>
            </w:pPr>
            <w:r>
              <w:rPr>
                <w:rFonts w:ascii="Arial" w:hAnsi="Arial" w:cs="Arial"/>
                <w:b/>
                <w:bCs/>
                <w:sz w:val="18"/>
                <w:szCs w:val="18"/>
              </w:rPr>
              <w:t>24,912</w:t>
            </w:r>
          </w:p>
        </w:tc>
        <w:tc>
          <w:tcPr>
            <w:tcW w:w="236" w:type="dxa"/>
            <w:tcBorders>
              <w:top w:val="nil"/>
              <w:left w:val="nil"/>
              <w:bottom w:val="nil"/>
              <w:right w:val="nil"/>
            </w:tcBorders>
            <w:shd w:val="clear" w:color="FFFFFF" w:fill="FFFFFF"/>
            <w:noWrap/>
            <w:vAlign w:val="bottom"/>
            <w:hideMark/>
          </w:tcPr>
          <w:p w14:paraId="7D58A202" w14:textId="77777777" w:rsidR="00A43992" w:rsidRDefault="00A43992" w:rsidP="007211E3">
            <w:pPr>
              <w:rPr>
                <w:rFonts w:ascii="Arial" w:hAnsi="Arial" w:cs="Arial"/>
                <w:sz w:val="18"/>
                <w:szCs w:val="18"/>
              </w:rPr>
            </w:pPr>
            <w:r>
              <w:rPr>
                <w:rFonts w:ascii="Arial" w:hAnsi="Arial" w:cs="Arial"/>
                <w:sz w:val="18"/>
                <w:szCs w:val="18"/>
              </w:rPr>
              <w:t> </w:t>
            </w:r>
          </w:p>
        </w:tc>
        <w:tc>
          <w:tcPr>
            <w:tcW w:w="1249" w:type="dxa"/>
            <w:tcBorders>
              <w:top w:val="nil"/>
              <w:left w:val="nil"/>
              <w:bottom w:val="nil"/>
              <w:right w:val="nil"/>
            </w:tcBorders>
            <w:shd w:val="clear" w:color="FFFFFF" w:fill="FFFFFF"/>
            <w:noWrap/>
            <w:vAlign w:val="bottom"/>
            <w:hideMark/>
          </w:tcPr>
          <w:p w14:paraId="4C4C3264" w14:textId="77777777" w:rsidR="00A43992" w:rsidRDefault="00A43992" w:rsidP="007211E3">
            <w:pPr>
              <w:jc w:val="right"/>
              <w:rPr>
                <w:rFonts w:ascii="Arial" w:hAnsi="Arial" w:cs="Arial"/>
                <w:sz w:val="18"/>
                <w:szCs w:val="18"/>
              </w:rPr>
            </w:pPr>
            <w:r>
              <w:rPr>
                <w:rFonts w:ascii="Arial" w:hAnsi="Arial" w:cs="Arial"/>
                <w:sz w:val="18"/>
                <w:szCs w:val="18"/>
              </w:rPr>
              <w:t>13,704</w:t>
            </w:r>
          </w:p>
        </w:tc>
      </w:tr>
      <w:tr w:rsidR="00A43992" w14:paraId="6FF10D1E" w14:textId="77777777" w:rsidTr="007211E3">
        <w:trPr>
          <w:trHeight w:val="255"/>
        </w:trPr>
        <w:tc>
          <w:tcPr>
            <w:tcW w:w="6353" w:type="dxa"/>
            <w:tcBorders>
              <w:top w:val="nil"/>
              <w:left w:val="nil"/>
              <w:bottom w:val="nil"/>
              <w:right w:val="nil"/>
            </w:tcBorders>
            <w:shd w:val="clear" w:color="FFFFFF" w:fill="FFFFFF"/>
            <w:vAlign w:val="bottom"/>
            <w:hideMark/>
          </w:tcPr>
          <w:p w14:paraId="10041D04" w14:textId="77777777" w:rsidR="00A43992" w:rsidRDefault="00A43992" w:rsidP="007211E3">
            <w:pPr>
              <w:rPr>
                <w:rFonts w:ascii="Arial" w:hAnsi="Arial" w:cs="Arial"/>
                <w:sz w:val="18"/>
                <w:szCs w:val="18"/>
              </w:rPr>
            </w:pPr>
            <w:r>
              <w:rPr>
                <w:rFonts w:ascii="Arial" w:hAnsi="Arial" w:cs="Arial"/>
                <w:sz w:val="18"/>
                <w:szCs w:val="18"/>
              </w:rPr>
              <w:t>Operating lease rentals</w:t>
            </w:r>
          </w:p>
        </w:tc>
        <w:tc>
          <w:tcPr>
            <w:tcW w:w="1249" w:type="dxa"/>
            <w:tcBorders>
              <w:top w:val="nil"/>
              <w:left w:val="nil"/>
              <w:bottom w:val="nil"/>
              <w:right w:val="nil"/>
            </w:tcBorders>
            <w:shd w:val="clear" w:color="FFFFFF" w:fill="FFFFFF"/>
            <w:noWrap/>
            <w:vAlign w:val="bottom"/>
            <w:hideMark/>
          </w:tcPr>
          <w:p w14:paraId="08D9DD47" w14:textId="77777777" w:rsidR="00A43992" w:rsidRDefault="00A43992" w:rsidP="007211E3">
            <w:pPr>
              <w:jc w:val="right"/>
              <w:rPr>
                <w:rFonts w:ascii="Arial" w:hAnsi="Arial" w:cs="Arial"/>
                <w:b/>
                <w:bCs/>
                <w:sz w:val="18"/>
                <w:szCs w:val="18"/>
              </w:rPr>
            </w:pPr>
            <w:r>
              <w:rPr>
                <w:rFonts w:ascii="Arial" w:hAnsi="Arial" w:cs="Arial"/>
                <w:b/>
                <w:bCs/>
                <w:sz w:val="18"/>
                <w:szCs w:val="18"/>
              </w:rPr>
              <w:t>437</w:t>
            </w:r>
          </w:p>
        </w:tc>
        <w:tc>
          <w:tcPr>
            <w:tcW w:w="236" w:type="dxa"/>
            <w:tcBorders>
              <w:top w:val="nil"/>
              <w:left w:val="nil"/>
              <w:bottom w:val="nil"/>
              <w:right w:val="nil"/>
            </w:tcBorders>
            <w:shd w:val="clear" w:color="FFFFFF" w:fill="FFFFFF"/>
            <w:noWrap/>
            <w:vAlign w:val="bottom"/>
            <w:hideMark/>
          </w:tcPr>
          <w:p w14:paraId="290A9076" w14:textId="77777777" w:rsidR="00A43992" w:rsidRDefault="00A43992" w:rsidP="007211E3">
            <w:pPr>
              <w:rPr>
                <w:rFonts w:ascii="Arial" w:hAnsi="Arial" w:cs="Arial"/>
                <w:sz w:val="18"/>
                <w:szCs w:val="18"/>
              </w:rPr>
            </w:pPr>
            <w:r>
              <w:rPr>
                <w:rFonts w:ascii="Arial" w:hAnsi="Arial" w:cs="Arial"/>
                <w:sz w:val="18"/>
                <w:szCs w:val="18"/>
              </w:rPr>
              <w:t> </w:t>
            </w:r>
          </w:p>
        </w:tc>
        <w:tc>
          <w:tcPr>
            <w:tcW w:w="1249" w:type="dxa"/>
            <w:tcBorders>
              <w:top w:val="nil"/>
              <w:left w:val="nil"/>
              <w:bottom w:val="nil"/>
              <w:right w:val="nil"/>
            </w:tcBorders>
            <w:shd w:val="clear" w:color="FFFFFF" w:fill="FFFFFF"/>
            <w:noWrap/>
            <w:vAlign w:val="bottom"/>
            <w:hideMark/>
          </w:tcPr>
          <w:p w14:paraId="1554C407" w14:textId="77777777" w:rsidR="00A43992" w:rsidRDefault="00A43992" w:rsidP="007211E3">
            <w:pPr>
              <w:jc w:val="right"/>
              <w:rPr>
                <w:rFonts w:ascii="Arial" w:hAnsi="Arial" w:cs="Arial"/>
                <w:sz w:val="18"/>
                <w:szCs w:val="18"/>
              </w:rPr>
            </w:pPr>
            <w:r>
              <w:rPr>
                <w:rFonts w:ascii="Arial" w:hAnsi="Arial" w:cs="Arial"/>
                <w:sz w:val="18"/>
                <w:szCs w:val="18"/>
              </w:rPr>
              <w:t>318</w:t>
            </w:r>
          </w:p>
        </w:tc>
      </w:tr>
      <w:tr w:rsidR="00A43992" w14:paraId="54256791" w14:textId="77777777" w:rsidTr="007211E3">
        <w:trPr>
          <w:trHeight w:val="255"/>
        </w:trPr>
        <w:tc>
          <w:tcPr>
            <w:tcW w:w="6353" w:type="dxa"/>
            <w:tcBorders>
              <w:top w:val="nil"/>
              <w:left w:val="nil"/>
              <w:bottom w:val="nil"/>
              <w:right w:val="nil"/>
            </w:tcBorders>
            <w:shd w:val="clear" w:color="FFFFFF" w:fill="FFFFFF"/>
            <w:vAlign w:val="bottom"/>
            <w:hideMark/>
          </w:tcPr>
          <w:p w14:paraId="0D912A2B" w14:textId="77777777" w:rsidR="00A43992" w:rsidRDefault="00A43992" w:rsidP="007211E3">
            <w:pPr>
              <w:rPr>
                <w:rFonts w:ascii="Arial" w:hAnsi="Arial" w:cs="Arial"/>
                <w:b/>
                <w:bCs/>
                <w:sz w:val="18"/>
                <w:szCs w:val="18"/>
              </w:rPr>
            </w:pPr>
            <w:r>
              <w:rPr>
                <w:rFonts w:ascii="Arial" w:hAnsi="Arial" w:cs="Arial"/>
                <w:b/>
                <w:bCs/>
                <w:sz w:val="18"/>
                <w:szCs w:val="18"/>
              </w:rPr>
              <w:t>Total suppliers</w:t>
            </w:r>
          </w:p>
        </w:tc>
        <w:tc>
          <w:tcPr>
            <w:tcW w:w="1249" w:type="dxa"/>
            <w:tcBorders>
              <w:top w:val="single" w:sz="4" w:space="0" w:color="auto"/>
              <w:left w:val="nil"/>
              <w:bottom w:val="single" w:sz="4" w:space="0" w:color="auto"/>
              <w:right w:val="nil"/>
            </w:tcBorders>
            <w:shd w:val="clear" w:color="FFFFFF" w:fill="FFFFFF"/>
            <w:noWrap/>
            <w:vAlign w:val="bottom"/>
            <w:hideMark/>
          </w:tcPr>
          <w:p w14:paraId="150B6740" w14:textId="77777777" w:rsidR="00A43992" w:rsidRDefault="00A43992" w:rsidP="007211E3">
            <w:pPr>
              <w:jc w:val="right"/>
              <w:rPr>
                <w:rFonts w:ascii="Arial" w:hAnsi="Arial" w:cs="Arial"/>
                <w:b/>
                <w:bCs/>
                <w:sz w:val="18"/>
                <w:szCs w:val="18"/>
              </w:rPr>
            </w:pPr>
            <w:r>
              <w:rPr>
                <w:rFonts w:ascii="Arial" w:hAnsi="Arial" w:cs="Arial"/>
                <w:b/>
                <w:bCs/>
                <w:sz w:val="18"/>
                <w:szCs w:val="18"/>
              </w:rPr>
              <w:t>25,349</w:t>
            </w:r>
          </w:p>
        </w:tc>
        <w:tc>
          <w:tcPr>
            <w:tcW w:w="236" w:type="dxa"/>
            <w:tcBorders>
              <w:top w:val="nil"/>
              <w:left w:val="nil"/>
              <w:bottom w:val="nil"/>
              <w:right w:val="nil"/>
            </w:tcBorders>
            <w:shd w:val="clear" w:color="FFFFFF" w:fill="FFFFFF"/>
            <w:noWrap/>
            <w:vAlign w:val="bottom"/>
            <w:hideMark/>
          </w:tcPr>
          <w:p w14:paraId="7184BB7E" w14:textId="77777777" w:rsidR="00A43992" w:rsidRDefault="00A43992" w:rsidP="007211E3">
            <w:pPr>
              <w:rPr>
                <w:rFonts w:ascii="Arial" w:hAnsi="Arial" w:cs="Arial"/>
                <w:sz w:val="18"/>
                <w:szCs w:val="18"/>
              </w:rPr>
            </w:pPr>
            <w:r>
              <w:rPr>
                <w:rFonts w:ascii="Arial" w:hAnsi="Arial" w:cs="Arial"/>
                <w:sz w:val="18"/>
                <w:szCs w:val="18"/>
              </w:rPr>
              <w:t> </w:t>
            </w:r>
          </w:p>
        </w:tc>
        <w:tc>
          <w:tcPr>
            <w:tcW w:w="1249" w:type="dxa"/>
            <w:tcBorders>
              <w:top w:val="single" w:sz="4" w:space="0" w:color="auto"/>
              <w:left w:val="nil"/>
              <w:bottom w:val="single" w:sz="4" w:space="0" w:color="auto"/>
              <w:right w:val="nil"/>
            </w:tcBorders>
            <w:shd w:val="clear" w:color="FFFFFF" w:fill="FFFFFF"/>
            <w:noWrap/>
            <w:vAlign w:val="bottom"/>
            <w:hideMark/>
          </w:tcPr>
          <w:p w14:paraId="0C19C84A" w14:textId="77777777" w:rsidR="00A43992" w:rsidRDefault="00A43992" w:rsidP="007211E3">
            <w:pPr>
              <w:jc w:val="right"/>
              <w:rPr>
                <w:rFonts w:ascii="Arial" w:hAnsi="Arial" w:cs="Arial"/>
                <w:sz w:val="18"/>
                <w:szCs w:val="18"/>
              </w:rPr>
            </w:pPr>
            <w:r>
              <w:rPr>
                <w:rFonts w:ascii="Arial" w:hAnsi="Arial" w:cs="Arial"/>
                <w:sz w:val="18"/>
                <w:szCs w:val="18"/>
              </w:rPr>
              <w:t>14,022</w:t>
            </w:r>
          </w:p>
        </w:tc>
      </w:tr>
      <w:tr w:rsidR="00A43992" w14:paraId="2104C1BA" w14:textId="77777777" w:rsidTr="007211E3">
        <w:trPr>
          <w:trHeight w:val="255"/>
        </w:trPr>
        <w:tc>
          <w:tcPr>
            <w:tcW w:w="6353" w:type="dxa"/>
            <w:tcBorders>
              <w:top w:val="nil"/>
              <w:left w:val="nil"/>
              <w:bottom w:val="nil"/>
              <w:right w:val="nil"/>
            </w:tcBorders>
            <w:shd w:val="clear" w:color="FFFFFF" w:fill="FFFFFF"/>
            <w:noWrap/>
            <w:vAlign w:val="bottom"/>
            <w:hideMark/>
          </w:tcPr>
          <w:p w14:paraId="3A0317B8" w14:textId="77777777" w:rsidR="00A43992" w:rsidRDefault="00A43992" w:rsidP="007211E3">
            <w:pPr>
              <w:rPr>
                <w:rFonts w:ascii="Arial" w:hAnsi="Arial" w:cs="Arial"/>
                <w:sz w:val="18"/>
                <w:szCs w:val="18"/>
              </w:rPr>
            </w:pPr>
            <w:r>
              <w:rPr>
                <w:rFonts w:ascii="Arial" w:hAnsi="Arial" w:cs="Arial"/>
                <w:sz w:val="18"/>
                <w:szCs w:val="18"/>
              </w:rPr>
              <w:t> </w:t>
            </w:r>
          </w:p>
        </w:tc>
        <w:tc>
          <w:tcPr>
            <w:tcW w:w="1249" w:type="dxa"/>
            <w:tcBorders>
              <w:top w:val="nil"/>
              <w:left w:val="nil"/>
              <w:bottom w:val="nil"/>
              <w:right w:val="nil"/>
            </w:tcBorders>
            <w:shd w:val="clear" w:color="FFFFFF" w:fill="FFFFFF"/>
            <w:noWrap/>
            <w:vAlign w:val="bottom"/>
            <w:hideMark/>
          </w:tcPr>
          <w:p w14:paraId="23B1B2DB" w14:textId="77777777" w:rsidR="00A43992" w:rsidRDefault="00A43992" w:rsidP="007211E3">
            <w:pPr>
              <w:rPr>
                <w:rFonts w:ascii="Arial" w:hAnsi="Arial" w:cs="Arial"/>
                <w:b/>
                <w:bCs/>
                <w:sz w:val="18"/>
                <w:szCs w:val="18"/>
              </w:rPr>
            </w:pPr>
            <w:r>
              <w:rPr>
                <w:rFonts w:ascii="Arial" w:hAnsi="Arial" w:cs="Arial"/>
                <w:b/>
                <w:bCs/>
                <w:sz w:val="18"/>
                <w:szCs w:val="18"/>
              </w:rPr>
              <w:t> </w:t>
            </w:r>
          </w:p>
        </w:tc>
        <w:tc>
          <w:tcPr>
            <w:tcW w:w="236" w:type="dxa"/>
            <w:tcBorders>
              <w:top w:val="nil"/>
              <w:left w:val="nil"/>
              <w:bottom w:val="nil"/>
              <w:right w:val="nil"/>
            </w:tcBorders>
            <w:shd w:val="clear" w:color="FFFFFF" w:fill="FFFFFF"/>
            <w:noWrap/>
            <w:vAlign w:val="bottom"/>
            <w:hideMark/>
          </w:tcPr>
          <w:p w14:paraId="73273A32" w14:textId="77777777" w:rsidR="00A43992" w:rsidRDefault="00A43992" w:rsidP="007211E3">
            <w:pPr>
              <w:rPr>
                <w:rFonts w:ascii="Arial" w:hAnsi="Arial" w:cs="Arial"/>
                <w:sz w:val="18"/>
                <w:szCs w:val="18"/>
              </w:rPr>
            </w:pPr>
            <w:r>
              <w:rPr>
                <w:rFonts w:ascii="Arial" w:hAnsi="Arial" w:cs="Arial"/>
                <w:sz w:val="18"/>
                <w:szCs w:val="18"/>
              </w:rPr>
              <w:t> </w:t>
            </w:r>
          </w:p>
        </w:tc>
        <w:tc>
          <w:tcPr>
            <w:tcW w:w="1249" w:type="dxa"/>
            <w:tcBorders>
              <w:top w:val="nil"/>
              <w:left w:val="nil"/>
              <w:bottom w:val="nil"/>
              <w:right w:val="nil"/>
            </w:tcBorders>
            <w:shd w:val="clear" w:color="FFFFFF" w:fill="FFFFFF"/>
            <w:noWrap/>
            <w:vAlign w:val="bottom"/>
            <w:hideMark/>
          </w:tcPr>
          <w:p w14:paraId="42F08AAC" w14:textId="77777777" w:rsidR="00A43992" w:rsidRDefault="00A43992" w:rsidP="007211E3">
            <w:pPr>
              <w:rPr>
                <w:rFonts w:ascii="Arial" w:hAnsi="Arial" w:cs="Arial"/>
                <w:sz w:val="18"/>
                <w:szCs w:val="18"/>
              </w:rPr>
            </w:pPr>
            <w:r>
              <w:rPr>
                <w:rFonts w:ascii="Arial" w:hAnsi="Arial" w:cs="Arial"/>
                <w:sz w:val="18"/>
                <w:szCs w:val="18"/>
              </w:rPr>
              <w:t> </w:t>
            </w:r>
          </w:p>
        </w:tc>
      </w:tr>
      <w:tr w:rsidR="00A43992" w14:paraId="51B0B898" w14:textId="77777777" w:rsidTr="007211E3">
        <w:trPr>
          <w:trHeight w:val="255"/>
        </w:trPr>
        <w:tc>
          <w:tcPr>
            <w:tcW w:w="6353" w:type="dxa"/>
            <w:tcBorders>
              <w:top w:val="nil"/>
              <w:left w:val="nil"/>
              <w:bottom w:val="nil"/>
              <w:right w:val="nil"/>
            </w:tcBorders>
            <w:shd w:val="clear" w:color="FFFFFF" w:fill="FFFFFF"/>
            <w:noWrap/>
            <w:vAlign w:val="bottom"/>
            <w:hideMark/>
          </w:tcPr>
          <w:p w14:paraId="4E88BCDC" w14:textId="77777777" w:rsidR="00A43992" w:rsidRDefault="00A43992" w:rsidP="007211E3">
            <w:pPr>
              <w:rPr>
                <w:rFonts w:ascii="Arial" w:hAnsi="Arial" w:cs="Arial"/>
                <w:sz w:val="18"/>
                <w:szCs w:val="18"/>
              </w:rPr>
            </w:pPr>
            <w:r>
              <w:rPr>
                <w:rFonts w:ascii="Arial" w:hAnsi="Arial" w:cs="Arial"/>
                <w:sz w:val="18"/>
                <w:szCs w:val="18"/>
              </w:rPr>
              <w:t>Suppliers expected to be settled</w:t>
            </w:r>
          </w:p>
        </w:tc>
        <w:tc>
          <w:tcPr>
            <w:tcW w:w="1249" w:type="dxa"/>
            <w:tcBorders>
              <w:top w:val="nil"/>
              <w:left w:val="nil"/>
              <w:bottom w:val="nil"/>
              <w:right w:val="nil"/>
            </w:tcBorders>
            <w:shd w:val="clear" w:color="FFFFFF" w:fill="FFFFFF"/>
            <w:noWrap/>
            <w:vAlign w:val="bottom"/>
            <w:hideMark/>
          </w:tcPr>
          <w:p w14:paraId="6EC217EA" w14:textId="77777777" w:rsidR="00A43992" w:rsidRDefault="00A43992" w:rsidP="007211E3">
            <w:pPr>
              <w:rPr>
                <w:rFonts w:ascii="Arial" w:hAnsi="Arial" w:cs="Arial"/>
                <w:b/>
                <w:bCs/>
                <w:sz w:val="18"/>
                <w:szCs w:val="18"/>
              </w:rPr>
            </w:pPr>
            <w:r>
              <w:rPr>
                <w:rFonts w:ascii="Arial" w:hAnsi="Arial" w:cs="Arial"/>
                <w:b/>
                <w:bCs/>
                <w:sz w:val="18"/>
                <w:szCs w:val="18"/>
              </w:rPr>
              <w:t> </w:t>
            </w:r>
          </w:p>
        </w:tc>
        <w:tc>
          <w:tcPr>
            <w:tcW w:w="236" w:type="dxa"/>
            <w:tcBorders>
              <w:top w:val="nil"/>
              <w:left w:val="nil"/>
              <w:bottom w:val="nil"/>
              <w:right w:val="nil"/>
            </w:tcBorders>
            <w:shd w:val="clear" w:color="FFFFFF" w:fill="FFFFFF"/>
            <w:noWrap/>
            <w:vAlign w:val="bottom"/>
            <w:hideMark/>
          </w:tcPr>
          <w:p w14:paraId="271C5D9A" w14:textId="77777777" w:rsidR="00A43992" w:rsidRDefault="00A43992" w:rsidP="007211E3">
            <w:pPr>
              <w:rPr>
                <w:rFonts w:ascii="Arial" w:hAnsi="Arial" w:cs="Arial"/>
                <w:sz w:val="18"/>
                <w:szCs w:val="18"/>
              </w:rPr>
            </w:pPr>
            <w:r>
              <w:rPr>
                <w:rFonts w:ascii="Arial" w:hAnsi="Arial" w:cs="Arial"/>
                <w:sz w:val="18"/>
                <w:szCs w:val="18"/>
              </w:rPr>
              <w:t> </w:t>
            </w:r>
          </w:p>
        </w:tc>
        <w:tc>
          <w:tcPr>
            <w:tcW w:w="1249" w:type="dxa"/>
            <w:tcBorders>
              <w:top w:val="nil"/>
              <w:left w:val="nil"/>
              <w:bottom w:val="nil"/>
              <w:right w:val="nil"/>
            </w:tcBorders>
            <w:shd w:val="clear" w:color="FFFFFF" w:fill="FFFFFF"/>
            <w:noWrap/>
            <w:vAlign w:val="bottom"/>
            <w:hideMark/>
          </w:tcPr>
          <w:p w14:paraId="063F9E83" w14:textId="77777777" w:rsidR="00A43992" w:rsidRDefault="00A43992" w:rsidP="007211E3">
            <w:pPr>
              <w:rPr>
                <w:rFonts w:ascii="Arial" w:hAnsi="Arial" w:cs="Arial"/>
                <w:sz w:val="18"/>
                <w:szCs w:val="18"/>
              </w:rPr>
            </w:pPr>
            <w:r>
              <w:rPr>
                <w:rFonts w:ascii="Arial" w:hAnsi="Arial" w:cs="Arial"/>
                <w:sz w:val="18"/>
                <w:szCs w:val="18"/>
              </w:rPr>
              <w:t> </w:t>
            </w:r>
          </w:p>
        </w:tc>
      </w:tr>
      <w:tr w:rsidR="00A43992" w14:paraId="68B8FFD4" w14:textId="77777777" w:rsidTr="007211E3">
        <w:trPr>
          <w:trHeight w:val="255"/>
        </w:trPr>
        <w:tc>
          <w:tcPr>
            <w:tcW w:w="6353" w:type="dxa"/>
            <w:tcBorders>
              <w:top w:val="nil"/>
              <w:left w:val="nil"/>
              <w:bottom w:val="nil"/>
              <w:right w:val="nil"/>
            </w:tcBorders>
            <w:shd w:val="clear" w:color="FFFFFF" w:fill="FFFFFF"/>
            <w:noWrap/>
            <w:vAlign w:val="bottom"/>
            <w:hideMark/>
          </w:tcPr>
          <w:p w14:paraId="03A6711F" w14:textId="77777777" w:rsidR="00A43992" w:rsidRDefault="00A43992" w:rsidP="007211E3">
            <w:pPr>
              <w:ind w:firstLineChars="100" w:firstLine="180"/>
              <w:rPr>
                <w:rFonts w:ascii="Arial" w:hAnsi="Arial" w:cs="Arial"/>
                <w:sz w:val="18"/>
                <w:szCs w:val="18"/>
              </w:rPr>
            </w:pPr>
            <w:r>
              <w:rPr>
                <w:rFonts w:ascii="Arial" w:hAnsi="Arial" w:cs="Arial"/>
                <w:sz w:val="18"/>
                <w:szCs w:val="18"/>
              </w:rPr>
              <w:t>No more than 12 months</w:t>
            </w:r>
          </w:p>
        </w:tc>
        <w:tc>
          <w:tcPr>
            <w:tcW w:w="1249" w:type="dxa"/>
            <w:tcBorders>
              <w:top w:val="nil"/>
              <w:left w:val="nil"/>
              <w:bottom w:val="nil"/>
              <w:right w:val="nil"/>
            </w:tcBorders>
            <w:shd w:val="clear" w:color="auto" w:fill="auto"/>
            <w:noWrap/>
            <w:vAlign w:val="bottom"/>
            <w:hideMark/>
          </w:tcPr>
          <w:p w14:paraId="234E53D5" w14:textId="77777777" w:rsidR="00A43992" w:rsidRDefault="00A43992" w:rsidP="007211E3">
            <w:pPr>
              <w:jc w:val="right"/>
              <w:rPr>
                <w:rFonts w:ascii="Arial" w:hAnsi="Arial" w:cs="Arial"/>
                <w:b/>
                <w:bCs/>
                <w:sz w:val="18"/>
                <w:szCs w:val="18"/>
              </w:rPr>
            </w:pPr>
            <w:r>
              <w:rPr>
                <w:rFonts w:ascii="Arial" w:hAnsi="Arial" w:cs="Arial"/>
                <w:b/>
                <w:bCs/>
                <w:sz w:val="18"/>
                <w:szCs w:val="18"/>
              </w:rPr>
              <w:t>25,000</w:t>
            </w:r>
          </w:p>
        </w:tc>
        <w:tc>
          <w:tcPr>
            <w:tcW w:w="236" w:type="dxa"/>
            <w:tcBorders>
              <w:top w:val="nil"/>
              <w:left w:val="nil"/>
              <w:bottom w:val="nil"/>
              <w:right w:val="nil"/>
            </w:tcBorders>
            <w:shd w:val="clear" w:color="auto" w:fill="auto"/>
            <w:noWrap/>
            <w:vAlign w:val="bottom"/>
            <w:hideMark/>
          </w:tcPr>
          <w:p w14:paraId="0EF2D43F" w14:textId="77777777" w:rsidR="00A43992" w:rsidRDefault="00A43992" w:rsidP="007211E3">
            <w:pPr>
              <w:rPr>
                <w:rFonts w:ascii="Arial" w:hAnsi="Arial" w:cs="Arial"/>
                <w:sz w:val="18"/>
                <w:szCs w:val="18"/>
              </w:rPr>
            </w:pPr>
            <w:r>
              <w:rPr>
                <w:rFonts w:ascii="Arial" w:hAnsi="Arial" w:cs="Arial"/>
                <w:sz w:val="18"/>
                <w:szCs w:val="18"/>
              </w:rPr>
              <w:t> </w:t>
            </w:r>
          </w:p>
        </w:tc>
        <w:tc>
          <w:tcPr>
            <w:tcW w:w="1249" w:type="dxa"/>
            <w:tcBorders>
              <w:top w:val="nil"/>
              <w:left w:val="nil"/>
              <w:bottom w:val="nil"/>
              <w:right w:val="nil"/>
            </w:tcBorders>
            <w:shd w:val="clear" w:color="auto" w:fill="auto"/>
            <w:noWrap/>
            <w:vAlign w:val="bottom"/>
            <w:hideMark/>
          </w:tcPr>
          <w:p w14:paraId="14C51B67" w14:textId="77777777" w:rsidR="00A43992" w:rsidRDefault="00A43992" w:rsidP="007211E3">
            <w:pPr>
              <w:jc w:val="right"/>
              <w:rPr>
                <w:rFonts w:ascii="Arial" w:hAnsi="Arial" w:cs="Arial"/>
                <w:sz w:val="18"/>
                <w:szCs w:val="18"/>
              </w:rPr>
            </w:pPr>
            <w:r>
              <w:rPr>
                <w:rFonts w:ascii="Arial" w:hAnsi="Arial" w:cs="Arial"/>
                <w:sz w:val="18"/>
                <w:szCs w:val="18"/>
              </w:rPr>
              <w:t>13,707</w:t>
            </w:r>
          </w:p>
        </w:tc>
      </w:tr>
      <w:tr w:rsidR="00A43992" w14:paraId="4B2AAE9B" w14:textId="77777777" w:rsidTr="007211E3">
        <w:trPr>
          <w:trHeight w:val="255"/>
        </w:trPr>
        <w:tc>
          <w:tcPr>
            <w:tcW w:w="6353" w:type="dxa"/>
            <w:tcBorders>
              <w:top w:val="nil"/>
              <w:left w:val="nil"/>
              <w:bottom w:val="nil"/>
              <w:right w:val="nil"/>
            </w:tcBorders>
            <w:shd w:val="clear" w:color="FFFFFF" w:fill="FFFFFF"/>
            <w:noWrap/>
            <w:vAlign w:val="bottom"/>
            <w:hideMark/>
          </w:tcPr>
          <w:p w14:paraId="1C3B57D0" w14:textId="77777777" w:rsidR="00A43992" w:rsidRDefault="00A43992" w:rsidP="007211E3">
            <w:pPr>
              <w:ind w:firstLineChars="100" w:firstLine="180"/>
              <w:rPr>
                <w:rFonts w:ascii="Arial" w:hAnsi="Arial" w:cs="Arial"/>
                <w:sz w:val="18"/>
                <w:szCs w:val="18"/>
              </w:rPr>
            </w:pPr>
            <w:r>
              <w:rPr>
                <w:rFonts w:ascii="Arial" w:hAnsi="Arial" w:cs="Arial"/>
                <w:sz w:val="18"/>
                <w:szCs w:val="18"/>
              </w:rPr>
              <w:t>More than 12 months</w:t>
            </w:r>
          </w:p>
        </w:tc>
        <w:tc>
          <w:tcPr>
            <w:tcW w:w="1249" w:type="dxa"/>
            <w:tcBorders>
              <w:top w:val="nil"/>
              <w:left w:val="nil"/>
              <w:bottom w:val="nil"/>
              <w:right w:val="nil"/>
            </w:tcBorders>
            <w:shd w:val="clear" w:color="auto" w:fill="auto"/>
            <w:noWrap/>
            <w:vAlign w:val="bottom"/>
            <w:hideMark/>
          </w:tcPr>
          <w:p w14:paraId="2BA47A57" w14:textId="77777777" w:rsidR="00A43992" w:rsidRDefault="00A43992" w:rsidP="007211E3">
            <w:pPr>
              <w:jc w:val="right"/>
              <w:rPr>
                <w:rFonts w:ascii="Arial" w:hAnsi="Arial" w:cs="Arial"/>
                <w:b/>
                <w:bCs/>
                <w:sz w:val="18"/>
                <w:szCs w:val="18"/>
              </w:rPr>
            </w:pPr>
            <w:r>
              <w:rPr>
                <w:rFonts w:ascii="Arial" w:hAnsi="Arial" w:cs="Arial"/>
                <w:b/>
                <w:bCs/>
                <w:sz w:val="18"/>
                <w:szCs w:val="18"/>
              </w:rPr>
              <w:t>349</w:t>
            </w:r>
          </w:p>
        </w:tc>
        <w:tc>
          <w:tcPr>
            <w:tcW w:w="236" w:type="dxa"/>
            <w:tcBorders>
              <w:top w:val="nil"/>
              <w:left w:val="nil"/>
              <w:bottom w:val="nil"/>
              <w:right w:val="nil"/>
            </w:tcBorders>
            <w:shd w:val="clear" w:color="auto" w:fill="auto"/>
            <w:noWrap/>
            <w:vAlign w:val="bottom"/>
            <w:hideMark/>
          </w:tcPr>
          <w:p w14:paraId="5FF622C9" w14:textId="77777777" w:rsidR="00A43992" w:rsidRDefault="00A43992" w:rsidP="007211E3">
            <w:pPr>
              <w:rPr>
                <w:rFonts w:ascii="Arial" w:hAnsi="Arial" w:cs="Arial"/>
                <w:sz w:val="18"/>
                <w:szCs w:val="18"/>
              </w:rPr>
            </w:pPr>
            <w:r>
              <w:rPr>
                <w:rFonts w:ascii="Arial" w:hAnsi="Arial" w:cs="Arial"/>
                <w:sz w:val="18"/>
                <w:szCs w:val="18"/>
              </w:rPr>
              <w:t> </w:t>
            </w:r>
          </w:p>
        </w:tc>
        <w:tc>
          <w:tcPr>
            <w:tcW w:w="1249" w:type="dxa"/>
            <w:tcBorders>
              <w:top w:val="nil"/>
              <w:left w:val="nil"/>
              <w:bottom w:val="nil"/>
              <w:right w:val="nil"/>
            </w:tcBorders>
            <w:shd w:val="clear" w:color="auto" w:fill="auto"/>
            <w:noWrap/>
            <w:vAlign w:val="bottom"/>
            <w:hideMark/>
          </w:tcPr>
          <w:p w14:paraId="00A1684B" w14:textId="77777777" w:rsidR="00A43992" w:rsidRDefault="00A43992" w:rsidP="007211E3">
            <w:pPr>
              <w:jc w:val="right"/>
              <w:rPr>
                <w:rFonts w:ascii="Arial" w:hAnsi="Arial" w:cs="Arial"/>
                <w:sz w:val="18"/>
                <w:szCs w:val="18"/>
              </w:rPr>
            </w:pPr>
            <w:r>
              <w:rPr>
                <w:rFonts w:ascii="Arial" w:hAnsi="Arial" w:cs="Arial"/>
                <w:sz w:val="18"/>
                <w:szCs w:val="18"/>
              </w:rPr>
              <w:t>315</w:t>
            </w:r>
          </w:p>
        </w:tc>
      </w:tr>
      <w:tr w:rsidR="00A43992" w14:paraId="24FD7AEE" w14:textId="77777777" w:rsidTr="007211E3">
        <w:trPr>
          <w:trHeight w:val="255"/>
        </w:trPr>
        <w:tc>
          <w:tcPr>
            <w:tcW w:w="6353" w:type="dxa"/>
            <w:tcBorders>
              <w:top w:val="nil"/>
              <w:left w:val="nil"/>
              <w:bottom w:val="nil"/>
              <w:right w:val="nil"/>
            </w:tcBorders>
            <w:shd w:val="clear" w:color="FFFFFF" w:fill="FFFFFF"/>
            <w:vAlign w:val="bottom"/>
            <w:hideMark/>
          </w:tcPr>
          <w:p w14:paraId="3F795457" w14:textId="77777777" w:rsidR="00A43992" w:rsidRDefault="00A43992" w:rsidP="007211E3">
            <w:pPr>
              <w:rPr>
                <w:rFonts w:ascii="Arial" w:hAnsi="Arial" w:cs="Arial"/>
                <w:b/>
                <w:bCs/>
                <w:sz w:val="18"/>
                <w:szCs w:val="18"/>
              </w:rPr>
            </w:pPr>
            <w:r>
              <w:rPr>
                <w:rFonts w:ascii="Arial" w:hAnsi="Arial" w:cs="Arial"/>
                <w:b/>
                <w:bCs/>
                <w:sz w:val="18"/>
                <w:szCs w:val="18"/>
              </w:rPr>
              <w:lastRenderedPageBreak/>
              <w:t>Total suppliers</w:t>
            </w:r>
          </w:p>
        </w:tc>
        <w:tc>
          <w:tcPr>
            <w:tcW w:w="1249" w:type="dxa"/>
            <w:tcBorders>
              <w:top w:val="single" w:sz="4" w:space="0" w:color="auto"/>
              <w:left w:val="nil"/>
              <w:bottom w:val="single" w:sz="4" w:space="0" w:color="auto"/>
              <w:right w:val="nil"/>
            </w:tcBorders>
            <w:shd w:val="clear" w:color="FFFFFF" w:fill="FFFFFF"/>
            <w:noWrap/>
            <w:vAlign w:val="bottom"/>
            <w:hideMark/>
          </w:tcPr>
          <w:p w14:paraId="2CA55F5B" w14:textId="77777777" w:rsidR="00A43992" w:rsidRDefault="00A43992" w:rsidP="007211E3">
            <w:pPr>
              <w:jc w:val="right"/>
              <w:rPr>
                <w:rFonts w:ascii="Arial" w:hAnsi="Arial" w:cs="Arial"/>
                <w:b/>
                <w:bCs/>
                <w:sz w:val="18"/>
                <w:szCs w:val="18"/>
              </w:rPr>
            </w:pPr>
            <w:r>
              <w:rPr>
                <w:rFonts w:ascii="Arial" w:hAnsi="Arial" w:cs="Arial"/>
                <w:b/>
                <w:bCs/>
                <w:sz w:val="18"/>
                <w:szCs w:val="18"/>
              </w:rPr>
              <w:t>25,349</w:t>
            </w:r>
          </w:p>
        </w:tc>
        <w:tc>
          <w:tcPr>
            <w:tcW w:w="236" w:type="dxa"/>
            <w:tcBorders>
              <w:top w:val="nil"/>
              <w:left w:val="nil"/>
              <w:bottom w:val="nil"/>
              <w:right w:val="nil"/>
            </w:tcBorders>
            <w:shd w:val="clear" w:color="FFFFFF" w:fill="FFFFFF"/>
            <w:noWrap/>
            <w:vAlign w:val="bottom"/>
            <w:hideMark/>
          </w:tcPr>
          <w:p w14:paraId="5F47E00D" w14:textId="77777777" w:rsidR="00A43992" w:rsidRDefault="00A43992" w:rsidP="007211E3">
            <w:pPr>
              <w:rPr>
                <w:rFonts w:ascii="Arial" w:hAnsi="Arial" w:cs="Arial"/>
                <w:sz w:val="18"/>
                <w:szCs w:val="18"/>
              </w:rPr>
            </w:pPr>
            <w:r>
              <w:rPr>
                <w:rFonts w:ascii="Arial" w:hAnsi="Arial" w:cs="Arial"/>
                <w:sz w:val="18"/>
                <w:szCs w:val="18"/>
              </w:rPr>
              <w:t> </w:t>
            </w:r>
          </w:p>
        </w:tc>
        <w:tc>
          <w:tcPr>
            <w:tcW w:w="1249" w:type="dxa"/>
            <w:tcBorders>
              <w:top w:val="single" w:sz="4" w:space="0" w:color="auto"/>
              <w:left w:val="nil"/>
              <w:bottom w:val="single" w:sz="4" w:space="0" w:color="auto"/>
              <w:right w:val="nil"/>
            </w:tcBorders>
            <w:shd w:val="clear" w:color="FFFFFF" w:fill="FFFFFF"/>
            <w:noWrap/>
            <w:vAlign w:val="bottom"/>
            <w:hideMark/>
          </w:tcPr>
          <w:p w14:paraId="636B4330" w14:textId="77777777" w:rsidR="00A43992" w:rsidRDefault="00A43992" w:rsidP="007211E3">
            <w:pPr>
              <w:jc w:val="right"/>
              <w:rPr>
                <w:rFonts w:ascii="Arial" w:hAnsi="Arial" w:cs="Arial"/>
                <w:sz w:val="18"/>
                <w:szCs w:val="18"/>
              </w:rPr>
            </w:pPr>
            <w:r>
              <w:rPr>
                <w:rFonts w:ascii="Arial" w:hAnsi="Arial" w:cs="Arial"/>
                <w:sz w:val="18"/>
                <w:szCs w:val="18"/>
              </w:rPr>
              <w:t>14,022</w:t>
            </w:r>
          </w:p>
        </w:tc>
      </w:tr>
    </w:tbl>
    <w:p w14:paraId="2B61C4EB" w14:textId="77777777" w:rsidR="00A43992" w:rsidRPr="005E5430" w:rsidRDefault="00A43992" w:rsidP="00A43992">
      <w:pPr>
        <w:pStyle w:val="ReferenceText"/>
      </w:pPr>
      <w:bookmarkStart w:id="337" w:name="RANGE!D6:H21"/>
      <w:bookmarkStart w:id="338" w:name="RANGE!D6:D22"/>
      <w:bookmarkStart w:id="339" w:name="RANGE!D6:H22"/>
      <w:bookmarkStart w:id="340" w:name="RANGE!D7:G21"/>
      <w:bookmarkStart w:id="341" w:name="RANGE!D6:D21"/>
      <w:bookmarkStart w:id="342" w:name="RANGE!D6:G21"/>
      <w:bookmarkStart w:id="343" w:name="RANGE!D6:H20"/>
      <w:bookmarkEnd w:id="337"/>
      <w:bookmarkEnd w:id="338"/>
      <w:bookmarkEnd w:id="339"/>
      <w:bookmarkEnd w:id="340"/>
      <w:bookmarkEnd w:id="341"/>
      <w:bookmarkEnd w:id="342"/>
      <w:bookmarkEnd w:id="343"/>
      <w:r w:rsidRPr="005E5430">
        <w:t>Settlement is usually made</w:t>
      </w:r>
      <w:r>
        <w:t xml:space="preserve"> for suppliers</w:t>
      </w:r>
      <w:r w:rsidRPr="005E5430">
        <w:t xml:space="preserve"> within 30 days.</w:t>
      </w:r>
    </w:p>
    <w:p w14:paraId="60CC37A5" w14:textId="77777777" w:rsidR="00A43992" w:rsidRPr="005E5430" w:rsidRDefault="00A43992" w:rsidP="00A43992"/>
    <w:tbl>
      <w:tblPr>
        <w:tblW w:w="9087" w:type="dxa"/>
        <w:tblInd w:w="80" w:type="dxa"/>
        <w:tblLayout w:type="fixed"/>
        <w:tblLook w:val="04A0" w:firstRow="1" w:lastRow="0" w:firstColumn="1" w:lastColumn="0" w:noHBand="0" w:noVBand="1"/>
      </w:tblPr>
      <w:tblGrid>
        <w:gridCol w:w="6353"/>
        <w:gridCol w:w="1249"/>
        <w:gridCol w:w="236"/>
        <w:gridCol w:w="1249"/>
      </w:tblGrid>
      <w:tr w:rsidR="00A43992" w14:paraId="0DB261EF" w14:textId="77777777" w:rsidTr="007211E3">
        <w:trPr>
          <w:trHeight w:val="240"/>
        </w:trPr>
        <w:tc>
          <w:tcPr>
            <w:tcW w:w="6353" w:type="dxa"/>
            <w:tcBorders>
              <w:top w:val="nil"/>
              <w:left w:val="nil"/>
              <w:bottom w:val="nil"/>
              <w:right w:val="nil"/>
            </w:tcBorders>
            <w:shd w:val="clear" w:color="FFFFFF" w:fill="FFFFFF"/>
            <w:noWrap/>
            <w:vAlign w:val="bottom"/>
            <w:hideMark/>
          </w:tcPr>
          <w:p w14:paraId="157FB1B3" w14:textId="77777777" w:rsidR="00A43992" w:rsidRDefault="00A43992" w:rsidP="007211E3">
            <w:pPr>
              <w:rPr>
                <w:rFonts w:ascii="Arial" w:hAnsi="Arial" w:cs="Arial"/>
                <w:b/>
                <w:bCs/>
                <w:sz w:val="18"/>
                <w:szCs w:val="18"/>
                <w:u w:val="single"/>
              </w:rPr>
            </w:pPr>
            <w:bookmarkStart w:id="344" w:name="Note_PPPTABLE1" w:colFirst="0" w:colLast="0"/>
            <w:r>
              <w:rPr>
                <w:rFonts w:ascii="Arial" w:hAnsi="Arial" w:cs="Arial"/>
                <w:b/>
                <w:bCs/>
                <w:sz w:val="18"/>
                <w:szCs w:val="18"/>
                <w:u w:val="single"/>
              </w:rPr>
              <w:t>Note 2.3B: Participant plan payables</w:t>
            </w:r>
          </w:p>
        </w:tc>
        <w:tc>
          <w:tcPr>
            <w:tcW w:w="1249" w:type="dxa"/>
            <w:tcBorders>
              <w:top w:val="nil"/>
              <w:left w:val="nil"/>
              <w:bottom w:val="nil"/>
              <w:right w:val="nil"/>
            </w:tcBorders>
            <w:shd w:val="clear" w:color="FFFFFF" w:fill="FFFFFF"/>
            <w:noWrap/>
            <w:vAlign w:val="bottom"/>
            <w:hideMark/>
          </w:tcPr>
          <w:p w14:paraId="5ED0E410" w14:textId="77777777" w:rsidR="00A43992" w:rsidRDefault="00A43992" w:rsidP="007211E3">
            <w:pPr>
              <w:rPr>
                <w:rFonts w:ascii="Arial" w:hAnsi="Arial" w:cs="Arial"/>
                <w:sz w:val="18"/>
                <w:szCs w:val="18"/>
              </w:rPr>
            </w:pPr>
            <w:r>
              <w:rPr>
                <w:rFonts w:ascii="Arial" w:hAnsi="Arial" w:cs="Arial"/>
                <w:sz w:val="18"/>
                <w:szCs w:val="18"/>
              </w:rPr>
              <w:t> </w:t>
            </w:r>
          </w:p>
        </w:tc>
        <w:tc>
          <w:tcPr>
            <w:tcW w:w="236" w:type="dxa"/>
            <w:tcBorders>
              <w:top w:val="nil"/>
              <w:left w:val="nil"/>
              <w:bottom w:val="nil"/>
              <w:right w:val="nil"/>
            </w:tcBorders>
            <w:shd w:val="clear" w:color="FFFFFF" w:fill="FFFFFF"/>
            <w:noWrap/>
            <w:vAlign w:val="bottom"/>
            <w:hideMark/>
          </w:tcPr>
          <w:p w14:paraId="0ECA10F5" w14:textId="77777777" w:rsidR="00A43992" w:rsidRDefault="00A43992" w:rsidP="007211E3">
            <w:pPr>
              <w:rPr>
                <w:rFonts w:ascii="Arial" w:hAnsi="Arial" w:cs="Arial"/>
                <w:sz w:val="18"/>
                <w:szCs w:val="18"/>
              </w:rPr>
            </w:pPr>
            <w:r>
              <w:rPr>
                <w:rFonts w:ascii="Arial" w:hAnsi="Arial" w:cs="Arial"/>
                <w:sz w:val="18"/>
                <w:szCs w:val="18"/>
              </w:rPr>
              <w:t> </w:t>
            </w:r>
          </w:p>
        </w:tc>
        <w:tc>
          <w:tcPr>
            <w:tcW w:w="1249" w:type="dxa"/>
            <w:tcBorders>
              <w:top w:val="nil"/>
              <w:left w:val="nil"/>
              <w:bottom w:val="nil"/>
              <w:right w:val="nil"/>
            </w:tcBorders>
            <w:shd w:val="clear" w:color="FFFFFF" w:fill="FFFFFF"/>
            <w:noWrap/>
            <w:vAlign w:val="bottom"/>
            <w:hideMark/>
          </w:tcPr>
          <w:p w14:paraId="78F943FE" w14:textId="77777777" w:rsidR="00A43992" w:rsidRDefault="00A43992" w:rsidP="007211E3">
            <w:pPr>
              <w:rPr>
                <w:rFonts w:ascii="Arial" w:hAnsi="Arial" w:cs="Arial"/>
                <w:sz w:val="18"/>
                <w:szCs w:val="18"/>
              </w:rPr>
            </w:pPr>
            <w:r>
              <w:rPr>
                <w:rFonts w:ascii="Arial" w:hAnsi="Arial" w:cs="Arial"/>
                <w:sz w:val="18"/>
                <w:szCs w:val="18"/>
              </w:rPr>
              <w:t> </w:t>
            </w:r>
          </w:p>
        </w:tc>
      </w:tr>
      <w:bookmarkEnd w:id="344"/>
      <w:tr w:rsidR="00A43992" w14:paraId="7780F051" w14:textId="77777777" w:rsidTr="007211E3">
        <w:trPr>
          <w:trHeight w:val="240"/>
        </w:trPr>
        <w:tc>
          <w:tcPr>
            <w:tcW w:w="6353" w:type="dxa"/>
            <w:tcBorders>
              <w:top w:val="nil"/>
              <w:left w:val="nil"/>
              <w:bottom w:val="nil"/>
              <w:right w:val="nil"/>
            </w:tcBorders>
            <w:shd w:val="clear" w:color="FFFFFF" w:fill="FFFFFF"/>
            <w:vAlign w:val="bottom"/>
            <w:hideMark/>
          </w:tcPr>
          <w:p w14:paraId="0F63CEA4" w14:textId="77777777" w:rsidR="00A43992" w:rsidRDefault="00A43992" w:rsidP="007211E3">
            <w:pPr>
              <w:rPr>
                <w:rFonts w:ascii="Arial" w:hAnsi="Arial" w:cs="Arial"/>
                <w:sz w:val="18"/>
                <w:szCs w:val="18"/>
              </w:rPr>
            </w:pPr>
            <w:r>
              <w:rPr>
                <w:rFonts w:ascii="Arial" w:hAnsi="Arial" w:cs="Arial"/>
                <w:sz w:val="18"/>
                <w:szCs w:val="18"/>
              </w:rPr>
              <w:t>Participant plan payables expected to be settled within 12 months</w:t>
            </w:r>
          </w:p>
        </w:tc>
        <w:tc>
          <w:tcPr>
            <w:tcW w:w="1249" w:type="dxa"/>
            <w:tcBorders>
              <w:top w:val="nil"/>
              <w:left w:val="nil"/>
              <w:bottom w:val="nil"/>
              <w:right w:val="nil"/>
            </w:tcBorders>
            <w:shd w:val="clear" w:color="FFFFFF" w:fill="FFFFFF"/>
            <w:noWrap/>
            <w:vAlign w:val="bottom"/>
            <w:hideMark/>
          </w:tcPr>
          <w:p w14:paraId="02FB21A1" w14:textId="77777777" w:rsidR="00A43992" w:rsidRDefault="00A43992" w:rsidP="007211E3">
            <w:pPr>
              <w:jc w:val="right"/>
              <w:rPr>
                <w:rFonts w:ascii="Arial" w:hAnsi="Arial" w:cs="Arial"/>
                <w:b/>
                <w:bCs/>
                <w:sz w:val="18"/>
                <w:szCs w:val="18"/>
              </w:rPr>
            </w:pPr>
            <w:r>
              <w:rPr>
                <w:rFonts w:ascii="Arial" w:hAnsi="Arial" w:cs="Arial"/>
                <w:b/>
                <w:bCs/>
                <w:sz w:val="18"/>
                <w:szCs w:val="18"/>
              </w:rPr>
              <w:t>-</w:t>
            </w:r>
          </w:p>
        </w:tc>
        <w:tc>
          <w:tcPr>
            <w:tcW w:w="236" w:type="dxa"/>
            <w:tcBorders>
              <w:top w:val="nil"/>
              <w:left w:val="nil"/>
              <w:bottom w:val="nil"/>
              <w:right w:val="nil"/>
            </w:tcBorders>
            <w:shd w:val="clear" w:color="FFFFFF" w:fill="FFFFFF"/>
            <w:noWrap/>
            <w:vAlign w:val="bottom"/>
            <w:hideMark/>
          </w:tcPr>
          <w:p w14:paraId="7745CBDE" w14:textId="77777777" w:rsidR="00A43992" w:rsidRDefault="00A43992" w:rsidP="007211E3">
            <w:pPr>
              <w:rPr>
                <w:rFonts w:ascii="Arial" w:hAnsi="Arial" w:cs="Arial"/>
                <w:b/>
                <w:bCs/>
                <w:sz w:val="18"/>
                <w:szCs w:val="18"/>
              </w:rPr>
            </w:pPr>
            <w:r>
              <w:rPr>
                <w:rFonts w:ascii="Arial" w:hAnsi="Arial" w:cs="Arial"/>
                <w:b/>
                <w:bCs/>
                <w:sz w:val="18"/>
                <w:szCs w:val="18"/>
              </w:rPr>
              <w:t> </w:t>
            </w:r>
          </w:p>
        </w:tc>
        <w:tc>
          <w:tcPr>
            <w:tcW w:w="1249" w:type="dxa"/>
            <w:tcBorders>
              <w:top w:val="nil"/>
              <w:left w:val="nil"/>
              <w:bottom w:val="nil"/>
              <w:right w:val="nil"/>
            </w:tcBorders>
            <w:shd w:val="clear" w:color="FFFFFF" w:fill="FFFFFF"/>
            <w:noWrap/>
            <w:vAlign w:val="bottom"/>
            <w:hideMark/>
          </w:tcPr>
          <w:p w14:paraId="4BAAEE33" w14:textId="77777777" w:rsidR="00A43992" w:rsidRDefault="00A43992" w:rsidP="007211E3">
            <w:pPr>
              <w:jc w:val="right"/>
              <w:rPr>
                <w:rFonts w:ascii="Arial" w:hAnsi="Arial" w:cs="Arial"/>
                <w:sz w:val="18"/>
                <w:szCs w:val="18"/>
              </w:rPr>
            </w:pPr>
            <w:r>
              <w:rPr>
                <w:rFonts w:ascii="Arial" w:hAnsi="Arial" w:cs="Arial"/>
                <w:sz w:val="18"/>
                <w:szCs w:val="18"/>
              </w:rPr>
              <w:t>2,632</w:t>
            </w:r>
          </w:p>
        </w:tc>
      </w:tr>
      <w:tr w:rsidR="00A43992" w14:paraId="63851B14" w14:textId="77777777" w:rsidTr="007211E3">
        <w:trPr>
          <w:trHeight w:val="240"/>
        </w:trPr>
        <w:tc>
          <w:tcPr>
            <w:tcW w:w="6353" w:type="dxa"/>
            <w:tcBorders>
              <w:top w:val="nil"/>
              <w:left w:val="nil"/>
              <w:bottom w:val="nil"/>
              <w:right w:val="nil"/>
            </w:tcBorders>
            <w:shd w:val="clear" w:color="FFFFFF" w:fill="FFFFFF"/>
            <w:vAlign w:val="bottom"/>
            <w:hideMark/>
          </w:tcPr>
          <w:p w14:paraId="289052CE" w14:textId="77777777" w:rsidR="00A43992" w:rsidRDefault="00A43992" w:rsidP="007211E3">
            <w:pPr>
              <w:rPr>
                <w:rFonts w:ascii="Arial" w:hAnsi="Arial" w:cs="Arial"/>
                <w:b/>
                <w:bCs/>
                <w:sz w:val="18"/>
                <w:szCs w:val="18"/>
              </w:rPr>
            </w:pPr>
            <w:r>
              <w:rPr>
                <w:rFonts w:ascii="Arial" w:hAnsi="Arial" w:cs="Arial"/>
                <w:b/>
                <w:bCs/>
                <w:sz w:val="18"/>
                <w:szCs w:val="18"/>
              </w:rPr>
              <w:t>Total participant plan payables</w:t>
            </w:r>
          </w:p>
        </w:tc>
        <w:tc>
          <w:tcPr>
            <w:tcW w:w="1249" w:type="dxa"/>
            <w:tcBorders>
              <w:top w:val="single" w:sz="4" w:space="0" w:color="auto"/>
              <w:left w:val="nil"/>
              <w:bottom w:val="single" w:sz="4" w:space="0" w:color="auto"/>
              <w:right w:val="nil"/>
            </w:tcBorders>
            <w:shd w:val="clear" w:color="FFFFFF" w:fill="FFFFFF"/>
            <w:noWrap/>
            <w:vAlign w:val="bottom"/>
            <w:hideMark/>
          </w:tcPr>
          <w:p w14:paraId="43C57A95" w14:textId="77777777" w:rsidR="00A43992" w:rsidRDefault="00A43992" w:rsidP="007211E3">
            <w:pPr>
              <w:jc w:val="right"/>
              <w:rPr>
                <w:rFonts w:ascii="Arial" w:hAnsi="Arial" w:cs="Arial"/>
                <w:b/>
                <w:bCs/>
                <w:sz w:val="18"/>
                <w:szCs w:val="18"/>
              </w:rPr>
            </w:pPr>
            <w:r>
              <w:rPr>
                <w:rFonts w:ascii="Arial" w:hAnsi="Arial" w:cs="Arial"/>
                <w:b/>
                <w:bCs/>
                <w:sz w:val="18"/>
                <w:szCs w:val="18"/>
              </w:rPr>
              <w:t>-</w:t>
            </w:r>
          </w:p>
        </w:tc>
        <w:tc>
          <w:tcPr>
            <w:tcW w:w="236" w:type="dxa"/>
            <w:tcBorders>
              <w:top w:val="nil"/>
              <w:left w:val="nil"/>
              <w:bottom w:val="nil"/>
              <w:right w:val="nil"/>
            </w:tcBorders>
            <w:shd w:val="clear" w:color="FFFFFF" w:fill="FFFFFF"/>
            <w:noWrap/>
            <w:vAlign w:val="bottom"/>
            <w:hideMark/>
          </w:tcPr>
          <w:p w14:paraId="09FC867E" w14:textId="77777777" w:rsidR="00A43992" w:rsidRDefault="00A43992" w:rsidP="007211E3">
            <w:pPr>
              <w:rPr>
                <w:rFonts w:ascii="Arial" w:hAnsi="Arial" w:cs="Arial"/>
                <w:sz w:val="18"/>
                <w:szCs w:val="18"/>
              </w:rPr>
            </w:pPr>
            <w:r>
              <w:rPr>
                <w:rFonts w:ascii="Arial" w:hAnsi="Arial" w:cs="Arial"/>
                <w:sz w:val="18"/>
                <w:szCs w:val="18"/>
              </w:rPr>
              <w:t> </w:t>
            </w:r>
          </w:p>
        </w:tc>
        <w:tc>
          <w:tcPr>
            <w:tcW w:w="1249" w:type="dxa"/>
            <w:tcBorders>
              <w:top w:val="single" w:sz="4" w:space="0" w:color="auto"/>
              <w:left w:val="nil"/>
              <w:bottom w:val="single" w:sz="4" w:space="0" w:color="auto"/>
              <w:right w:val="nil"/>
            </w:tcBorders>
            <w:shd w:val="clear" w:color="FFFFFF" w:fill="FFFFFF"/>
            <w:noWrap/>
            <w:vAlign w:val="bottom"/>
            <w:hideMark/>
          </w:tcPr>
          <w:p w14:paraId="37C03384" w14:textId="77777777" w:rsidR="00A43992" w:rsidRDefault="00A43992" w:rsidP="007211E3">
            <w:pPr>
              <w:jc w:val="right"/>
              <w:rPr>
                <w:rFonts w:ascii="Arial" w:hAnsi="Arial" w:cs="Arial"/>
                <w:sz w:val="18"/>
                <w:szCs w:val="18"/>
              </w:rPr>
            </w:pPr>
            <w:r>
              <w:rPr>
                <w:rFonts w:ascii="Arial" w:hAnsi="Arial" w:cs="Arial"/>
                <w:sz w:val="18"/>
                <w:szCs w:val="18"/>
              </w:rPr>
              <w:t>2,632</w:t>
            </w:r>
          </w:p>
        </w:tc>
      </w:tr>
    </w:tbl>
    <w:p w14:paraId="046CBD17" w14:textId="77777777" w:rsidR="00A43992" w:rsidRPr="005E5430" w:rsidRDefault="00A43992" w:rsidP="00A43992"/>
    <w:tbl>
      <w:tblPr>
        <w:tblW w:w="9087" w:type="dxa"/>
        <w:tblInd w:w="80" w:type="dxa"/>
        <w:tblLayout w:type="fixed"/>
        <w:tblLook w:val="04A0" w:firstRow="1" w:lastRow="0" w:firstColumn="1" w:lastColumn="0" w:noHBand="0" w:noVBand="1"/>
      </w:tblPr>
      <w:tblGrid>
        <w:gridCol w:w="6353"/>
        <w:gridCol w:w="1249"/>
        <w:gridCol w:w="236"/>
        <w:gridCol w:w="1249"/>
      </w:tblGrid>
      <w:tr w:rsidR="00A43992" w14:paraId="0E9A97CF" w14:textId="77777777" w:rsidTr="007211E3">
        <w:trPr>
          <w:trHeight w:val="255"/>
        </w:trPr>
        <w:tc>
          <w:tcPr>
            <w:tcW w:w="6353" w:type="dxa"/>
            <w:tcBorders>
              <w:top w:val="nil"/>
              <w:left w:val="nil"/>
              <w:bottom w:val="nil"/>
              <w:right w:val="nil"/>
            </w:tcBorders>
            <w:shd w:val="clear" w:color="FFFFFF" w:fill="FFFFFF"/>
            <w:noWrap/>
            <w:vAlign w:val="bottom"/>
            <w:hideMark/>
          </w:tcPr>
          <w:p w14:paraId="5A9EC145" w14:textId="77777777" w:rsidR="00A43992" w:rsidRDefault="00A43992" w:rsidP="007211E3">
            <w:pPr>
              <w:rPr>
                <w:rFonts w:ascii="Arial" w:hAnsi="Arial" w:cs="Arial"/>
                <w:b/>
                <w:bCs/>
                <w:sz w:val="18"/>
                <w:szCs w:val="18"/>
                <w:u w:val="single"/>
              </w:rPr>
            </w:pPr>
            <w:bookmarkStart w:id="345" w:name="Note_OPBTABLE1" w:colFirst="0" w:colLast="0"/>
            <w:r>
              <w:rPr>
                <w:rFonts w:ascii="Arial" w:hAnsi="Arial" w:cs="Arial"/>
                <w:b/>
                <w:bCs/>
                <w:sz w:val="18"/>
                <w:szCs w:val="18"/>
                <w:u w:val="single"/>
              </w:rPr>
              <w:t>Note 2.3C: Other payables</w:t>
            </w:r>
          </w:p>
        </w:tc>
        <w:tc>
          <w:tcPr>
            <w:tcW w:w="1249" w:type="dxa"/>
            <w:tcBorders>
              <w:top w:val="nil"/>
              <w:left w:val="nil"/>
              <w:bottom w:val="nil"/>
              <w:right w:val="nil"/>
            </w:tcBorders>
            <w:shd w:val="clear" w:color="FFFFFF" w:fill="FFFFFF"/>
            <w:noWrap/>
            <w:vAlign w:val="bottom"/>
            <w:hideMark/>
          </w:tcPr>
          <w:p w14:paraId="17694A76" w14:textId="77777777" w:rsidR="00A43992" w:rsidRDefault="00A43992" w:rsidP="007211E3">
            <w:pPr>
              <w:rPr>
                <w:rFonts w:ascii="Arial" w:hAnsi="Arial" w:cs="Arial"/>
                <w:sz w:val="18"/>
                <w:szCs w:val="18"/>
              </w:rPr>
            </w:pPr>
            <w:r>
              <w:rPr>
                <w:rFonts w:ascii="Arial" w:hAnsi="Arial" w:cs="Arial"/>
                <w:sz w:val="18"/>
                <w:szCs w:val="18"/>
              </w:rPr>
              <w:t> </w:t>
            </w:r>
          </w:p>
        </w:tc>
        <w:tc>
          <w:tcPr>
            <w:tcW w:w="236" w:type="dxa"/>
            <w:tcBorders>
              <w:top w:val="nil"/>
              <w:left w:val="nil"/>
              <w:bottom w:val="nil"/>
              <w:right w:val="nil"/>
            </w:tcBorders>
            <w:shd w:val="clear" w:color="FFFFFF" w:fill="FFFFFF"/>
            <w:noWrap/>
            <w:vAlign w:val="bottom"/>
            <w:hideMark/>
          </w:tcPr>
          <w:p w14:paraId="3D5A54E7" w14:textId="77777777" w:rsidR="00A43992" w:rsidRDefault="00A43992" w:rsidP="007211E3">
            <w:pPr>
              <w:rPr>
                <w:rFonts w:ascii="Arial" w:hAnsi="Arial" w:cs="Arial"/>
                <w:sz w:val="18"/>
                <w:szCs w:val="18"/>
              </w:rPr>
            </w:pPr>
            <w:r>
              <w:rPr>
                <w:rFonts w:ascii="Arial" w:hAnsi="Arial" w:cs="Arial"/>
                <w:sz w:val="18"/>
                <w:szCs w:val="18"/>
              </w:rPr>
              <w:t> </w:t>
            </w:r>
          </w:p>
        </w:tc>
        <w:tc>
          <w:tcPr>
            <w:tcW w:w="1249" w:type="dxa"/>
            <w:tcBorders>
              <w:top w:val="nil"/>
              <w:left w:val="nil"/>
              <w:bottom w:val="nil"/>
              <w:right w:val="nil"/>
            </w:tcBorders>
            <w:shd w:val="clear" w:color="FFFFFF" w:fill="FFFFFF"/>
            <w:noWrap/>
            <w:vAlign w:val="bottom"/>
            <w:hideMark/>
          </w:tcPr>
          <w:p w14:paraId="4D77F90F" w14:textId="77777777" w:rsidR="00A43992" w:rsidRDefault="00A43992" w:rsidP="007211E3">
            <w:pPr>
              <w:rPr>
                <w:rFonts w:ascii="Arial" w:hAnsi="Arial" w:cs="Arial"/>
                <w:sz w:val="18"/>
                <w:szCs w:val="18"/>
              </w:rPr>
            </w:pPr>
            <w:r>
              <w:rPr>
                <w:rFonts w:ascii="Arial" w:hAnsi="Arial" w:cs="Arial"/>
                <w:sz w:val="18"/>
                <w:szCs w:val="18"/>
              </w:rPr>
              <w:t> </w:t>
            </w:r>
          </w:p>
        </w:tc>
      </w:tr>
      <w:bookmarkEnd w:id="345"/>
      <w:tr w:rsidR="00A43992" w14:paraId="4DF738A1" w14:textId="77777777" w:rsidTr="007211E3">
        <w:trPr>
          <w:trHeight w:val="255"/>
        </w:trPr>
        <w:tc>
          <w:tcPr>
            <w:tcW w:w="6353" w:type="dxa"/>
            <w:tcBorders>
              <w:top w:val="nil"/>
              <w:left w:val="nil"/>
              <w:bottom w:val="nil"/>
              <w:right w:val="nil"/>
            </w:tcBorders>
            <w:shd w:val="clear" w:color="FFFFFF" w:fill="FFFFFF"/>
            <w:vAlign w:val="bottom"/>
            <w:hideMark/>
          </w:tcPr>
          <w:p w14:paraId="5BBE8E21" w14:textId="77777777" w:rsidR="00A43992" w:rsidRDefault="00A43992" w:rsidP="007211E3">
            <w:pPr>
              <w:rPr>
                <w:rFonts w:ascii="Arial" w:hAnsi="Arial" w:cs="Arial"/>
                <w:sz w:val="18"/>
                <w:szCs w:val="18"/>
              </w:rPr>
            </w:pPr>
            <w:r>
              <w:rPr>
                <w:rFonts w:ascii="Arial" w:hAnsi="Arial" w:cs="Arial"/>
                <w:sz w:val="18"/>
                <w:szCs w:val="18"/>
              </w:rPr>
              <w:t>Unearned revenue</w:t>
            </w:r>
          </w:p>
        </w:tc>
        <w:tc>
          <w:tcPr>
            <w:tcW w:w="1249" w:type="dxa"/>
            <w:tcBorders>
              <w:top w:val="nil"/>
              <w:left w:val="nil"/>
              <w:bottom w:val="nil"/>
              <w:right w:val="nil"/>
            </w:tcBorders>
            <w:shd w:val="clear" w:color="FFFFFF" w:fill="FFFFFF"/>
            <w:noWrap/>
            <w:vAlign w:val="bottom"/>
            <w:hideMark/>
          </w:tcPr>
          <w:p w14:paraId="385F6F17" w14:textId="77777777" w:rsidR="00A43992" w:rsidRDefault="00A43992" w:rsidP="007211E3">
            <w:pPr>
              <w:jc w:val="right"/>
              <w:rPr>
                <w:rFonts w:ascii="Arial" w:hAnsi="Arial" w:cs="Arial"/>
                <w:b/>
                <w:bCs/>
                <w:sz w:val="18"/>
                <w:szCs w:val="18"/>
              </w:rPr>
            </w:pPr>
            <w:r>
              <w:rPr>
                <w:rFonts w:ascii="Arial" w:hAnsi="Arial" w:cs="Arial"/>
                <w:b/>
                <w:bCs/>
                <w:sz w:val="18"/>
                <w:szCs w:val="18"/>
              </w:rPr>
              <w:t>-</w:t>
            </w:r>
          </w:p>
        </w:tc>
        <w:tc>
          <w:tcPr>
            <w:tcW w:w="236" w:type="dxa"/>
            <w:tcBorders>
              <w:top w:val="nil"/>
              <w:left w:val="nil"/>
              <w:bottom w:val="nil"/>
              <w:right w:val="nil"/>
            </w:tcBorders>
            <w:shd w:val="clear" w:color="FFFFFF" w:fill="FFFFFF"/>
            <w:noWrap/>
            <w:vAlign w:val="bottom"/>
            <w:hideMark/>
          </w:tcPr>
          <w:p w14:paraId="40359CCC" w14:textId="77777777" w:rsidR="00A43992" w:rsidRDefault="00A43992" w:rsidP="007211E3">
            <w:pPr>
              <w:rPr>
                <w:rFonts w:ascii="Arial" w:hAnsi="Arial" w:cs="Arial"/>
                <w:sz w:val="18"/>
                <w:szCs w:val="18"/>
              </w:rPr>
            </w:pPr>
            <w:r>
              <w:rPr>
                <w:rFonts w:ascii="Arial" w:hAnsi="Arial" w:cs="Arial"/>
                <w:sz w:val="18"/>
                <w:szCs w:val="18"/>
              </w:rPr>
              <w:t> </w:t>
            </w:r>
          </w:p>
        </w:tc>
        <w:tc>
          <w:tcPr>
            <w:tcW w:w="1249" w:type="dxa"/>
            <w:tcBorders>
              <w:top w:val="nil"/>
              <w:left w:val="nil"/>
              <w:bottom w:val="nil"/>
              <w:right w:val="nil"/>
            </w:tcBorders>
            <w:shd w:val="clear" w:color="FFFFFF" w:fill="FFFFFF"/>
            <w:noWrap/>
            <w:vAlign w:val="bottom"/>
            <w:hideMark/>
          </w:tcPr>
          <w:p w14:paraId="63CD16F9" w14:textId="77777777" w:rsidR="00A43992" w:rsidRDefault="00A43992" w:rsidP="007211E3">
            <w:pPr>
              <w:jc w:val="right"/>
              <w:rPr>
                <w:rFonts w:ascii="Arial" w:hAnsi="Arial" w:cs="Arial"/>
                <w:sz w:val="18"/>
                <w:szCs w:val="18"/>
              </w:rPr>
            </w:pPr>
            <w:r>
              <w:rPr>
                <w:rFonts w:ascii="Arial" w:hAnsi="Arial" w:cs="Arial"/>
                <w:sz w:val="18"/>
                <w:szCs w:val="18"/>
              </w:rPr>
              <w:t>4,350</w:t>
            </w:r>
          </w:p>
        </w:tc>
      </w:tr>
      <w:tr w:rsidR="00A43992" w14:paraId="6386CCB5" w14:textId="77777777" w:rsidTr="007211E3">
        <w:trPr>
          <w:trHeight w:val="255"/>
        </w:trPr>
        <w:tc>
          <w:tcPr>
            <w:tcW w:w="6353" w:type="dxa"/>
            <w:tcBorders>
              <w:top w:val="nil"/>
              <w:left w:val="nil"/>
              <w:bottom w:val="nil"/>
              <w:right w:val="nil"/>
            </w:tcBorders>
            <w:shd w:val="clear" w:color="FFFFFF" w:fill="FFFFFF"/>
            <w:vAlign w:val="bottom"/>
            <w:hideMark/>
          </w:tcPr>
          <w:p w14:paraId="20446117" w14:textId="77777777" w:rsidR="00A43992" w:rsidRDefault="00A43992" w:rsidP="007211E3">
            <w:pPr>
              <w:rPr>
                <w:rFonts w:ascii="Arial" w:hAnsi="Arial" w:cs="Arial"/>
                <w:sz w:val="18"/>
                <w:szCs w:val="18"/>
              </w:rPr>
            </w:pPr>
            <w:r>
              <w:rPr>
                <w:rFonts w:ascii="Arial" w:hAnsi="Arial" w:cs="Arial"/>
                <w:sz w:val="18"/>
                <w:szCs w:val="18"/>
              </w:rPr>
              <w:t>Salaries and wages</w:t>
            </w:r>
          </w:p>
        </w:tc>
        <w:tc>
          <w:tcPr>
            <w:tcW w:w="1249" w:type="dxa"/>
            <w:tcBorders>
              <w:top w:val="nil"/>
              <w:left w:val="nil"/>
              <w:bottom w:val="nil"/>
              <w:right w:val="nil"/>
            </w:tcBorders>
            <w:shd w:val="clear" w:color="FFFFFF" w:fill="FFFFFF"/>
            <w:noWrap/>
            <w:vAlign w:val="bottom"/>
            <w:hideMark/>
          </w:tcPr>
          <w:p w14:paraId="7A4D78B5" w14:textId="77777777" w:rsidR="00A43992" w:rsidRDefault="00A43992" w:rsidP="007211E3">
            <w:pPr>
              <w:jc w:val="right"/>
              <w:rPr>
                <w:rFonts w:ascii="Arial" w:hAnsi="Arial" w:cs="Arial"/>
                <w:b/>
                <w:bCs/>
                <w:sz w:val="18"/>
                <w:szCs w:val="18"/>
              </w:rPr>
            </w:pPr>
            <w:r>
              <w:rPr>
                <w:rFonts w:ascii="Arial" w:hAnsi="Arial" w:cs="Arial"/>
                <w:b/>
                <w:bCs/>
                <w:sz w:val="18"/>
                <w:szCs w:val="18"/>
              </w:rPr>
              <w:t>471</w:t>
            </w:r>
          </w:p>
        </w:tc>
        <w:tc>
          <w:tcPr>
            <w:tcW w:w="236" w:type="dxa"/>
            <w:tcBorders>
              <w:top w:val="nil"/>
              <w:left w:val="nil"/>
              <w:bottom w:val="nil"/>
              <w:right w:val="nil"/>
            </w:tcBorders>
            <w:shd w:val="clear" w:color="FFFFFF" w:fill="FFFFFF"/>
            <w:noWrap/>
            <w:vAlign w:val="bottom"/>
            <w:hideMark/>
          </w:tcPr>
          <w:p w14:paraId="091CB14B" w14:textId="77777777" w:rsidR="00A43992" w:rsidRDefault="00A43992" w:rsidP="007211E3">
            <w:pPr>
              <w:rPr>
                <w:rFonts w:ascii="Arial" w:hAnsi="Arial" w:cs="Arial"/>
                <w:sz w:val="18"/>
                <w:szCs w:val="18"/>
              </w:rPr>
            </w:pPr>
            <w:r>
              <w:rPr>
                <w:rFonts w:ascii="Arial" w:hAnsi="Arial" w:cs="Arial"/>
                <w:sz w:val="18"/>
                <w:szCs w:val="18"/>
              </w:rPr>
              <w:t> </w:t>
            </w:r>
          </w:p>
        </w:tc>
        <w:tc>
          <w:tcPr>
            <w:tcW w:w="1249" w:type="dxa"/>
            <w:tcBorders>
              <w:top w:val="nil"/>
              <w:left w:val="nil"/>
              <w:bottom w:val="nil"/>
              <w:right w:val="nil"/>
            </w:tcBorders>
            <w:shd w:val="clear" w:color="FFFFFF" w:fill="FFFFFF"/>
            <w:noWrap/>
            <w:vAlign w:val="bottom"/>
            <w:hideMark/>
          </w:tcPr>
          <w:p w14:paraId="2CCA2F56" w14:textId="77777777" w:rsidR="00A43992" w:rsidRDefault="00A43992" w:rsidP="007211E3">
            <w:pPr>
              <w:jc w:val="right"/>
              <w:rPr>
                <w:rFonts w:ascii="Arial" w:hAnsi="Arial" w:cs="Arial"/>
                <w:sz w:val="18"/>
                <w:szCs w:val="18"/>
              </w:rPr>
            </w:pPr>
            <w:r>
              <w:rPr>
                <w:rFonts w:ascii="Arial" w:hAnsi="Arial" w:cs="Arial"/>
                <w:sz w:val="18"/>
                <w:szCs w:val="18"/>
              </w:rPr>
              <w:t>1,341</w:t>
            </w:r>
          </w:p>
        </w:tc>
      </w:tr>
      <w:tr w:rsidR="00A43992" w14:paraId="0B4641A9" w14:textId="77777777" w:rsidTr="007211E3">
        <w:trPr>
          <w:trHeight w:val="255"/>
        </w:trPr>
        <w:tc>
          <w:tcPr>
            <w:tcW w:w="6353" w:type="dxa"/>
            <w:tcBorders>
              <w:top w:val="nil"/>
              <w:left w:val="nil"/>
              <w:bottom w:val="nil"/>
              <w:right w:val="nil"/>
            </w:tcBorders>
            <w:shd w:val="clear" w:color="FFFFFF" w:fill="FFFFFF"/>
            <w:vAlign w:val="bottom"/>
            <w:hideMark/>
          </w:tcPr>
          <w:p w14:paraId="45682D1F" w14:textId="77777777" w:rsidR="00A43992" w:rsidRDefault="00A43992" w:rsidP="007211E3">
            <w:pPr>
              <w:rPr>
                <w:rFonts w:ascii="Arial" w:hAnsi="Arial" w:cs="Arial"/>
                <w:sz w:val="18"/>
                <w:szCs w:val="18"/>
              </w:rPr>
            </w:pPr>
            <w:r>
              <w:rPr>
                <w:rFonts w:ascii="Arial" w:hAnsi="Arial" w:cs="Arial"/>
                <w:sz w:val="18"/>
                <w:szCs w:val="18"/>
              </w:rPr>
              <w:t>Superannuation</w:t>
            </w:r>
          </w:p>
        </w:tc>
        <w:tc>
          <w:tcPr>
            <w:tcW w:w="1249" w:type="dxa"/>
            <w:tcBorders>
              <w:top w:val="nil"/>
              <w:left w:val="nil"/>
              <w:bottom w:val="nil"/>
              <w:right w:val="nil"/>
            </w:tcBorders>
            <w:shd w:val="clear" w:color="FFFFFF" w:fill="FFFFFF"/>
            <w:noWrap/>
            <w:vAlign w:val="bottom"/>
            <w:hideMark/>
          </w:tcPr>
          <w:p w14:paraId="4897D148" w14:textId="77777777" w:rsidR="00A43992" w:rsidRDefault="00A43992" w:rsidP="007211E3">
            <w:pPr>
              <w:jc w:val="right"/>
              <w:rPr>
                <w:rFonts w:ascii="Arial" w:hAnsi="Arial" w:cs="Arial"/>
                <w:b/>
                <w:bCs/>
                <w:sz w:val="18"/>
                <w:szCs w:val="18"/>
              </w:rPr>
            </w:pPr>
            <w:r>
              <w:rPr>
                <w:rFonts w:ascii="Arial" w:hAnsi="Arial" w:cs="Arial"/>
                <w:b/>
                <w:bCs/>
                <w:sz w:val="18"/>
                <w:szCs w:val="18"/>
              </w:rPr>
              <w:t>75</w:t>
            </w:r>
          </w:p>
        </w:tc>
        <w:tc>
          <w:tcPr>
            <w:tcW w:w="236" w:type="dxa"/>
            <w:tcBorders>
              <w:top w:val="nil"/>
              <w:left w:val="nil"/>
              <w:bottom w:val="nil"/>
              <w:right w:val="nil"/>
            </w:tcBorders>
            <w:shd w:val="clear" w:color="FFFFFF" w:fill="FFFFFF"/>
            <w:noWrap/>
            <w:vAlign w:val="bottom"/>
            <w:hideMark/>
          </w:tcPr>
          <w:p w14:paraId="03449AE4" w14:textId="77777777" w:rsidR="00A43992" w:rsidRDefault="00A43992" w:rsidP="007211E3">
            <w:pPr>
              <w:rPr>
                <w:rFonts w:ascii="Arial" w:hAnsi="Arial" w:cs="Arial"/>
                <w:sz w:val="18"/>
                <w:szCs w:val="18"/>
              </w:rPr>
            </w:pPr>
            <w:r>
              <w:rPr>
                <w:rFonts w:ascii="Arial" w:hAnsi="Arial" w:cs="Arial"/>
                <w:sz w:val="18"/>
                <w:szCs w:val="18"/>
              </w:rPr>
              <w:t> </w:t>
            </w:r>
          </w:p>
        </w:tc>
        <w:tc>
          <w:tcPr>
            <w:tcW w:w="1249" w:type="dxa"/>
            <w:tcBorders>
              <w:top w:val="nil"/>
              <w:left w:val="nil"/>
              <w:bottom w:val="nil"/>
              <w:right w:val="nil"/>
            </w:tcBorders>
            <w:shd w:val="clear" w:color="FFFFFF" w:fill="FFFFFF"/>
            <w:noWrap/>
            <w:vAlign w:val="bottom"/>
            <w:hideMark/>
          </w:tcPr>
          <w:p w14:paraId="79F6C73C" w14:textId="77777777" w:rsidR="00A43992" w:rsidRDefault="00A43992" w:rsidP="007211E3">
            <w:pPr>
              <w:jc w:val="right"/>
              <w:rPr>
                <w:rFonts w:ascii="Arial" w:hAnsi="Arial" w:cs="Arial"/>
                <w:sz w:val="18"/>
                <w:szCs w:val="18"/>
              </w:rPr>
            </w:pPr>
            <w:r>
              <w:rPr>
                <w:rFonts w:ascii="Arial" w:hAnsi="Arial" w:cs="Arial"/>
                <w:sz w:val="18"/>
                <w:szCs w:val="18"/>
              </w:rPr>
              <w:t>-</w:t>
            </w:r>
          </w:p>
        </w:tc>
      </w:tr>
      <w:tr w:rsidR="00A43992" w14:paraId="44C63375" w14:textId="77777777" w:rsidTr="007211E3">
        <w:trPr>
          <w:trHeight w:val="255"/>
        </w:trPr>
        <w:tc>
          <w:tcPr>
            <w:tcW w:w="6353" w:type="dxa"/>
            <w:tcBorders>
              <w:top w:val="nil"/>
              <w:left w:val="nil"/>
              <w:bottom w:val="nil"/>
              <w:right w:val="nil"/>
            </w:tcBorders>
            <w:shd w:val="clear" w:color="FFFFFF" w:fill="FFFFFF"/>
            <w:vAlign w:val="bottom"/>
            <w:hideMark/>
          </w:tcPr>
          <w:p w14:paraId="2151BA5A" w14:textId="77777777" w:rsidR="00A43992" w:rsidRDefault="00A43992" w:rsidP="007211E3">
            <w:pPr>
              <w:rPr>
                <w:rFonts w:ascii="Arial" w:hAnsi="Arial" w:cs="Arial"/>
                <w:sz w:val="18"/>
                <w:szCs w:val="18"/>
              </w:rPr>
            </w:pPr>
            <w:r>
              <w:rPr>
                <w:rFonts w:ascii="Arial" w:hAnsi="Arial" w:cs="Arial"/>
                <w:sz w:val="18"/>
                <w:szCs w:val="18"/>
              </w:rPr>
              <w:t>Lease incentives</w:t>
            </w:r>
          </w:p>
        </w:tc>
        <w:tc>
          <w:tcPr>
            <w:tcW w:w="1249" w:type="dxa"/>
            <w:tcBorders>
              <w:top w:val="nil"/>
              <w:left w:val="nil"/>
              <w:bottom w:val="nil"/>
              <w:right w:val="nil"/>
            </w:tcBorders>
            <w:shd w:val="clear" w:color="FFFFFF" w:fill="FFFFFF"/>
            <w:noWrap/>
            <w:vAlign w:val="bottom"/>
            <w:hideMark/>
          </w:tcPr>
          <w:p w14:paraId="5766CCE2" w14:textId="77777777" w:rsidR="00A43992" w:rsidRDefault="00A43992" w:rsidP="007211E3">
            <w:pPr>
              <w:jc w:val="right"/>
              <w:rPr>
                <w:rFonts w:ascii="Arial" w:hAnsi="Arial" w:cs="Arial"/>
                <w:b/>
                <w:bCs/>
                <w:sz w:val="18"/>
                <w:szCs w:val="18"/>
              </w:rPr>
            </w:pPr>
            <w:r>
              <w:rPr>
                <w:rFonts w:ascii="Arial" w:hAnsi="Arial" w:cs="Arial"/>
                <w:b/>
                <w:bCs/>
                <w:sz w:val="18"/>
                <w:szCs w:val="18"/>
              </w:rPr>
              <w:t>2,065</w:t>
            </w:r>
          </w:p>
        </w:tc>
        <w:tc>
          <w:tcPr>
            <w:tcW w:w="236" w:type="dxa"/>
            <w:tcBorders>
              <w:top w:val="nil"/>
              <w:left w:val="nil"/>
              <w:bottom w:val="nil"/>
              <w:right w:val="nil"/>
            </w:tcBorders>
            <w:shd w:val="clear" w:color="FFFFFF" w:fill="FFFFFF"/>
            <w:noWrap/>
            <w:vAlign w:val="bottom"/>
            <w:hideMark/>
          </w:tcPr>
          <w:p w14:paraId="1DCEF12A" w14:textId="77777777" w:rsidR="00A43992" w:rsidRDefault="00A43992" w:rsidP="007211E3">
            <w:pPr>
              <w:rPr>
                <w:rFonts w:ascii="Arial" w:hAnsi="Arial" w:cs="Arial"/>
                <w:sz w:val="18"/>
                <w:szCs w:val="18"/>
              </w:rPr>
            </w:pPr>
            <w:r>
              <w:rPr>
                <w:rFonts w:ascii="Arial" w:hAnsi="Arial" w:cs="Arial"/>
                <w:sz w:val="18"/>
                <w:szCs w:val="18"/>
              </w:rPr>
              <w:t> </w:t>
            </w:r>
          </w:p>
        </w:tc>
        <w:tc>
          <w:tcPr>
            <w:tcW w:w="1249" w:type="dxa"/>
            <w:tcBorders>
              <w:top w:val="nil"/>
              <w:left w:val="nil"/>
              <w:bottom w:val="nil"/>
              <w:right w:val="nil"/>
            </w:tcBorders>
            <w:shd w:val="clear" w:color="FFFFFF" w:fill="FFFFFF"/>
            <w:noWrap/>
            <w:vAlign w:val="bottom"/>
            <w:hideMark/>
          </w:tcPr>
          <w:p w14:paraId="2706A3CA" w14:textId="77777777" w:rsidR="00A43992" w:rsidRDefault="00A43992" w:rsidP="007211E3">
            <w:pPr>
              <w:jc w:val="right"/>
              <w:rPr>
                <w:rFonts w:ascii="Arial" w:hAnsi="Arial" w:cs="Arial"/>
                <w:sz w:val="18"/>
                <w:szCs w:val="18"/>
              </w:rPr>
            </w:pPr>
            <w:r>
              <w:rPr>
                <w:rFonts w:ascii="Arial" w:hAnsi="Arial" w:cs="Arial"/>
                <w:sz w:val="18"/>
                <w:szCs w:val="18"/>
              </w:rPr>
              <w:t>1,863</w:t>
            </w:r>
          </w:p>
        </w:tc>
      </w:tr>
      <w:tr w:rsidR="00A43992" w14:paraId="0E22D77C" w14:textId="77777777" w:rsidTr="007211E3">
        <w:trPr>
          <w:trHeight w:val="255"/>
        </w:trPr>
        <w:tc>
          <w:tcPr>
            <w:tcW w:w="6353" w:type="dxa"/>
            <w:tcBorders>
              <w:top w:val="nil"/>
              <w:left w:val="nil"/>
              <w:bottom w:val="nil"/>
              <w:right w:val="nil"/>
            </w:tcBorders>
            <w:shd w:val="clear" w:color="FFFFFF" w:fill="FFFFFF"/>
            <w:vAlign w:val="bottom"/>
            <w:hideMark/>
          </w:tcPr>
          <w:p w14:paraId="02B0D664" w14:textId="77777777" w:rsidR="00A43992" w:rsidRDefault="00A43992" w:rsidP="007211E3">
            <w:pPr>
              <w:rPr>
                <w:rFonts w:ascii="Arial" w:hAnsi="Arial" w:cs="Arial"/>
                <w:sz w:val="18"/>
                <w:szCs w:val="18"/>
              </w:rPr>
            </w:pPr>
            <w:r>
              <w:rPr>
                <w:rFonts w:ascii="Arial" w:hAnsi="Arial" w:cs="Arial"/>
                <w:sz w:val="18"/>
                <w:szCs w:val="18"/>
              </w:rPr>
              <w:t>Other</w:t>
            </w:r>
          </w:p>
        </w:tc>
        <w:tc>
          <w:tcPr>
            <w:tcW w:w="1249" w:type="dxa"/>
            <w:tcBorders>
              <w:top w:val="nil"/>
              <w:left w:val="nil"/>
              <w:bottom w:val="nil"/>
              <w:right w:val="nil"/>
            </w:tcBorders>
            <w:shd w:val="clear" w:color="FFFFFF" w:fill="FFFFFF"/>
            <w:noWrap/>
            <w:vAlign w:val="bottom"/>
            <w:hideMark/>
          </w:tcPr>
          <w:p w14:paraId="551D675C" w14:textId="77777777" w:rsidR="00A43992" w:rsidRDefault="00A43992" w:rsidP="007211E3">
            <w:pPr>
              <w:jc w:val="right"/>
              <w:rPr>
                <w:rFonts w:ascii="Arial" w:hAnsi="Arial" w:cs="Arial"/>
                <w:b/>
                <w:bCs/>
                <w:sz w:val="18"/>
                <w:szCs w:val="18"/>
              </w:rPr>
            </w:pPr>
            <w:r>
              <w:rPr>
                <w:rFonts w:ascii="Arial" w:hAnsi="Arial" w:cs="Arial"/>
                <w:b/>
                <w:bCs/>
                <w:sz w:val="18"/>
                <w:szCs w:val="18"/>
              </w:rPr>
              <w:t>-</w:t>
            </w:r>
          </w:p>
        </w:tc>
        <w:tc>
          <w:tcPr>
            <w:tcW w:w="236" w:type="dxa"/>
            <w:tcBorders>
              <w:top w:val="nil"/>
              <w:left w:val="nil"/>
              <w:bottom w:val="nil"/>
              <w:right w:val="nil"/>
            </w:tcBorders>
            <w:shd w:val="clear" w:color="FFFFFF" w:fill="FFFFFF"/>
            <w:noWrap/>
            <w:vAlign w:val="bottom"/>
            <w:hideMark/>
          </w:tcPr>
          <w:p w14:paraId="641314A1" w14:textId="77777777" w:rsidR="00A43992" w:rsidRDefault="00A43992" w:rsidP="007211E3">
            <w:pPr>
              <w:rPr>
                <w:rFonts w:ascii="Arial" w:hAnsi="Arial" w:cs="Arial"/>
                <w:sz w:val="18"/>
                <w:szCs w:val="18"/>
              </w:rPr>
            </w:pPr>
            <w:r>
              <w:rPr>
                <w:rFonts w:ascii="Arial" w:hAnsi="Arial" w:cs="Arial"/>
                <w:sz w:val="18"/>
                <w:szCs w:val="18"/>
              </w:rPr>
              <w:t> </w:t>
            </w:r>
          </w:p>
        </w:tc>
        <w:tc>
          <w:tcPr>
            <w:tcW w:w="1249" w:type="dxa"/>
            <w:tcBorders>
              <w:top w:val="nil"/>
              <w:left w:val="nil"/>
              <w:bottom w:val="nil"/>
              <w:right w:val="nil"/>
            </w:tcBorders>
            <w:shd w:val="clear" w:color="FFFFFF" w:fill="FFFFFF"/>
            <w:noWrap/>
            <w:vAlign w:val="bottom"/>
            <w:hideMark/>
          </w:tcPr>
          <w:p w14:paraId="4B0B5E06" w14:textId="77777777" w:rsidR="00A43992" w:rsidRDefault="00A43992" w:rsidP="007211E3">
            <w:pPr>
              <w:jc w:val="right"/>
              <w:rPr>
                <w:rFonts w:ascii="Arial" w:hAnsi="Arial" w:cs="Arial"/>
                <w:sz w:val="18"/>
                <w:szCs w:val="18"/>
              </w:rPr>
            </w:pPr>
            <w:r>
              <w:rPr>
                <w:rFonts w:ascii="Arial" w:hAnsi="Arial" w:cs="Arial"/>
                <w:sz w:val="18"/>
                <w:szCs w:val="18"/>
              </w:rPr>
              <w:t>407</w:t>
            </w:r>
          </w:p>
        </w:tc>
      </w:tr>
      <w:tr w:rsidR="00A43992" w14:paraId="537DDFC8" w14:textId="77777777" w:rsidTr="007211E3">
        <w:trPr>
          <w:trHeight w:val="255"/>
        </w:trPr>
        <w:tc>
          <w:tcPr>
            <w:tcW w:w="6353" w:type="dxa"/>
            <w:tcBorders>
              <w:top w:val="nil"/>
              <w:left w:val="nil"/>
              <w:bottom w:val="nil"/>
              <w:right w:val="nil"/>
            </w:tcBorders>
            <w:shd w:val="clear" w:color="FFFFFF" w:fill="FFFFFF"/>
            <w:vAlign w:val="bottom"/>
            <w:hideMark/>
          </w:tcPr>
          <w:p w14:paraId="69B17893" w14:textId="77777777" w:rsidR="00A43992" w:rsidRDefault="00A43992" w:rsidP="007211E3">
            <w:pPr>
              <w:rPr>
                <w:rFonts w:ascii="Arial" w:hAnsi="Arial" w:cs="Arial"/>
                <w:b/>
                <w:bCs/>
                <w:sz w:val="18"/>
                <w:szCs w:val="18"/>
              </w:rPr>
            </w:pPr>
            <w:r>
              <w:rPr>
                <w:rFonts w:ascii="Arial" w:hAnsi="Arial" w:cs="Arial"/>
                <w:b/>
                <w:bCs/>
                <w:sz w:val="18"/>
                <w:szCs w:val="18"/>
              </w:rPr>
              <w:t xml:space="preserve">Total other payables </w:t>
            </w:r>
          </w:p>
        </w:tc>
        <w:tc>
          <w:tcPr>
            <w:tcW w:w="1249" w:type="dxa"/>
            <w:tcBorders>
              <w:top w:val="single" w:sz="4" w:space="0" w:color="auto"/>
              <w:left w:val="nil"/>
              <w:bottom w:val="single" w:sz="4" w:space="0" w:color="auto"/>
              <w:right w:val="nil"/>
            </w:tcBorders>
            <w:shd w:val="clear" w:color="FFFFFF" w:fill="FFFFFF"/>
            <w:noWrap/>
            <w:vAlign w:val="bottom"/>
            <w:hideMark/>
          </w:tcPr>
          <w:p w14:paraId="586B9903" w14:textId="77777777" w:rsidR="00A43992" w:rsidRDefault="00A43992" w:rsidP="007211E3">
            <w:pPr>
              <w:jc w:val="right"/>
              <w:rPr>
                <w:rFonts w:ascii="Arial" w:hAnsi="Arial" w:cs="Arial"/>
                <w:b/>
                <w:bCs/>
                <w:sz w:val="18"/>
                <w:szCs w:val="18"/>
              </w:rPr>
            </w:pPr>
            <w:r>
              <w:rPr>
                <w:rFonts w:ascii="Arial" w:hAnsi="Arial" w:cs="Arial"/>
                <w:b/>
                <w:bCs/>
                <w:sz w:val="18"/>
                <w:szCs w:val="18"/>
              </w:rPr>
              <w:t>2,611</w:t>
            </w:r>
          </w:p>
        </w:tc>
        <w:tc>
          <w:tcPr>
            <w:tcW w:w="236" w:type="dxa"/>
            <w:tcBorders>
              <w:top w:val="nil"/>
              <w:left w:val="nil"/>
              <w:bottom w:val="nil"/>
              <w:right w:val="nil"/>
            </w:tcBorders>
            <w:shd w:val="clear" w:color="FFFFFF" w:fill="FFFFFF"/>
            <w:noWrap/>
            <w:vAlign w:val="bottom"/>
            <w:hideMark/>
          </w:tcPr>
          <w:p w14:paraId="32D9DA5D" w14:textId="77777777" w:rsidR="00A43992" w:rsidRDefault="00A43992" w:rsidP="007211E3">
            <w:pPr>
              <w:rPr>
                <w:rFonts w:ascii="Arial" w:hAnsi="Arial" w:cs="Arial"/>
                <w:sz w:val="18"/>
                <w:szCs w:val="18"/>
              </w:rPr>
            </w:pPr>
            <w:r>
              <w:rPr>
                <w:rFonts w:ascii="Arial" w:hAnsi="Arial" w:cs="Arial"/>
                <w:sz w:val="18"/>
                <w:szCs w:val="18"/>
              </w:rPr>
              <w:t> </w:t>
            </w:r>
          </w:p>
        </w:tc>
        <w:tc>
          <w:tcPr>
            <w:tcW w:w="1249" w:type="dxa"/>
            <w:tcBorders>
              <w:top w:val="single" w:sz="4" w:space="0" w:color="auto"/>
              <w:left w:val="nil"/>
              <w:bottom w:val="single" w:sz="4" w:space="0" w:color="auto"/>
              <w:right w:val="nil"/>
            </w:tcBorders>
            <w:shd w:val="clear" w:color="FFFFFF" w:fill="FFFFFF"/>
            <w:noWrap/>
            <w:vAlign w:val="bottom"/>
            <w:hideMark/>
          </w:tcPr>
          <w:p w14:paraId="6A9AE631" w14:textId="77777777" w:rsidR="00A43992" w:rsidRDefault="00A43992" w:rsidP="007211E3">
            <w:pPr>
              <w:jc w:val="right"/>
              <w:rPr>
                <w:rFonts w:ascii="Arial" w:hAnsi="Arial" w:cs="Arial"/>
                <w:sz w:val="18"/>
                <w:szCs w:val="18"/>
              </w:rPr>
            </w:pPr>
            <w:r>
              <w:rPr>
                <w:rFonts w:ascii="Arial" w:hAnsi="Arial" w:cs="Arial"/>
                <w:sz w:val="18"/>
                <w:szCs w:val="18"/>
              </w:rPr>
              <w:t>7,961</w:t>
            </w:r>
          </w:p>
        </w:tc>
      </w:tr>
      <w:tr w:rsidR="00A43992" w14:paraId="3A58EEB2" w14:textId="77777777" w:rsidTr="007211E3">
        <w:trPr>
          <w:trHeight w:val="255"/>
        </w:trPr>
        <w:tc>
          <w:tcPr>
            <w:tcW w:w="6353" w:type="dxa"/>
            <w:tcBorders>
              <w:top w:val="nil"/>
              <w:left w:val="nil"/>
              <w:bottom w:val="nil"/>
              <w:right w:val="nil"/>
            </w:tcBorders>
            <w:shd w:val="clear" w:color="FFFFFF" w:fill="FFFFFF"/>
            <w:noWrap/>
            <w:vAlign w:val="bottom"/>
            <w:hideMark/>
          </w:tcPr>
          <w:p w14:paraId="1EFEF0C6" w14:textId="77777777" w:rsidR="00A43992" w:rsidRDefault="00A43992" w:rsidP="007211E3">
            <w:pPr>
              <w:rPr>
                <w:rFonts w:ascii="Arial" w:hAnsi="Arial" w:cs="Arial"/>
                <w:b/>
                <w:bCs/>
                <w:sz w:val="18"/>
                <w:szCs w:val="18"/>
              </w:rPr>
            </w:pPr>
            <w:r>
              <w:rPr>
                <w:rFonts w:ascii="Arial" w:hAnsi="Arial" w:cs="Arial"/>
                <w:b/>
                <w:bCs/>
                <w:sz w:val="18"/>
                <w:szCs w:val="18"/>
              </w:rPr>
              <w:t> </w:t>
            </w:r>
          </w:p>
        </w:tc>
        <w:tc>
          <w:tcPr>
            <w:tcW w:w="1249" w:type="dxa"/>
            <w:tcBorders>
              <w:top w:val="nil"/>
              <w:left w:val="nil"/>
              <w:bottom w:val="nil"/>
              <w:right w:val="nil"/>
            </w:tcBorders>
            <w:shd w:val="clear" w:color="FFFFFF" w:fill="FFFFFF"/>
            <w:noWrap/>
            <w:vAlign w:val="bottom"/>
            <w:hideMark/>
          </w:tcPr>
          <w:p w14:paraId="35678BBC" w14:textId="77777777" w:rsidR="00A43992" w:rsidRDefault="00A43992" w:rsidP="007211E3">
            <w:pPr>
              <w:rPr>
                <w:rFonts w:ascii="Arial" w:hAnsi="Arial" w:cs="Arial"/>
                <w:sz w:val="18"/>
                <w:szCs w:val="18"/>
              </w:rPr>
            </w:pPr>
            <w:r>
              <w:rPr>
                <w:rFonts w:ascii="Arial" w:hAnsi="Arial" w:cs="Arial"/>
                <w:sz w:val="18"/>
                <w:szCs w:val="18"/>
              </w:rPr>
              <w:t> </w:t>
            </w:r>
          </w:p>
        </w:tc>
        <w:tc>
          <w:tcPr>
            <w:tcW w:w="236" w:type="dxa"/>
            <w:tcBorders>
              <w:top w:val="nil"/>
              <w:left w:val="nil"/>
              <w:bottom w:val="nil"/>
              <w:right w:val="nil"/>
            </w:tcBorders>
            <w:shd w:val="clear" w:color="FFFFFF" w:fill="FFFFFF"/>
            <w:noWrap/>
            <w:vAlign w:val="bottom"/>
            <w:hideMark/>
          </w:tcPr>
          <w:p w14:paraId="606880CA" w14:textId="77777777" w:rsidR="00A43992" w:rsidRDefault="00A43992" w:rsidP="007211E3">
            <w:pPr>
              <w:rPr>
                <w:rFonts w:ascii="Arial" w:hAnsi="Arial" w:cs="Arial"/>
                <w:sz w:val="18"/>
                <w:szCs w:val="18"/>
              </w:rPr>
            </w:pPr>
            <w:r>
              <w:rPr>
                <w:rFonts w:ascii="Arial" w:hAnsi="Arial" w:cs="Arial"/>
                <w:sz w:val="18"/>
                <w:szCs w:val="18"/>
              </w:rPr>
              <w:t> </w:t>
            </w:r>
          </w:p>
        </w:tc>
        <w:tc>
          <w:tcPr>
            <w:tcW w:w="1249" w:type="dxa"/>
            <w:tcBorders>
              <w:top w:val="nil"/>
              <w:left w:val="nil"/>
              <w:bottom w:val="nil"/>
              <w:right w:val="nil"/>
            </w:tcBorders>
            <w:shd w:val="clear" w:color="FFFFFF" w:fill="FFFFFF"/>
            <w:noWrap/>
            <w:vAlign w:val="bottom"/>
            <w:hideMark/>
          </w:tcPr>
          <w:p w14:paraId="2421A8E4" w14:textId="77777777" w:rsidR="00A43992" w:rsidRDefault="00A43992" w:rsidP="007211E3">
            <w:pPr>
              <w:rPr>
                <w:rFonts w:ascii="Arial" w:hAnsi="Arial" w:cs="Arial"/>
                <w:sz w:val="18"/>
                <w:szCs w:val="18"/>
              </w:rPr>
            </w:pPr>
            <w:r>
              <w:rPr>
                <w:rFonts w:ascii="Arial" w:hAnsi="Arial" w:cs="Arial"/>
                <w:sz w:val="18"/>
                <w:szCs w:val="18"/>
              </w:rPr>
              <w:t> </w:t>
            </w:r>
          </w:p>
        </w:tc>
      </w:tr>
      <w:tr w:rsidR="00A43992" w14:paraId="304384F4" w14:textId="77777777" w:rsidTr="007211E3">
        <w:trPr>
          <w:trHeight w:val="255"/>
        </w:trPr>
        <w:tc>
          <w:tcPr>
            <w:tcW w:w="6353" w:type="dxa"/>
            <w:tcBorders>
              <w:top w:val="nil"/>
              <w:left w:val="nil"/>
              <w:bottom w:val="nil"/>
              <w:right w:val="nil"/>
            </w:tcBorders>
            <w:shd w:val="clear" w:color="FFFFFF" w:fill="FFFFFF"/>
            <w:vAlign w:val="bottom"/>
            <w:hideMark/>
          </w:tcPr>
          <w:p w14:paraId="00CA0187" w14:textId="77777777" w:rsidR="00A43992" w:rsidRDefault="00A43992" w:rsidP="007211E3">
            <w:pPr>
              <w:rPr>
                <w:rFonts w:ascii="Arial" w:hAnsi="Arial" w:cs="Arial"/>
                <w:sz w:val="18"/>
                <w:szCs w:val="18"/>
              </w:rPr>
            </w:pPr>
            <w:r>
              <w:rPr>
                <w:rFonts w:ascii="Arial" w:hAnsi="Arial" w:cs="Arial"/>
                <w:sz w:val="18"/>
                <w:szCs w:val="18"/>
              </w:rPr>
              <w:t>Other payables expected to be settled</w:t>
            </w:r>
          </w:p>
        </w:tc>
        <w:tc>
          <w:tcPr>
            <w:tcW w:w="1249" w:type="dxa"/>
            <w:tcBorders>
              <w:top w:val="nil"/>
              <w:left w:val="nil"/>
              <w:bottom w:val="nil"/>
              <w:right w:val="nil"/>
            </w:tcBorders>
            <w:shd w:val="clear" w:color="FFFFFF" w:fill="FFFFFF"/>
            <w:noWrap/>
            <w:vAlign w:val="bottom"/>
            <w:hideMark/>
          </w:tcPr>
          <w:p w14:paraId="60A949DE" w14:textId="77777777" w:rsidR="00A43992" w:rsidRDefault="00A43992" w:rsidP="007211E3">
            <w:pPr>
              <w:rPr>
                <w:rFonts w:ascii="Arial" w:hAnsi="Arial" w:cs="Arial"/>
                <w:sz w:val="18"/>
                <w:szCs w:val="18"/>
              </w:rPr>
            </w:pPr>
            <w:r>
              <w:rPr>
                <w:rFonts w:ascii="Arial" w:hAnsi="Arial" w:cs="Arial"/>
                <w:sz w:val="18"/>
                <w:szCs w:val="18"/>
              </w:rPr>
              <w:t> </w:t>
            </w:r>
          </w:p>
        </w:tc>
        <w:tc>
          <w:tcPr>
            <w:tcW w:w="236" w:type="dxa"/>
            <w:tcBorders>
              <w:top w:val="nil"/>
              <w:left w:val="nil"/>
              <w:bottom w:val="nil"/>
              <w:right w:val="nil"/>
            </w:tcBorders>
            <w:shd w:val="clear" w:color="FFFFFF" w:fill="FFFFFF"/>
            <w:noWrap/>
            <w:vAlign w:val="bottom"/>
            <w:hideMark/>
          </w:tcPr>
          <w:p w14:paraId="5983C1D5" w14:textId="77777777" w:rsidR="00A43992" w:rsidRDefault="00A43992" w:rsidP="007211E3">
            <w:pPr>
              <w:rPr>
                <w:rFonts w:ascii="Arial" w:hAnsi="Arial" w:cs="Arial"/>
                <w:sz w:val="18"/>
                <w:szCs w:val="18"/>
              </w:rPr>
            </w:pPr>
            <w:r>
              <w:rPr>
                <w:rFonts w:ascii="Arial" w:hAnsi="Arial" w:cs="Arial"/>
                <w:sz w:val="18"/>
                <w:szCs w:val="18"/>
              </w:rPr>
              <w:t> </w:t>
            </w:r>
          </w:p>
        </w:tc>
        <w:tc>
          <w:tcPr>
            <w:tcW w:w="1249" w:type="dxa"/>
            <w:tcBorders>
              <w:top w:val="nil"/>
              <w:left w:val="nil"/>
              <w:bottom w:val="nil"/>
              <w:right w:val="nil"/>
            </w:tcBorders>
            <w:shd w:val="clear" w:color="FFFFFF" w:fill="FFFFFF"/>
            <w:noWrap/>
            <w:vAlign w:val="bottom"/>
            <w:hideMark/>
          </w:tcPr>
          <w:p w14:paraId="2EAFFB2C" w14:textId="77777777" w:rsidR="00A43992" w:rsidRDefault="00A43992" w:rsidP="007211E3">
            <w:pPr>
              <w:rPr>
                <w:rFonts w:ascii="Arial" w:hAnsi="Arial" w:cs="Arial"/>
                <w:sz w:val="18"/>
                <w:szCs w:val="18"/>
              </w:rPr>
            </w:pPr>
            <w:r>
              <w:rPr>
                <w:rFonts w:ascii="Arial" w:hAnsi="Arial" w:cs="Arial"/>
                <w:sz w:val="18"/>
                <w:szCs w:val="18"/>
              </w:rPr>
              <w:t> </w:t>
            </w:r>
          </w:p>
        </w:tc>
      </w:tr>
      <w:tr w:rsidR="00A43992" w14:paraId="63E39326" w14:textId="77777777" w:rsidTr="007211E3">
        <w:trPr>
          <w:trHeight w:val="255"/>
        </w:trPr>
        <w:tc>
          <w:tcPr>
            <w:tcW w:w="6353" w:type="dxa"/>
            <w:tcBorders>
              <w:top w:val="nil"/>
              <w:left w:val="nil"/>
              <w:bottom w:val="nil"/>
              <w:right w:val="nil"/>
            </w:tcBorders>
            <w:shd w:val="clear" w:color="FFFFFF" w:fill="FFFFFF"/>
            <w:noWrap/>
            <w:vAlign w:val="bottom"/>
            <w:hideMark/>
          </w:tcPr>
          <w:p w14:paraId="2950406F" w14:textId="77777777" w:rsidR="00A43992" w:rsidRDefault="00A43992" w:rsidP="007211E3">
            <w:pPr>
              <w:ind w:firstLineChars="100" w:firstLine="180"/>
              <w:rPr>
                <w:rFonts w:ascii="Arial" w:hAnsi="Arial" w:cs="Arial"/>
                <w:sz w:val="18"/>
                <w:szCs w:val="18"/>
              </w:rPr>
            </w:pPr>
            <w:r>
              <w:rPr>
                <w:rFonts w:ascii="Arial" w:hAnsi="Arial" w:cs="Arial"/>
                <w:sz w:val="18"/>
                <w:szCs w:val="18"/>
              </w:rPr>
              <w:t>No more than 12 months</w:t>
            </w:r>
          </w:p>
        </w:tc>
        <w:tc>
          <w:tcPr>
            <w:tcW w:w="1249" w:type="dxa"/>
            <w:tcBorders>
              <w:top w:val="nil"/>
              <w:left w:val="nil"/>
              <w:bottom w:val="nil"/>
              <w:right w:val="nil"/>
            </w:tcBorders>
            <w:shd w:val="clear" w:color="FFFFFF" w:fill="FFFFFF"/>
            <w:noWrap/>
            <w:vAlign w:val="bottom"/>
            <w:hideMark/>
          </w:tcPr>
          <w:p w14:paraId="06C4BA38" w14:textId="77777777" w:rsidR="00A43992" w:rsidRDefault="00A43992" w:rsidP="007211E3">
            <w:pPr>
              <w:jc w:val="right"/>
              <w:rPr>
                <w:rFonts w:ascii="Arial" w:hAnsi="Arial" w:cs="Arial"/>
                <w:b/>
                <w:bCs/>
                <w:sz w:val="18"/>
                <w:szCs w:val="18"/>
              </w:rPr>
            </w:pPr>
            <w:r>
              <w:rPr>
                <w:rFonts w:ascii="Arial" w:hAnsi="Arial" w:cs="Arial"/>
                <w:b/>
                <w:bCs/>
                <w:sz w:val="18"/>
                <w:szCs w:val="18"/>
              </w:rPr>
              <w:t>883</w:t>
            </w:r>
          </w:p>
        </w:tc>
        <w:tc>
          <w:tcPr>
            <w:tcW w:w="236" w:type="dxa"/>
            <w:tcBorders>
              <w:top w:val="nil"/>
              <w:left w:val="nil"/>
              <w:bottom w:val="nil"/>
              <w:right w:val="nil"/>
            </w:tcBorders>
            <w:shd w:val="clear" w:color="FFFFFF" w:fill="FFFFFF"/>
            <w:noWrap/>
            <w:vAlign w:val="bottom"/>
            <w:hideMark/>
          </w:tcPr>
          <w:p w14:paraId="4428AC4B" w14:textId="77777777" w:rsidR="00A43992" w:rsidRDefault="00A43992" w:rsidP="007211E3">
            <w:pPr>
              <w:rPr>
                <w:rFonts w:ascii="Arial" w:hAnsi="Arial" w:cs="Arial"/>
                <w:sz w:val="18"/>
                <w:szCs w:val="18"/>
              </w:rPr>
            </w:pPr>
            <w:r>
              <w:rPr>
                <w:rFonts w:ascii="Arial" w:hAnsi="Arial" w:cs="Arial"/>
                <w:sz w:val="18"/>
                <w:szCs w:val="18"/>
              </w:rPr>
              <w:t> </w:t>
            </w:r>
          </w:p>
        </w:tc>
        <w:tc>
          <w:tcPr>
            <w:tcW w:w="1249" w:type="dxa"/>
            <w:tcBorders>
              <w:top w:val="nil"/>
              <w:left w:val="nil"/>
              <w:bottom w:val="nil"/>
              <w:right w:val="nil"/>
            </w:tcBorders>
            <w:shd w:val="clear" w:color="FFFFFF" w:fill="FFFFFF"/>
            <w:noWrap/>
            <w:vAlign w:val="bottom"/>
            <w:hideMark/>
          </w:tcPr>
          <w:p w14:paraId="67668AB1" w14:textId="77777777" w:rsidR="00A43992" w:rsidRDefault="00A43992" w:rsidP="007211E3">
            <w:pPr>
              <w:jc w:val="right"/>
              <w:rPr>
                <w:rFonts w:ascii="Arial" w:hAnsi="Arial" w:cs="Arial"/>
                <w:sz w:val="18"/>
                <w:szCs w:val="18"/>
              </w:rPr>
            </w:pPr>
            <w:r>
              <w:rPr>
                <w:rFonts w:ascii="Arial" w:hAnsi="Arial" w:cs="Arial"/>
                <w:sz w:val="18"/>
                <w:szCs w:val="18"/>
              </w:rPr>
              <w:t xml:space="preserve">6,273 </w:t>
            </w:r>
          </w:p>
        </w:tc>
      </w:tr>
      <w:tr w:rsidR="00A43992" w14:paraId="35B33419" w14:textId="77777777" w:rsidTr="007211E3">
        <w:trPr>
          <w:trHeight w:val="255"/>
        </w:trPr>
        <w:tc>
          <w:tcPr>
            <w:tcW w:w="6353" w:type="dxa"/>
            <w:tcBorders>
              <w:top w:val="nil"/>
              <w:left w:val="nil"/>
              <w:bottom w:val="nil"/>
              <w:right w:val="nil"/>
            </w:tcBorders>
            <w:shd w:val="clear" w:color="FFFFFF" w:fill="FFFFFF"/>
            <w:noWrap/>
            <w:vAlign w:val="bottom"/>
            <w:hideMark/>
          </w:tcPr>
          <w:p w14:paraId="2C90F365" w14:textId="77777777" w:rsidR="00A43992" w:rsidRDefault="00A43992" w:rsidP="007211E3">
            <w:pPr>
              <w:ind w:firstLineChars="100" w:firstLine="180"/>
              <w:rPr>
                <w:rFonts w:ascii="Arial" w:hAnsi="Arial" w:cs="Arial"/>
                <w:sz w:val="18"/>
                <w:szCs w:val="18"/>
              </w:rPr>
            </w:pPr>
            <w:r>
              <w:rPr>
                <w:rFonts w:ascii="Arial" w:hAnsi="Arial" w:cs="Arial"/>
                <w:sz w:val="18"/>
                <w:szCs w:val="18"/>
              </w:rPr>
              <w:t>More than 12 months</w:t>
            </w:r>
          </w:p>
        </w:tc>
        <w:tc>
          <w:tcPr>
            <w:tcW w:w="1249" w:type="dxa"/>
            <w:tcBorders>
              <w:top w:val="nil"/>
              <w:left w:val="nil"/>
              <w:bottom w:val="nil"/>
              <w:right w:val="nil"/>
            </w:tcBorders>
            <w:shd w:val="clear" w:color="FFFFFF" w:fill="FFFFFF"/>
            <w:noWrap/>
            <w:vAlign w:val="bottom"/>
            <w:hideMark/>
          </w:tcPr>
          <w:p w14:paraId="4FD63452" w14:textId="77777777" w:rsidR="00A43992" w:rsidRDefault="00A43992" w:rsidP="007211E3">
            <w:pPr>
              <w:jc w:val="right"/>
              <w:rPr>
                <w:rFonts w:ascii="Arial" w:hAnsi="Arial" w:cs="Arial"/>
                <w:b/>
                <w:bCs/>
                <w:sz w:val="18"/>
                <w:szCs w:val="18"/>
              </w:rPr>
            </w:pPr>
            <w:r>
              <w:rPr>
                <w:rFonts w:ascii="Arial" w:hAnsi="Arial" w:cs="Arial"/>
                <w:b/>
                <w:bCs/>
                <w:sz w:val="18"/>
                <w:szCs w:val="18"/>
              </w:rPr>
              <w:t>1,728</w:t>
            </w:r>
          </w:p>
        </w:tc>
        <w:tc>
          <w:tcPr>
            <w:tcW w:w="236" w:type="dxa"/>
            <w:tcBorders>
              <w:top w:val="nil"/>
              <w:left w:val="nil"/>
              <w:bottom w:val="nil"/>
              <w:right w:val="nil"/>
            </w:tcBorders>
            <w:shd w:val="clear" w:color="FFFFFF" w:fill="FFFFFF"/>
            <w:noWrap/>
            <w:vAlign w:val="bottom"/>
            <w:hideMark/>
          </w:tcPr>
          <w:p w14:paraId="67A20454" w14:textId="77777777" w:rsidR="00A43992" w:rsidRDefault="00A43992" w:rsidP="007211E3">
            <w:pPr>
              <w:rPr>
                <w:rFonts w:ascii="Arial" w:hAnsi="Arial" w:cs="Arial"/>
                <w:sz w:val="18"/>
                <w:szCs w:val="18"/>
              </w:rPr>
            </w:pPr>
            <w:r>
              <w:rPr>
                <w:rFonts w:ascii="Arial" w:hAnsi="Arial" w:cs="Arial"/>
                <w:sz w:val="18"/>
                <w:szCs w:val="18"/>
              </w:rPr>
              <w:t> </w:t>
            </w:r>
          </w:p>
        </w:tc>
        <w:tc>
          <w:tcPr>
            <w:tcW w:w="1249" w:type="dxa"/>
            <w:tcBorders>
              <w:top w:val="nil"/>
              <w:left w:val="nil"/>
              <w:bottom w:val="nil"/>
              <w:right w:val="nil"/>
            </w:tcBorders>
            <w:shd w:val="clear" w:color="FFFFFF" w:fill="FFFFFF"/>
            <w:noWrap/>
            <w:vAlign w:val="bottom"/>
            <w:hideMark/>
          </w:tcPr>
          <w:p w14:paraId="4D8D02DA" w14:textId="77777777" w:rsidR="00A43992" w:rsidRDefault="00A43992" w:rsidP="007211E3">
            <w:pPr>
              <w:jc w:val="right"/>
              <w:rPr>
                <w:rFonts w:ascii="Arial" w:hAnsi="Arial" w:cs="Arial"/>
                <w:sz w:val="18"/>
                <w:szCs w:val="18"/>
              </w:rPr>
            </w:pPr>
            <w:r>
              <w:rPr>
                <w:rFonts w:ascii="Arial" w:hAnsi="Arial" w:cs="Arial"/>
                <w:sz w:val="18"/>
                <w:szCs w:val="18"/>
              </w:rPr>
              <w:t xml:space="preserve">1,688 </w:t>
            </w:r>
          </w:p>
        </w:tc>
      </w:tr>
      <w:tr w:rsidR="00A43992" w14:paraId="0D63C413" w14:textId="77777777" w:rsidTr="007211E3">
        <w:trPr>
          <w:trHeight w:val="255"/>
        </w:trPr>
        <w:tc>
          <w:tcPr>
            <w:tcW w:w="6353" w:type="dxa"/>
            <w:tcBorders>
              <w:top w:val="nil"/>
              <w:left w:val="nil"/>
              <w:bottom w:val="nil"/>
              <w:right w:val="nil"/>
            </w:tcBorders>
            <w:shd w:val="clear" w:color="FFFFFF" w:fill="FFFFFF"/>
            <w:vAlign w:val="bottom"/>
            <w:hideMark/>
          </w:tcPr>
          <w:p w14:paraId="36E260D3" w14:textId="77777777" w:rsidR="00A43992" w:rsidRDefault="00A43992" w:rsidP="007211E3">
            <w:pPr>
              <w:rPr>
                <w:rFonts w:ascii="Arial" w:hAnsi="Arial" w:cs="Arial"/>
                <w:b/>
                <w:bCs/>
                <w:sz w:val="18"/>
                <w:szCs w:val="18"/>
              </w:rPr>
            </w:pPr>
            <w:r>
              <w:rPr>
                <w:rFonts w:ascii="Arial" w:hAnsi="Arial" w:cs="Arial"/>
                <w:b/>
                <w:bCs/>
                <w:sz w:val="18"/>
                <w:szCs w:val="18"/>
              </w:rPr>
              <w:t xml:space="preserve">Total other payables </w:t>
            </w:r>
          </w:p>
        </w:tc>
        <w:tc>
          <w:tcPr>
            <w:tcW w:w="1249" w:type="dxa"/>
            <w:tcBorders>
              <w:top w:val="single" w:sz="4" w:space="0" w:color="auto"/>
              <w:left w:val="nil"/>
              <w:bottom w:val="single" w:sz="4" w:space="0" w:color="auto"/>
              <w:right w:val="nil"/>
            </w:tcBorders>
            <w:shd w:val="clear" w:color="FFFFFF" w:fill="FFFFFF"/>
            <w:noWrap/>
            <w:vAlign w:val="bottom"/>
            <w:hideMark/>
          </w:tcPr>
          <w:p w14:paraId="25A94BE8" w14:textId="77777777" w:rsidR="00A43992" w:rsidRDefault="00A43992" w:rsidP="007211E3">
            <w:pPr>
              <w:jc w:val="right"/>
              <w:rPr>
                <w:rFonts w:ascii="Arial" w:hAnsi="Arial" w:cs="Arial"/>
                <w:b/>
                <w:bCs/>
                <w:sz w:val="18"/>
                <w:szCs w:val="18"/>
              </w:rPr>
            </w:pPr>
            <w:r>
              <w:rPr>
                <w:rFonts w:ascii="Arial" w:hAnsi="Arial" w:cs="Arial"/>
                <w:b/>
                <w:bCs/>
                <w:sz w:val="18"/>
                <w:szCs w:val="18"/>
              </w:rPr>
              <w:t>2,611</w:t>
            </w:r>
          </w:p>
        </w:tc>
        <w:tc>
          <w:tcPr>
            <w:tcW w:w="236" w:type="dxa"/>
            <w:tcBorders>
              <w:top w:val="nil"/>
              <w:left w:val="nil"/>
              <w:bottom w:val="nil"/>
              <w:right w:val="nil"/>
            </w:tcBorders>
            <w:shd w:val="clear" w:color="FFFFFF" w:fill="FFFFFF"/>
            <w:noWrap/>
            <w:vAlign w:val="bottom"/>
            <w:hideMark/>
          </w:tcPr>
          <w:p w14:paraId="6AD1C12B" w14:textId="77777777" w:rsidR="00A43992" w:rsidRDefault="00A43992" w:rsidP="007211E3">
            <w:pPr>
              <w:rPr>
                <w:rFonts w:ascii="Arial" w:hAnsi="Arial" w:cs="Arial"/>
                <w:sz w:val="18"/>
                <w:szCs w:val="18"/>
              </w:rPr>
            </w:pPr>
            <w:r>
              <w:rPr>
                <w:rFonts w:ascii="Arial" w:hAnsi="Arial" w:cs="Arial"/>
                <w:sz w:val="18"/>
                <w:szCs w:val="18"/>
              </w:rPr>
              <w:t> </w:t>
            </w:r>
          </w:p>
        </w:tc>
        <w:tc>
          <w:tcPr>
            <w:tcW w:w="1249" w:type="dxa"/>
            <w:tcBorders>
              <w:top w:val="single" w:sz="4" w:space="0" w:color="auto"/>
              <w:left w:val="nil"/>
              <w:bottom w:val="single" w:sz="4" w:space="0" w:color="auto"/>
              <w:right w:val="nil"/>
            </w:tcBorders>
            <w:shd w:val="clear" w:color="FFFFFF" w:fill="FFFFFF"/>
            <w:noWrap/>
            <w:vAlign w:val="bottom"/>
            <w:hideMark/>
          </w:tcPr>
          <w:p w14:paraId="0BEC902D" w14:textId="77777777" w:rsidR="00A43992" w:rsidRDefault="00A43992" w:rsidP="007211E3">
            <w:pPr>
              <w:jc w:val="right"/>
              <w:rPr>
                <w:rFonts w:ascii="Arial" w:hAnsi="Arial" w:cs="Arial"/>
                <w:sz w:val="18"/>
                <w:szCs w:val="18"/>
              </w:rPr>
            </w:pPr>
            <w:r>
              <w:rPr>
                <w:rFonts w:ascii="Arial" w:hAnsi="Arial" w:cs="Arial"/>
                <w:sz w:val="18"/>
                <w:szCs w:val="18"/>
              </w:rPr>
              <w:t>7,961</w:t>
            </w:r>
          </w:p>
        </w:tc>
      </w:tr>
    </w:tbl>
    <w:p w14:paraId="4765C972" w14:textId="77777777" w:rsidR="00A43992" w:rsidRPr="00E42114" w:rsidRDefault="00A43992" w:rsidP="00A43992">
      <w:bookmarkStart w:id="346" w:name="RANGE!D8:G20"/>
      <w:bookmarkStart w:id="347" w:name="RANGE!D8:G19"/>
      <w:bookmarkStart w:id="348" w:name="RANGE!D8:G17"/>
      <w:bookmarkEnd w:id="346"/>
      <w:bookmarkEnd w:id="347"/>
      <w:bookmarkEnd w:id="348"/>
    </w:p>
    <w:p w14:paraId="26EDEB43" w14:textId="77777777" w:rsidR="00A43992" w:rsidRDefault="00A43992" w:rsidP="00A43992">
      <w:r>
        <w:br w:type="page"/>
      </w:r>
    </w:p>
    <w:tbl>
      <w:tblPr>
        <w:tblStyle w:val="TableGrid"/>
        <w:tblW w:w="508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
        <w:gridCol w:w="8935"/>
      </w:tblGrid>
      <w:tr w:rsidR="00A43992" w:rsidRPr="00E42114" w14:paraId="51733089" w14:textId="77777777" w:rsidTr="007211E3">
        <w:trPr>
          <w:trHeight w:val="618"/>
        </w:trPr>
        <w:tc>
          <w:tcPr>
            <w:tcW w:w="153" w:type="pct"/>
            <w:tcMar>
              <w:left w:w="0" w:type="dxa"/>
              <w:right w:w="0" w:type="dxa"/>
            </w:tcMar>
          </w:tcPr>
          <w:p w14:paraId="106742CF" w14:textId="77777777" w:rsidR="00A43992" w:rsidRPr="00E42114" w:rsidRDefault="00A43992" w:rsidP="007211E3">
            <w:pPr>
              <w:jc w:val="center"/>
            </w:pPr>
          </w:p>
        </w:tc>
        <w:tc>
          <w:tcPr>
            <w:tcW w:w="4847" w:type="pct"/>
            <w:tcMar>
              <w:left w:w="0" w:type="dxa"/>
              <w:right w:w="0" w:type="dxa"/>
            </w:tcMar>
          </w:tcPr>
          <w:p w14:paraId="647AAE07" w14:textId="77777777" w:rsidR="00A43992" w:rsidRPr="00E42114" w:rsidRDefault="00A43992" w:rsidP="007211E3">
            <w:pPr>
              <w:rPr>
                <w:rFonts w:ascii="Arial" w:hAnsi="Arial" w:cs="Arial"/>
                <w:sz w:val="18"/>
                <w:szCs w:val="18"/>
              </w:rPr>
            </w:pPr>
          </w:p>
        </w:tc>
      </w:tr>
    </w:tbl>
    <w:p w14:paraId="4B19EA7C" w14:textId="36060826" w:rsidR="00A43992" w:rsidRDefault="00A43992" w:rsidP="00A43992">
      <w:pPr>
        <w:pStyle w:val="SubHeading"/>
      </w:pPr>
      <w:bookmarkStart w:id="349" w:name="_Toc443469532"/>
      <w:bookmarkStart w:id="350" w:name="_Toc444065785"/>
      <w:bookmarkStart w:id="351" w:name="_Toc444079982"/>
      <w:bookmarkStart w:id="352" w:name="_Toc447030542"/>
      <w:bookmarkStart w:id="353" w:name="_Toc447030694"/>
      <w:bookmarkStart w:id="354" w:name="_Toc447030787"/>
      <w:bookmarkStart w:id="355" w:name="_Toc456865061"/>
      <w:r>
        <w:t>Other Provisions</w:t>
      </w:r>
      <w:bookmarkEnd w:id="349"/>
      <w:bookmarkEnd w:id="350"/>
      <w:bookmarkEnd w:id="351"/>
      <w:bookmarkEnd w:id="352"/>
      <w:bookmarkEnd w:id="353"/>
      <w:bookmarkEnd w:id="354"/>
      <w:bookmarkEnd w:id="355"/>
    </w:p>
    <w:p w14:paraId="3C457468" w14:textId="77777777" w:rsidR="00A43992" w:rsidRPr="005E5430" w:rsidRDefault="00A43992" w:rsidP="00A43992">
      <w:bookmarkStart w:id="356" w:name="RANGE!D6:D18"/>
      <w:bookmarkStart w:id="357" w:name="RANGE!D6:G18"/>
      <w:bookmarkEnd w:id="356"/>
      <w:bookmarkEnd w:id="357"/>
    </w:p>
    <w:tbl>
      <w:tblPr>
        <w:tblW w:w="9087" w:type="dxa"/>
        <w:tblInd w:w="80" w:type="dxa"/>
        <w:tblLayout w:type="fixed"/>
        <w:tblLook w:val="04A0" w:firstRow="1" w:lastRow="0" w:firstColumn="1" w:lastColumn="0" w:noHBand="0" w:noVBand="1"/>
      </w:tblPr>
      <w:tblGrid>
        <w:gridCol w:w="6353"/>
        <w:gridCol w:w="1249"/>
        <w:gridCol w:w="236"/>
        <w:gridCol w:w="1249"/>
      </w:tblGrid>
      <w:tr w:rsidR="00A43992" w14:paraId="509C73C2" w14:textId="77777777" w:rsidTr="007211E3">
        <w:trPr>
          <w:trHeight w:val="255"/>
        </w:trPr>
        <w:tc>
          <w:tcPr>
            <w:tcW w:w="6353" w:type="dxa"/>
            <w:tcBorders>
              <w:top w:val="nil"/>
              <w:left w:val="nil"/>
              <w:bottom w:val="nil"/>
              <w:right w:val="nil"/>
            </w:tcBorders>
            <w:shd w:val="clear" w:color="FFFFFF" w:fill="FFFFFF"/>
            <w:noWrap/>
            <w:vAlign w:val="bottom"/>
            <w:hideMark/>
          </w:tcPr>
          <w:p w14:paraId="4F8FA00F" w14:textId="77777777" w:rsidR="00A43992" w:rsidRDefault="00A43992" w:rsidP="007211E3">
            <w:pPr>
              <w:rPr>
                <w:rFonts w:ascii="Arial" w:hAnsi="Arial" w:cs="Arial"/>
                <w:sz w:val="18"/>
                <w:szCs w:val="18"/>
              </w:rPr>
            </w:pPr>
            <w:bookmarkStart w:id="358" w:name="Note_PPRTABLE1" w:colFirst="0" w:colLast="0"/>
            <w:r>
              <w:rPr>
                <w:rFonts w:ascii="Arial" w:hAnsi="Arial" w:cs="Arial"/>
                <w:sz w:val="18"/>
                <w:szCs w:val="18"/>
              </w:rPr>
              <w:t> </w:t>
            </w:r>
          </w:p>
        </w:tc>
        <w:tc>
          <w:tcPr>
            <w:tcW w:w="1249" w:type="dxa"/>
            <w:tcBorders>
              <w:top w:val="nil"/>
              <w:left w:val="nil"/>
              <w:bottom w:val="nil"/>
              <w:right w:val="nil"/>
            </w:tcBorders>
            <w:shd w:val="clear" w:color="FFFFFF" w:fill="FFFFFF"/>
            <w:vAlign w:val="bottom"/>
            <w:hideMark/>
          </w:tcPr>
          <w:p w14:paraId="53FC36F7" w14:textId="77777777" w:rsidR="00A43992" w:rsidRDefault="00A43992" w:rsidP="007211E3">
            <w:pPr>
              <w:jc w:val="right"/>
              <w:rPr>
                <w:rFonts w:ascii="Arial" w:hAnsi="Arial" w:cs="Arial"/>
                <w:b/>
                <w:bCs/>
                <w:sz w:val="18"/>
                <w:szCs w:val="18"/>
              </w:rPr>
            </w:pPr>
            <w:r>
              <w:rPr>
                <w:rFonts w:ascii="Arial" w:hAnsi="Arial" w:cs="Arial"/>
                <w:b/>
                <w:bCs/>
                <w:sz w:val="18"/>
                <w:szCs w:val="18"/>
              </w:rPr>
              <w:t>2016</w:t>
            </w:r>
          </w:p>
        </w:tc>
        <w:tc>
          <w:tcPr>
            <w:tcW w:w="236" w:type="dxa"/>
            <w:tcBorders>
              <w:top w:val="nil"/>
              <w:left w:val="nil"/>
              <w:bottom w:val="nil"/>
              <w:right w:val="nil"/>
            </w:tcBorders>
            <w:shd w:val="clear" w:color="FFFFFF" w:fill="FFFFFF"/>
            <w:noWrap/>
            <w:vAlign w:val="bottom"/>
            <w:hideMark/>
          </w:tcPr>
          <w:p w14:paraId="0DD58191" w14:textId="77777777" w:rsidR="00A43992" w:rsidRDefault="00A43992" w:rsidP="007211E3">
            <w:pPr>
              <w:rPr>
                <w:rFonts w:ascii="Arial" w:hAnsi="Arial" w:cs="Arial"/>
                <w:sz w:val="18"/>
                <w:szCs w:val="18"/>
              </w:rPr>
            </w:pPr>
            <w:r>
              <w:rPr>
                <w:rFonts w:ascii="Arial" w:hAnsi="Arial" w:cs="Arial"/>
                <w:sz w:val="18"/>
                <w:szCs w:val="18"/>
              </w:rPr>
              <w:t> </w:t>
            </w:r>
          </w:p>
        </w:tc>
        <w:tc>
          <w:tcPr>
            <w:tcW w:w="1249" w:type="dxa"/>
            <w:tcBorders>
              <w:top w:val="nil"/>
              <w:left w:val="nil"/>
              <w:bottom w:val="nil"/>
              <w:right w:val="nil"/>
            </w:tcBorders>
            <w:shd w:val="clear" w:color="FFFFFF" w:fill="FFFFFF"/>
            <w:vAlign w:val="bottom"/>
            <w:hideMark/>
          </w:tcPr>
          <w:p w14:paraId="52D8575D" w14:textId="77777777" w:rsidR="00A43992" w:rsidRDefault="00A43992" w:rsidP="007211E3">
            <w:pPr>
              <w:jc w:val="right"/>
              <w:rPr>
                <w:rFonts w:ascii="Arial" w:hAnsi="Arial" w:cs="Arial"/>
                <w:sz w:val="18"/>
                <w:szCs w:val="18"/>
              </w:rPr>
            </w:pPr>
            <w:r>
              <w:rPr>
                <w:rFonts w:ascii="Arial" w:hAnsi="Arial" w:cs="Arial"/>
                <w:sz w:val="18"/>
                <w:szCs w:val="18"/>
              </w:rPr>
              <w:t>2015</w:t>
            </w:r>
          </w:p>
        </w:tc>
      </w:tr>
      <w:bookmarkEnd w:id="358"/>
      <w:tr w:rsidR="00A43992" w14:paraId="7D7B683A" w14:textId="77777777" w:rsidTr="007211E3">
        <w:trPr>
          <w:trHeight w:val="240"/>
        </w:trPr>
        <w:tc>
          <w:tcPr>
            <w:tcW w:w="6353" w:type="dxa"/>
            <w:tcBorders>
              <w:top w:val="nil"/>
              <w:left w:val="nil"/>
              <w:bottom w:val="nil"/>
              <w:right w:val="nil"/>
            </w:tcBorders>
            <w:shd w:val="clear" w:color="FFFFFF" w:fill="FFFFFF"/>
            <w:noWrap/>
            <w:vAlign w:val="bottom"/>
            <w:hideMark/>
          </w:tcPr>
          <w:p w14:paraId="1D11C5AD" w14:textId="77777777" w:rsidR="00A43992" w:rsidRDefault="00A43992" w:rsidP="007211E3">
            <w:pPr>
              <w:rPr>
                <w:rFonts w:ascii="Arial" w:hAnsi="Arial" w:cs="Arial"/>
                <w:sz w:val="18"/>
                <w:szCs w:val="18"/>
              </w:rPr>
            </w:pPr>
            <w:r>
              <w:rPr>
                <w:rFonts w:ascii="Arial" w:hAnsi="Arial" w:cs="Arial"/>
                <w:sz w:val="18"/>
                <w:szCs w:val="18"/>
              </w:rPr>
              <w:t> </w:t>
            </w:r>
          </w:p>
        </w:tc>
        <w:tc>
          <w:tcPr>
            <w:tcW w:w="1249" w:type="dxa"/>
            <w:tcBorders>
              <w:top w:val="nil"/>
              <w:left w:val="nil"/>
              <w:bottom w:val="nil"/>
              <w:right w:val="nil"/>
            </w:tcBorders>
            <w:shd w:val="clear" w:color="FFFFFF" w:fill="FFFFFF"/>
            <w:vAlign w:val="bottom"/>
            <w:hideMark/>
          </w:tcPr>
          <w:p w14:paraId="4DD93C6A" w14:textId="77777777" w:rsidR="00A43992" w:rsidRDefault="00A43992" w:rsidP="007211E3">
            <w:pPr>
              <w:jc w:val="right"/>
              <w:rPr>
                <w:rFonts w:ascii="Arial" w:hAnsi="Arial" w:cs="Arial"/>
                <w:b/>
                <w:bCs/>
                <w:sz w:val="18"/>
                <w:szCs w:val="18"/>
              </w:rPr>
            </w:pPr>
            <w:r>
              <w:rPr>
                <w:rFonts w:ascii="Arial" w:hAnsi="Arial" w:cs="Arial"/>
                <w:b/>
                <w:bCs/>
                <w:sz w:val="18"/>
                <w:szCs w:val="18"/>
              </w:rPr>
              <w:t>$'000</w:t>
            </w:r>
          </w:p>
        </w:tc>
        <w:tc>
          <w:tcPr>
            <w:tcW w:w="236" w:type="dxa"/>
            <w:tcBorders>
              <w:top w:val="nil"/>
              <w:left w:val="nil"/>
              <w:bottom w:val="nil"/>
              <w:right w:val="nil"/>
            </w:tcBorders>
            <w:shd w:val="clear" w:color="FFFFFF" w:fill="FFFFFF"/>
            <w:noWrap/>
            <w:vAlign w:val="bottom"/>
            <w:hideMark/>
          </w:tcPr>
          <w:p w14:paraId="21EF7BB0" w14:textId="77777777" w:rsidR="00A43992" w:rsidRDefault="00A43992" w:rsidP="007211E3">
            <w:pPr>
              <w:rPr>
                <w:rFonts w:ascii="Arial" w:hAnsi="Arial" w:cs="Arial"/>
                <w:sz w:val="18"/>
                <w:szCs w:val="18"/>
              </w:rPr>
            </w:pPr>
            <w:r>
              <w:rPr>
                <w:rFonts w:ascii="Arial" w:hAnsi="Arial" w:cs="Arial"/>
                <w:sz w:val="18"/>
                <w:szCs w:val="18"/>
              </w:rPr>
              <w:t> </w:t>
            </w:r>
          </w:p>
        </w:tc>
        <w:tc>
          <w:tcPr>
            <w:tcW w:w="1249" w:type="dxa"/>
            <w:tcBorders>
              <w:top w:val="nil"/>
              <w:left w:val="nil"/>
              <w:bottom w:val="nil"/>
              <w:right w:val="nil"/>
            </w:tcBorders>
            <w:shd w:val="clear" w:color="FFFFFF" w:fill="FFFFFF"/>
            <w:vAlign w:val="bottom"/>
            <w:hideMark/>
          </w:tcPr>
          <w:p w14:paraId="7B68C5DB" w14:textId="77777777" w:rsidR="00A43992" w:rsidRDefault="00A43992" w:rsidP="007211E3">
            <w:pPr>
              <w:jc w:val="right"/>
              <w:rPr>
                <w:rFonts w:ascii="Arial" w:hAnsi="Arial" w:cs="Arial"/>
                <w:sz w:val="18"/>
                <w:szCs w:val="18"/>
              </w:rPr>
            </w:pPr>
            <w:r>
              <w:rPr>
                <w:rFonts w:ascii="Arial" w:hAnsi="Arial" w:cs="Arial"/>
                <w:sz w:val="18"/>
                <w:szCs w:val="18"/>
              </w:rPr>
              <w:t>$'000</w:t>
            </w:r>
          </w:p>
        </w:tc>
      </w:tr>
      <w:tr w:rsidR="00A43992" w14:paraId="748F7433" w14:textId="77777777" w:rsidTr="007211E3">
        <w:trPr>
          <w:trHeight w:val="240"/>
        </w:trPr>
        <w:tc>
          <w:tcPr>
            <w:tcW w:w="6353" w:type="dxa"/>
            <w:tcBorders>
              <w:top w:val="nil"/>
              <w:left w:val="nil"/>
              <w:bottom w:val="nil"/>
              <w:right w:val="nil"/>
            </w:tcBorders>
            <w:shd w:val="clear" w:color="FFFFFF" w:fill="FFFFFF"/>
            <w:noWrap/>
            <w:vAlign w:val="bottom"/>
            <w:hideMark/>
          </w:tcPr>
          <w:p w14:paraId="025A7B13" w14:textId="77777777" w:rsidR="00A43992" w:rsidRDefault="00A43992" w:rsidP="007211E3">
            <w:pPr>
              <w:rPr>
                <w:rFonts w:ascii="Arial" w:hAnsi="Arial" w:cs="Arial"/>
                <w:b/>
                <w:bCs/>
                <w:sz w:val="18"/>
                <w:szCs w:val="18"/>
                <w:u w:val="single"/>
              </w:rPr>
            </w:pPr>
            <w:r>
              <w:rPr>
                <w:rFonts w:ascii="Arial" w:hAnsi="Arial" w:cs="Arial"/>
                <w:b/>
                <w:bCs/>
                <w:sz w:val="18"/>
                <w:szCs w:val="18"/>
                <w:u w:val="single"/>
              </w:rPr>
              <w:t>Note 2.4A: Participant plan provisions</w:t>
            </w:r>
          </w:p>
        </w:tc>
        <w:tc>
          <w:tcPr>
            <w:tcW w:w="1249" w:type="dxa"/>
            <w:tcBorders>
              <w:top w:val="nil"/>
              <w:left w:val="nil"/>
              <w:bottom w:val="nil"/>
              <w:right w:val="nil"/>
            </w:tcBorders>
            <w:shd w:val="clear" w:color="FFFFFF" w:fill="FFFFFF"/>
            <w:noWrap/>
            <w:vAlign w:val="bottom"/>
            <w:hideMark/>
          </w:tcPr>
          <w:p w14:paraId="64304112" w14:textId="77777777" w:rsidR="00A43992" w:rsidRDefault="00A43992" w:rsidP="007211E3">
            <w:pPr>
              <w:rPr>
                <w:rFonts w:ascii="Arial" w:hAnsi="Arial" w:cs="Arial"/>
                <w:sz w:val="18"/>
                <w:szCs w:val="18"/>
              </w:rPr>
            </w:pPr>
            <w:r>
              <w:rPr>
                <w:rFonts w:ascii="Arial" w:hAnsi="Arial" w:cs="Arial"/>
                <w:sz w:val="18"/>
                <w:szCs w:val="18"/>
              </w:rPr>
              <w:t> </w:t>
            </w:r>
          </w:p>
        </w:tc>
        <w:tc>
          <w:tcPr>
            <w:tcW w:w="236" w:type="dxa"/>
            <w:tcBorders>
              <w:top w:val="nil"/>
              <w:left w:val="nil"/>
              <w:bottom w:val="nil"/>
              <w:right w:val="nil"/>
            </w:tcBorders>
            <w:shd w:val="clear" w:color="FFFFFF" w:fill="FFFFFF"/>
            <w:noWrap/>
            <w:vAlign w:val="bottom"/>
            <w:hideMark/>
          </w:tcPr>
          <w:p w14:paraId="2A3D4016" w14:textId="77777777" w:rsidR="00A43992" w:rsidRDefault="00A43992" w:rsidP="007211E3">
            <w:pPr>
              <w:rPr>
                <w:rFonts w:ascii="Arial" w:hAnsi="Arial" w:cs="Arial"/>
                <w:sz w:val="18"/>
                <w:szCs w:val="18"/>
              </w:rPr>
            </w:pPr>
            <w:r>
              <w:rPr>
                <w:rFonts w:ascii="Arial" w:hAnsi="Arial" w:cs="Arial"/>
                <w:sz w:val="18"/>
                <w:szCs w:val="18"/>
              </w:rPr>
              <w:t> </w:t>
            </w:r>
          </w:p>
        </w:tc>
        <w:tc>
          <w:tcPr>
            <w:tcW w:w="1249" w:type="dxa"/>
            <w:tcBorders>
              <w:top w:val="nil"/>
              <w:left w:val="nil"/>
              <w:bottom w:val="nil"/>
              <w:right w:val="nil"/>
            </w:tcBorders>
            <w:shd w:val="clear" w:color="FFFFFF" w:fill="FFFFFF"/>
            <w:noWrap/>
            <w:vAlign w:val="bottom"/>
            <w:hideMark/>
          </w:tcPr>
          <w:p w14:paraId="0AD04FBB" w14:textId="77777777" w:rsidR="00A43992" w:rsidRDefault="00A43992" w:rsidP="007211E3">
            <w:pPr>
              <w:rPr>
                <w:rFonts w:ascii="Arial" w:hAnsi="Arial" w:cs="Arial"/>
                <w:sz w:val="18"/>
                <w:szCs w:val="18"/>
              </w:rPr>
            </w:pPr>
            <w:r>
              <w:rPr>
                <w:rFonts w:ascii="Arial" w:hAnsi="Arial" w:cs="Arial"/>
                <w:sz w:val="18"/>
                <w:szCs w:val="18"/>
              </w:rPr>
              <w:t> </w:t>
            </w:r>
          </w:p>
        </w:tc>
      </w:tr>
      <w:tr w:rsidR="00A43992" w14:paraId="6247FCA0" w14:textId="77777777" w:rsidTr="007211E3">
        <w:trPr>
          <w:trHeight w:val="240"/>
        </w:trPr>
        <w:tc>
          <w:tcPr>
            <w:tcW w:w="6353" w:type="dxa"/>
            <w:tcBorders>
              <w:top w:val="nil"/>
              <w:left w:val="nil"/>
              <w:bottom w:val="nil"/>
              <w:right w:val="nil"/>
            </w:tcBorders>
            <w:shd w:val="clear" w:color="FFFFFF" w:fill="FFFFFF"/>
            <w:vAlign w:val="bottom"/>
            <w:hideMark/>
          </w:tcPr>
          <w:p w14:paraId="3E69BC5E" w14:textId="77777777" w:rsidR="00A43992" w:rsidRDefault="00A43992" w:rsidP="007211E3">
            <w:pPr>
              <w:ind w:firstLineChars="100" w:firstLine="180"/>
              <w:rPr>
                <w:rFonts w:ascii="Arial" w:hAnsi="Arial" w:cs="Arial"/>
                <w:sz w:val="18"/>
                <w:szCs w:val="18"/>
              </w:rPr>
            </w:pPr>
            <w:r>
              <w:rPr>
                <w:rFonts w:ascii="Arial" w:hAnsi="Arial" w:cs="Arial"/>
                <w:sz w:val="18"/>
                <w:szCs w:val="18"/>
              </w:rPr>
              <w:t>Participant plan provisions</w:t>
            </w:r>
          </w:p>
        </w:tc>
        <w:tc>
          <w:tcPr>
            <w:tcW w:w="1249" w:type="dxa"/>
            <w:tcBorders>
              <w:top w:val="nil"/>
              <w:left w:val="nil"/>
              <w:bottom w:val="nil"/>
              <w:right w:val="nil"/>
            </w:tcBorders>
            <w:shd w:val="clear" w:color="FFFFFF" w:fill="FFFFFF"/>
            <w:noWrap/>
            <w:vAlign w:val="bottom"/>
            <w:hideMark/>
          </w:tcPr>
          <w:p w14:paraId="796C3517" w14:textId="77777777" w:rsidR="00A43992" w:rsidRPr="00267088" w:rsidRDefault="00A43992" w:rsidP="007211E3">
            <w:pPr>
              <w:jc w:val="right"/>
              <w:rPr>
                <w:rFonts w:ascii="Arial" w:hAnsi="Arial" w:cs="Arial"/>
                <w:b/>
                <w:bCs/>
                <w:sz w:val="18"/>
                <w:szCs w:val="18"/>
              </w:rPr>
            </w:pPr>
            <w:r w:rsidRPr="00267088">
              <w:rPr>
                <w:rFonts w:ascii="Arial" w:hAnsi="Arial" w:cs="Arial"/>
                <w:b/>
                <w:bCs/>
                <w:sz w:val="18"/>
                <w:szCs w:val="18"/>
              </w:rPr>
              <w:t>215,852</w:t>
            </w:r>
          </w:p>
        </w:tc>
        <w:tc>
          <w:tcPr>
            <w:tcW w:w="236" w:type="dxa"/>
            <w:tcBorders>
              <w:top w:val="nil"/>
              <w:left w:val="nil"/>
              <w:bottom w:val="nil"/>
              <w:right w:val="nil"/>
            </w:tcBorders>
            <w:shd w:val="clear" w:color="FFFFFF" w:fill="FFFFFF"/>
            <w:noWrap/>
            <w:vAlign w:val="bottom"/>
            <w:hideMark/>
          </w:tcPr>
          <w:p w14:paraId="473DB67B" w14:textId="77777777" w:rsidR="00A43992" w:rsidRDefault="00A43992" w:rsidP="007211E3">
            <w:pPr>
              <w:rPr>
                <w:rFonts w:ascii="Arial" w:hAnsi="Arial" w:cs="Arial"/>
                <w:b/>
                <w:bCs/>
                <w:sz w:val="18"/>
                <w:szCs w:val="18"/>
              </w:rPr>
            </w:pPr>
            <w:r>
              <w:rPr>
                <w:rFonts w:ascii="Arial" w:hAnsi="Arial" w:cs="Arial"/>
                <w:b/>
                <w:bCs/>
                <w:sz w:val="18"/>
                <w:szCs w:val="18"/>
              </w:rPr>
              <w:t> </w:t>
            </w:r>
          </w:p>
        </w:tc>
        <w:tc>
          <w:tcPr>
            <w:tcW w:w="1249" w:type="dxa"/>
            <w:tcBorders>
              <w:top w:val="nil"/>
              <w:left w:val="nil"/>
              <w:bottom w:val="nil"/>
              <w:right w:val="nil"/>
            </w:tcBorders>
            <w:shd w:val="clear" w:color="FFFFFF" w:fill="FFFFFF"/>
            <w:noWrap/>
            <w:vAlign w:val="bottom"/>
            <w:hideMark/>
          </w:tcPr>
          <w:p w14:paraId="258E61BB" w14:textId="77777777" w:rsidR="00A43992" w:rsidRDefault="00A43992" w:rsidP="007211E3">
            <w:pPr>
              <w:jc w:val="right"/>
              <w:rPr>
                <w:rFonts w:ascii="Arial" w:hAnsi="Arial" w:cs="Arial"/>
                <w:sz w:val="18"/>
                <w:szCs w:val="18"/>
              </w:rPr>
            </w:pPr>
            <w:r>
              <w:rPr>
                <w:rFonts w:ascii="Arial" w:hAnsi="Arial" w:cs="Arial"/>
                <w:sz w:val="18"/>
                <w:szCs w:val="18"/>
              </w:rPr>
              <w:t>163,088</w:t>
            </w:r>
          </w:p>
        </w:tc>
      </w:tr>
      <w:tr w:rsidR="00A43992" w14:paraId="5075E172" w14:textId="77777777" w:rsidTr="007211E3">
        <w:trPr>
          <w:trHeight w:val="240"/>
        </w:trPr>
        <w:tc>
          <w:tcPr>
            <w:tcW w:w="6353" w:type="dxa"/>
            <w:tcBorders>
              <w:top w:val="nil"/>
              <w:left w:val="nil"/>
              <w:bottom w:val="nil"/>
              <w:right w:val="nil"/>
            </w:tcBorders>
            <w:shd w:val="clear" w:color="FFFFFF" w:fill="FFFFFF"/>
            <w:vAlign w:val="bottom"/>
            <w:hideMark/>
          </w:tcPr>
          <w:p w14:paraId="7EB38114" w14:textId="77777777" w:rsidR="00A43992" w:rsidRDefault="00A43992" w:rsidP="007211E3">
            <w:pPr>
              <w:rPr>
                <w:rFonts w:ascii="Arial" w:hAnsi="Arial" w:cs="Arial"/>
                <w:b/>
                <w:bCs/>
                <w:sz w:val="18"/>
                <w:szCs w:val="18"/>
              </w:rPr>
            </w:pPr>
            <w:r>
              <w:rPr>
                <w:rFonts w:ascii="Arial" w:hAnsi="Arial" w:cs="Arial"/>
                <w:b/>
                <w:bCs/>
                <w:sz w:val="18"/>
                <w:szCs w:val="18"/>
              </w:rPr>
              <w:t>Total participant plan provisions</w:t>
            </w:r>
          </w:p>
        </w:tc>
        <w:tc>
          <w:tcPr>
            <w:tcW w:w="1249" w:type="dxa"/>
            <w:tcBorders>
              <w:top w:val="single" w:sz="4" w:space="0" w:color="auto"/>
              <w:left w:val="nil"/>
              <w:bottom w:val="single" w:sz="4" w:space="0" w:color="auto"/>
              <w:right w:val="nil"/>
            </w:tcBorders>
            <w:shd w:val="clear" w:color="FFFFFF" w:fill="FFFFFF"/>
            <w:noWrap/>
            <w:vAlign w:val="bottom"/>
            <w:hideMark/>
          </w:tcPr>
          <w:p w14:paraId="476BDF3D" w14:textId="77777777" w:rsidR="00A43992" w:rsidRPr="00267088" w:rsidRDefault="00A43992" w:rsidP="007211E3">
            <w:pPr>
              <w:jc w:val="right"/>
              <w:rPr>
                <w:rFonts w:ascii="Arial" w:hAnsi="Arial" w:cs="Arial"/>
                <w:b/>
                <w:bCs/>
                <w:sz w:val="18"/>
                <w:szCs w:val="18"/>
              </w:rPr>
            </w:pPr>
            <w:r w:rsidRPr="00267088">
              <w:rPr>
                <w:rFonts w:ascii="Arial" w:hAnsi="Arial" w:cs="Arial"/>
                <w:b/>
                <w:bCs/>
                <w:sz w:val="18"/>
                <w:szCs w:val="18"/>
              </w:rPr>
              <w:t>215,852</w:t>
            </w:r>
          </w:p>
        </w:tc>
        <w:tc>
          <w:tcPr>
            <w:tcW w:w="236" w:type="dxa"/>
            <w:tcBorders>
              <w:top w:val="nil"/>
              <w:left w:val="nil"/>
              <w:bottom w:val="nil"/>
              <w:right w:val="nil"/>
            </w:tcBorders>
            <w:shd w:val="clear" w:color="FFFFFF" w:fill="FFFFFF"/>
            <w:noWrap/>
            <w:vAlign w:val="bottom"/>
            <w:hideMark/>
          </w:tcPr>
          <w:p w14:paraId="1060147C" w14:textId="77777777" w:rsidR="00A43992" w:rsidRDefault="00A43992" w:rsidP="007211E3">
            <w:pPr>
              <w:rPr>
                <w:rFonts w:ascii="Arial" w:hAnsi="Arial" w:cs="Arial"/>
                <w:sz w:val="18"/>
                <w:szCs w:val="18"/>
              </w:rPr>
            </w:pPr>
            <w:r>
              <w:rPr>
                <w:rFonts w:ascii="Arial" w:hAnsi="Arial" w:cs="Arial"/>
                <w:sz w:val="18"/>
                <w:szCs w:val="18"/>
              </w:rPr>
              <w:t> </w:t>
            </w:r>
          </w:p>
        </w:tc>
        <w:tc>
          <w:tcPr>
            <w:tcW w:w="1249" w:type="dxa"/>
            <w:tcBorders>
              <w:top w:val="single" w:sz="4" w:space="0" w:color="auto"/>
              <w:left w:val="nil"/>
              <w:bottom w:val="single" w:sz="4" w:space="0" w:color="auto"/>
              <w:right w:val="nil"/>
            </w:tcBorders>
            <w:shd w:val="clear" w:color="FFFFFF" w:fill="FFFFFF"/>
            <w:noWrap/>
            <w:vAlign w:val="bottom"/>
            <w:hideMark/>
          </w:tcPr>
          <w:p w14:paraId="50FE8D0C" w14:textId="77777777" w:rsidR="00A43992" w:rsidRDefault="00A43992" w:rsidP="007211E3">
            <w:pPr>
              <w:jc w:val="right"/>
              <w:rPr>
                <w:rFonts w:ascii="Arial" w:hAnsi="Arial" w:cs="Arial"/>
                <w:sz w:val="18"/>
                <w:szCs w:val="18"/>
              </w:rPr>
            </w:pPr>
            <w:r>
              <w:rPr>
                <w:rFonts w:ascii="Arial" w:hAnsi="Arial" w:cs="Arial"/>
                <w:sz w:val="18"/>
                <w:szCs w:val="18"/>
              </w:rPr>
              <w:t>163,088</w:t>
            </w:r>
          </w:p>
        </w:tc>
      </w:tr>
      <w:tr w:rsidR="00A43992" w14:paraId="0E10A228" w14:textId="77777777" w:rsidTr="007211E3">
        <w:trPr>
          <w:trHeight w:val="255"/>
        </w:trPr>
        <w:tc>
          <w:tcPr>
            <w:tcW w:w="6353" w:type="dxa"/>
            <w:tcBorders>
              <w:top w:val="nil"/>
              <w:left w:val="nil"/>
              <w:bottom w:val="nil"/>
              <w:right w:val="nil"/>
            </w:tcBorders>
            <w:shd w:val="clear" w:color="auto" w:fill="auto"/>
            <w:noWrap/>
            <w:vAlign w:val="bottom"/>
            <w:hideMark/>
          </w:tcPr>
          <w:p w14:paraId="5556B552" w14:textId="77777777" w:rsidR="00A43992" w:rsidRDefault="00A43992" w:rsidP="007211E3">
            <w:pPr>
              <w:jc w:val="right"/>
              <w:rPr>
                <w:rFonts w:ascii="Arial" w:hAnsi="Arial" w:cs="Arial"/>
                <w:sz w:val="18"/>
                <w:szCs w:val="18"/>
              </w:rPr>
            </w:pPr>
          </w:p>
        </w:tc>
        <w:tc>
          <w:tcPr>
            <w:tcW w:w="1249" w:type="dxa"/>
            <w:tcBorders>
              <w:top w:val="nil"/>
              <w:left w:val="nil"/>
              <w:bottom w:val="nil"/>
              <w:right w:val="nil"/>
            </w:tcBorders>
            <w:shd w:val="clear" w:color="auto" w:fill="auto"/>
            <w:noWrap/>
            <w:vAlign w:val="bottom"/>
            <w:hideMark/>
          </w:tcPr>
          <w:p w14:paraId="7A76DBA2" w14:textId="77777777" w:rsidR="00A43992" w:rsidRDefault="00A43992" w:rsidP="007211E3"/>
        </w:tc>
        <w:tc>
          <w:tcPr>
            <w:tcW w:w="236" w:type="dxa"/>
            <w:tcBorders>
              <w:top w:val="nil"/>
              <w:left w:val="nil"/>
              <w:bottom w:val="nil"/>
              <w:right w:val="nil"/>
            </w:tcBorders>
            <w:shd w:val="clear" w:color="auto" w:fill="auto"/>
            <w:noWrap/>
            <w:vAlign w:val="bottom"/>
            <w:hideMark/>
          </w:tcPr>
          <w:p w14:paraId="3CD4D5AE" w14:textId="77777777" w:rsidR="00A43992" w:rsidRDefault="00A43992" w:rsidP="007211E3"/>
        </w:tc>
        <w:tc>
          <w:tcPr>
            <w:tcW w:w="1249" w:type="dxa"/>
            <w:tcBorders>
              <w:top w:val="nil"/>
              <w:left w:val="nil"/>
              <w:bottom w:val="nil"/>
              <w:right w:val="nil"/>
            </w:tcBorders>
            <w:shd w:val="clear" w:color="auto" w:fill="auto"/>
            <w:noWrap/>
            <w:vAlign w:val="bottom"/>
            <w:hideMark/>
          </w:tcPr>
          <w:p w14:paraId="4C16498E" w14:textId="77777777" w:rsidR="00A43992" w:rsidRDefault="00A43992" w:rsidP="007211E3"/>
        </w:tc>
      </w:tr>
      <w:tr w:rsidR="00A43992" w14:paraId="6A6B1DB0" w14:textId="77777777" w:rsidTr="007211E3">
        <w:trPr>
          <w:trHeight w:val="960"/>
        </w:trPr>
        <w:tc>
          <w:tcPr>
            <w:tcW w:w="9087" w:type="dxa"/>
            <w:gridSpan w:val="4"/>
            <w:tcBorders>
              <w:top w:val="nil"/>
              <w:left w:val="nil"/>
              <w:bottom w:val="nil"/>
              <w:right w:val="nil"/>
            </w:tcBorders>
            <w:shd w:val="clear" w:color="FFFFFF" w:fill="FFFFFF"/>
            <w:hideMark/>
          </w:tcPr>
          <w:p w14:paraId="2F299CA4" w14:textId="77777777" w:rsidR="00A43992" w:rsidRDefault="00A43992" w:rsidP="007211E3">
            <w:pPr>
              <w:rPr>
                <w:rFonts w:ascii="Arial" w:hAnsi="Arial" w:cs="Arial"/>
                <w:sz w:val="18"/>
                <w:szCs w:val="18"/>
              </w:rPr>
            </w:pPr>
            <w:r>
              <w:rPr>
                <w:rFonts w:ascii="Arial" w:hAnsi="Arial" w:cs="Arial"/>
                <w:sz w:val="18"/>
                <w:szCs w:val="18"/>
              </w:rPr>
              <w:t>The valuation of the participant provision was undertaken as at 30 June 2016 by the Scheme Actuary.</w:t>
            </w:r>
            <w:r>
              <w:rPr>
                <w:rFonts w:ascii="Arial" w:hAnsi="Arial" w:cs="Arial"/>
                <w:sz w:val="18"/>
                <w:szCs w:val="18"/>
              </w:rPr>
              <w:br/>
              <w:t>All participant provisions are expected to be settled within 12 months.</w:t>
            </w:r>
            <w:r>
              <w:rPr>
                <w:rFonts w:ascii="Arial" w:hAnsi="Arial" w:cs="Arial"/>
                <w:sz w:val="18"/>
                <w:szCs w:val="18"/>
              </w:rPr>
              <w:br/>
              <w:t xml:space="preserve">No liability is recorded for any participant supports to be provided in future reporting periods as the relevant recognition criteria are not met. </w:t>
            </w:r>
          </w:p>
        </w:tc>
      </w:tr>
      <w:tr w:rsidR="00A43992" w14:paraId="19ABF6BC" w14:textId="77777777" w:rsidTr="007211E3">
        <w:trPr>
          <w:trHeight w:val="255"/>
        </w:trPr>
        <w:tc>
          <w:tcPr>
            <w:tcW w:w="6353" w:type="dxa"/>
            <w:tcBorders>
              <w:top w:val="nil"/>
              <w:left w:val="nil"/>
              <w:bottom w:val="nil"/>
              <w:right w:val="nil"/>
            </w:tcBorders>
            <w:shd w:val="clear" w:color="FFFFFF" w:fill="FFFFFF"/>
            <w:noWrap/>
            <w:vAlign w:val="bottom"/>
            <w:hideMark/>
          </w:tcPr>
          <w:p w14:paraId="2A5EC82C" w14:textId="77777777" w:rsidR="00A43992" w:rsidRDefault="00A43992" w:rsidP="007211E3">
            <w:pPr>
              <w:rPr>
                <w:rFonts w:ascii="Arial" w:hAnsi="Arial" w:cs="Arial"/>
                <w:b/>
                <w:bCs/>
                <w:sz w:val="18"/>
                <w:szCs w:val="18"/>
                <w:u w:val="single"/>
              </w:rPr>
            </w:pPr>
          </w:p>
        </w:tc>
        <w:tc>
          <w:tcPr>
            <w:tcW w:w="1249" w:type="dxa"/>
            <w:tcBorders>
              <w:top w:val="nil"/>
              <w:left w:val="nil"/>
              <w:bottom w:val="nil"/>
              <w:right w:val="nil"/>
            </w:tcBorders>
            <w:shd w:val="clear" w:color="FFFFFF" w:fill="FFFFFF"/>
            <w:noWrap/>
            <w:vAlign w:val="bottom"/>
            <w:hideMark/>
          </w:tcPr>
          <w:p w14:paraId="113214A8" w14:textId="77777777" w:rsidR="00A43992" w:rsidRDefault="00A43992" w:rsidP="007211E3">
            <w:pPr>
              <w:rPr>
                <w:rFonts w:ascii="Arial" w:hAnsi="Arial" w:cs="Arial"/>
                <w:sz w:val="18"/>
                <w:szCs w:val="18"/>
              </w:rPr>
            </w:pPr>
            <w:r>
              <w:rPr>
                <w:rFonts w:ascii="Arial" w:hAnsi="Arial" w:cs="Arial"/>
                <w:sz w:val="18"/>
                <w:szCs w:val="18"/>
              </w:rPr>
              <w:t> </w:t>
            </w:r>
          </w:p>
        </w:tc>
        <w:tc>
          <w:tcPr>
            <w:tcW w:w="236" w:type="dxa"/>
            <w:tcBorders>
              <w:top w:val="nil"/>
              <w:left w:val="nil"/>
              <w:bottom w:val="nil"/>
              <w:right w:val="nil"/>
            </w:tcBorders>
            <w:shd w:val="clear" w:color="FFFFFF" w:fill="FFFFFF"/>
            <w:noWrap/>
            <w:vAlign w:val="bottom"/>
            <w:hideMark/>
          </w:tcPr>
          <w:p w14:paraId="494F2E3F" w14:textId="77777777" w:rsidR="00A43992" w:rsidRDefault="00A43992" w:rsidP="007211E3">
            <w:pPr>
              <w:rPr>
                <w:rFonts w:ascii="Arial" w:hAnsi="Arial" w:cs="Arial"/>
                <w:sz w:val="18"/>
                <w:szCs w:val="18"/>
              </w:rPr>
            </w:pPr>
            <w:r>
              <w:rPr>
                <w:rFonts w:ascii="Arial" w:hAnsi="Arial" w:cs="Arial"/>
                <w:sz w:val="18"/>
                <w:szCs w:val="18"/>
              </w:rPr>
              <w:t> </w:t>
            </w:r>
          </w:p>
        </w:tc>
        <w:tc>
          <w:tcPr>
            <w:tcW w:w="1249" w:type="dxa"/>
            <w:tcBorders>
              <w:top w:val="nil"/>
              <w:left w:val="nil"/>
              <w:bottom w:val="nil"/>
              <w:right w:val="nil"/>
            </w:tcBorders>
            <w:shd w:val="clear" w:color="FFFFFF" w:fill="FFFFFF"/>
            <w:noWrap/>
            <w:vAlign w:val="bottom"/>
            <w:hideMark/>
          </w:tcPr>
          <w:p w14:paraId="7DAE1015" w14:textId="77777777" w:rsidR="00A43992" w:rsidRDefault="00A43992" w:rsidP="007211E3">
            <w:pPr>
              <w:rPr>
                <w:rFonts w:ascii="Arial" w:hAnsi="Arial" w:cs="Arial"/>
                <w:sz w:val="18"/>
                <w:szCs w:val="18"/>
              </w:rPr>
            </w:pPr>
            <w:r>
              <w:rPr>
                <w:rFonts w:ascii="Arial" w:hAnsi="Arial" w:cs="Arial"/>
                <w:sz w:val="18"/>
                <w:szCs w:val="18"/>
              </w:rPr>
              <w:t> </w:t>
            </w:r>
          </w:p>
        </w:tc>
      </w:tr>
      <w:tr w:rsidR="00A43992" w14:paraId="5DD5C539" w14:textId="77777777" w:rsidTr="007211E3">
        <w:trPr>
          <w:trHeight w:val="255"/>
        </w:trPr>
        <w:tc>
          <w:tcPr>
            <w:tcW w:w="6353" w:type="dxa"/>
            <w:tcBorders>
              <w:top w:val="nil"/>
              <w:left w:val="nil"/>
              <w:bottom w:val="nil"/>
              <w:right w:val="nil"/>
            </w:tcBorders>
            <w:shd w:val="clear" w:color="FFFFFF" w:fill="FFFFFF"/>
            <w:noWrap/>
            <w:vAlign w:val="bottom"/>
            <w:hideMark/>
          </w:tcPr>
          <w:p w14:paraId="75253C92" w14:textId="77777777" w:rsidR="00A43992" w:rsidRDefault="00A43992" w:rsidP="007211E3">
            <w:pPr>
              <w:rPr>
                <w:rFonts w:ascii="Arial" w:hAnsi="Arial" w:cs="Arial"/>
                <w:b/>
                <w:bCs/>
                <w:sz w:val="18"/>
                <w:szCs w:val="18"/>
                <w:u w:val="single"/>
              </w:rPr>
            </w:pPr>
            <w:r>
              <w:rPr>
                <w:rFonts w:ascii="Arial" w:hAnsi="Arial" w:cs="Arial"/>
                <w:b/>
                <w:bCs/>
                <w:sz w:val="18"/>
                <w:szCs w:val="18"/>
                <w:u w:val="single"/>
              </w:rPr>
              <w:t>Participant plan commitments payable</w:t>
            </w:r>
          </w:p>
        </w:tc>
        <w:tc>
          <w:tcPr>
            <w:tcW w:w="1249" w:type="dxa"/>
            <w:tcBorders>
              <w:top w:val="nil"/>
              <w:left w:val="nil"/>
              <w:bottom w:val="nil"/>
              <w:right w:val="nil"/>
            </w:tcBorders>
            <w:shd w:val="clear" w:color="FFFFFF" w:fill="FFFFFF"/>
            <w:noWrap/>
            <w:vAlign w:val="bottom"/>
            <w:hideMark/>
          </w:tcPr>
          <w:p w14:paraId="3091A8AC" w14:textId="77777777" w:rsidR="00A43992" w:rsidRDefault="00A43992" w:rsidP="007211E3">
            <w:pPr>
              <w:rPr>
                <w:rFonts w:ascii="Arial" w:hAnsi="Arial" w:cs="Arial"/>
                <w:sz w:val="18"/>
                <w:szCs w:val="18"/>
              </w:rPr>
            </w:pPr>
            <w:r>
              <w:rPr>
                <w:rFonts w:ascii="Arial" w:hAnsi="Arial" w:cs="Arial"/>
                <w:sz w:val="18"/>
                <w:szCs w:val="18"/>
              </w:rPr>
              <w:t> </w:t>
            </w:r>
          </w:p>
        </w:tc>
        <w:tc>
          <w:tcPr>
            <w:tcW w:w="236" w:type="dxa"/>
            <w:tcBorders>
              <w:top w:val="nil"/>
              <w:left w:val="nil"/>
              <w:bottom w:val="nil"/>
              <w:right w:val="nil"/>
            </w:tcBorders>
            <w:shd w:val="clear" w:color="FFFFFF" w:fill="FFFFFF"/>
            <w:noWrap/>
            <w:vAlign w:val="bottom"/>
            <w:hideMark/>
          </w:tcPr>
          <w:p w14:paraId="5F009D3C" w14:textId="77777777" w:rsidR="00A43992" w:rsidRDefault="00A43992" w:rsidP="007211E3">
            <w:pPr>
              <w:rPr>
                <w:rFonts w:ascii="Arial" w:hAnsi="Arial" w:cs="Arial"/>
                <w:sz w:val="18"/>
                <w:szCs w:val="18"/>
              </w:rPr>
            </w:pPr>
            <w:r>
              <w:rPr>
                <w:rFonts w:ascii="Arial" w:hAnsi="Arial" w:cs="Arial"/>
                <w:sz w:val="18"/>
                <w:szCs w:val="18"/>
              </w:rPr>
              <w:t> </w:t>
            </w:r>
          </w:p>
        </w:tc>
        <w:tc>
          <w:tcPr>
            <w:tcW w:w="1249" w:type="dxa"/>
            <w:tcBorders>
              <w:top w:val="nil"/>
              <w:left w:val="nil"/>
              <w:bottom w:val="nil"/>
              <w:right w:val="nil"/>
            </w:tcBorders>
            <w:shd w:val="clear" w:color="FFFFFF" w:fill="FFFFFF"/>
            <w:noWrap/>
            <w:vAlign w:val="bottom"/>
            <w:hideMark/>
          </w:tcPr>
          <w:p w14:paraId="359CDCF7" w14:textId="77777777" w:rsidR="00A43992" w:rsidRDefault="00A43992" w:rsidP="007211E3">
            <w:pPr>
              <w:rPr>
                <w:rFonts w:ascii="Arial" w:hAnsi="Arial" w:cs="Arial"/>
                <w:sz w:val="18"/>
                <w:szCs w:val="18"/>
              </w:rPr>
            </w:pPr>
            <w:r>
              <w:rPr>
                <w:rFonts w:ascii="Arial" w:hAnsi="Arial" w:cs="Arial"/>
                <w:sz w:val="18"/>
                <w:szCs w:val="18"/>
              </w:rPr>
              <w:t> </w:t>
            </w:r>
          </w:p>
        </w:tc>
      </w:tr>
      <w:tr w:rsidR="00A43992" w14:paraId="56A60AA2" w14:textId="77777777" w:rsidTr="007211E3">
        <w:trPr>
          <w:trHeight w:val="255"/>
        </w:trPr>
        <w:tc>
          <w:tcPr>
            <w:tcW w:w="6353" w:type="dxa"/>
            <w:tcBorders>
              <w:top w:val="nil"/>
              <w:left w:val="nil"/>
              <w:bottom w:val="nil"/>
              <w:right w:val="nil"/>
            </w:tcBorders>
            <w:shd w:val="clear" w:color="FFFFFF" w:fill="FFFFFF"/>
            <w:vAlign w:val="bottom"/>
            <w:hideMark/>
          </w:tcPr>
          <w:p w14:paraId="6CFBFF36" w14:textId="77777777" w:rsidR="00A43992" w:rsidRDefault="00A43992" w:rsidP="007211E3">
            <w:pPr>
              <w:ind w:firstLineChars="100" w:firstLine="180"/>
              <w:rPr>
                <w:rFonts w:ascii="Arial" w:hAnsi="Arial" w:cs="Arial"/>
                <w:sz w:val="18"/>
                <w:szCs w:val="18"/>
              </w:rPr>
            </w:pPr>
            <w:r>
              <w:rPr>
                <w:rFonts w:ascii="Arial" w:hAnsi="Arial" w:cs="Arial"/>
                <w:sz w:val="18"/>
                <w:szCs w:val="18"/>
              </w:rPr>
              <w:t>Within 1 year</w:t>
            </w:r>
          </w:p>
        </w:tc>
        <w:tc>
          <w:tcPr>
            <w:tcW w:w="1249" w:type="dxa"/>
            <w:tcBorders>
              <w:top w:val="nil"/>
              <w:left w:val="nil"/>
              <w:bottom w:val="nil"/>
              <w:right w:val="nil"/>
            </w:tcBorders>
            <w:shd w:val="clear" w:color="FFFFFF" w:fill="FFFFFF"/>
            <w:noWrap/>
            <w:vAlign w:val="bottom"/>
            <w:hideMark/>
          </w:tcPr>
          <w:p w14:paraId="1A7A9CDA" w14:textId="77777777" w:rsidR="00A43992" w:rsidRDefault="00A43992" w:rsidP="007211E3">
            <w:pPr>
              <w:jc w:val="right"/>
              <w:rPr>
                <w:rFonts w:ascii="Arial" w:hAnsi="Arial" w:cs="Arial"/>
                <w:b/>
                <w:bCs/>
                <w:sz w:val="18"/>
                <w:szCs w:val="18"/>
              </w:rPr>
            </w:pPr>
            <w:r>
              <w:rPr>
                <w:rFonts w:ascii="Arial" w:hAnsi="Arial" w:cs="Arial"/>
                <w:b/>
                <w:bCs/>
                <w:sz w:val="18"/>
                <w:szCs w:val="18"/>
              </w:rPr>
              <w:t>700,724</w:t>
            </w:r>
          </w:p>
        </w:tc>
        <w:tc>
          <w:tcPr>
            <w:tcW w:w="236" w:type="dxa"/>
            <w:tcBorders>
              <w:top w:val="nil"/>
              <w:left w:val="nil"/>
              <w:bottom w:val="nil"/>
              <w:right w:val="nil"/>
            </w:tcBorders>
            <w:shd w:val="clear" w:color="FFFFFF" w:fill="FFFFFF"/>
            <w:noWrap/>
            <w:vAlign w:val="bottom"/>
            <w:hideMark/>
          </w:tcPr>
          <w:p w14:paraId="6CE00FC4" w14:textId="77777777" w:rsidR="00A43992" w:rsidRDefault="00A43992" w:rsidP="007211E3">
            <w:pPr>
              <w:rPr>
                <w:rFonts w:ascii="Arial" w:hAnsi="Arial" w:cs="Arial"/>
                <w:b/>
                <w:bCs/>
                <w:sz w:val="18"/>
                <w:szCs w:val="18"/>
              </w:rPr>
            </w:pPr>
            <w:r>
              <w:rPr>
                <w:rFonts w:ascii="Arial" w:hAnsi="Arial" w:cs="Arial"/>
                <w:b/>
                <w:bCs/>
                <w:sz w:val="18"/>
                <w:szCs w:val="18"/>
              </w:rPr>
              <w:t> </w:t>
            </w:r>
          </w:p>
        </w:tc>
        <w:tc>
          <w:tcPr>
            <w:tcW w:w="1249" w:type="dxa"/>
            <w:tcBorders>
              <w:top w:val="nil"/>
              <w:left w:val="nil"/>
              <w:bottom w:val="nil"/>
              <w:right w:val="nil"/>
            </w:tcBorders>
            <w:shd w:val="clear" w:color="FFFFFF" w:fill="FFFFFF"/>
            <w:noWrap/>
            <w:vAlign w:val="bottom"/>
            <w:hideMark/>
          </w:tcPr>
          <w:p w14:paraId="6AC9B15C" w14:textId="77777777" w:rsidR="00A43992" w:rsidRDefault="00A43992" w:rsidP="007211E3">
            <w:pPr>
              <w:jc w:val="right"/>
              <w:rPr>
                <w:rFonts w:ascii="Arial" w:hAnsi="Arial" w:cs="Arial"/>
                <w:sz w:val="18"/>
                <w:szCs w:val="18"/>
              </w:rPr>
            </w:pPr>
            <w:r>
              <w:rPr>
                <w:rFonts w:ascii="Arial" w:hAnsi="Arial" w:cs="Arial"/>
                <w:sz w:val="18"/>
                <w:szCs w:val="18"/>
              </w:rPr>
              <w:t>332,467</w:t>
            </w:r>
          </w:p>
        </w:tc>
      </w:tr>
      <w:tr w:rsidR="00A43992" w14:paraId="55336D78" w14:textId="77777777" w:rsidTr="007211E3">
        <w:trPr>
          <w:trHeight w:val="255"/>
        </w:trPr>
        <w:tc>
          <w:tcPr>
            <w:tcW w:w="6353" w:type="dxa"/>
            <w:tcBorders>
              <w:top w:val="nil"/>
              <w:left w:val="nil"/>
              <w:bottom w:val="nil"/>
              <w:right w:val="nil"/>
            </w:tcBorders>
            <w:shd w:val="clear" w:color="FFFFFF" w:fill="FFFFFF"/>
            <w:vAlign w:val="bottom"/>
            <w:hideMark/>
          </w:tcPr>
          <w:p w14:paraId="3AF2DE91" w14:textId="77777777" w:rsidR="00A43992" w:rsidRDefault="00A43992" w:rsidP="007211E3">
            <w:pPr>
              <w:ind w:firstLineChars="100" w:firstLine="180"/>
              <w:rPr>
                <w:rFonts w:ascii="Arial" w:hAnsi="Arial" w:cs="Arial"/>
                <w:sz w:val="18"/>
                <w:szCs w:val="18"/>
              </w:rPr>
            </w:pPr>
            <w:r>
              <w:rPr>
                <w:rFonts w:ascii="Arial" w:hAnsi="Arial" w:cs="Arial"/>
                <w:sz w:val="18"/>
                <w:szCs w:val="18"/>
              </w:rPr>
              <w:t>Between 1 to 5 years</w:t>
            </w:r>
          </w:p>
        </w:tc>
        <w:tc>
          <w:tcPr>
            <w:tcW w:w="1249" w:type="dxa"/>
            <w:tcBorders>
              <w:top w:val="nil"/>
              <w:left w:val="nil"/>
              <w:bottom w:val="nil"/>
              <w:right w:val="nil"/>
            </w:tcBorders>
            <w:shd w:val="clear" w:color="FFFFFF" w:fill="FFFFFF"/>
            <w:noWrap/>
            <w:vAlign w:val="bottom"/>
            <w:hideMark/>
          </w:tcPr>
          <w:p w14:paraId="125121DE" w14:textId="77777777" w:rsidR="00A43992" w:rsidRDefault="00A43992" w:rsidP="007211E3">
            <w:pPr>
              <w:jc w:val="right"/>
              <w:rPr>
                <w:rFonts w:ascii="Arial" w:hAnsi="Arial" w:cs="Arial"/>
                <w:b/>
                <w:bCs/>
                <w:sz w:val="18"/>
                <w:szCs w:val="18"/>
              </w:rPr>
            </w:pPr>
            <w:r>
              <w:rPr>
                <w:rFonts w:ascii="Arial" w:hAnsi="Arial" w:cs="Arial"/>
                <w:b/>
                <w:bCs/>
                <w:sz w:val="18"/>
                <w:szCs w:val="18"/>
              </w:rPr>
              <w:t>141,553</w:t>
            </w:r>
          </w:p>
        </w:tc>
        <w:tc>
          <w:tcPr>
            <w:tcW w:w="236" w:type="dxa"/>
            <w:tcBorders>
              <w:top w:val="nil"/>
              <w:left w:val="nil"/>
              <w:bottom w:val="nil"/>
              <w:right w:val="nil"/>
            </w:tcBorders>
            <w:shd w:val="clear" w:color="FFFFFF" w:fill="FFFFFF"/>
            <w:noWrap/>
            <w:vAlign w:val="bottom"/>
            <w:hideMark/>
          </w:tcPr>
          <w:p w14:paraId="4D8CF62C" w14:textId="77777777" w:rsidR="00A43992" w:rsidRDefault="00A43992" w:rsidP="007211E3">
            <w:pPr>
              <w:rPr>
                <w:rFonts w:ascii="Arial" w:hAnsi="Arial" w:cs="Arial"/>
                <w:b/>
                <w:bCs/>
                <w:sz w:val="18"/>
                <w:szCs w:val="18"/>
              </w:rPr>
            </w:pPr>
            <w:r>
              <w:rPr>
                <w:rFonts w:ascii="Arial" w:hAnsi="Arial" w:cs="Arial"/>
                <w:b/>
                <w:bCs/>
                <w:sz w:val="18"/>
                <w:szCs w:val="18"/>
              </w:rPr>
              <w:t> </w:t>
            </w:r>
          </w:p>
        </w:tc>
        <w:tc>
          <w:tcPr>
            <w:tcW w:w="1249" w:type="dxa"/>
            <w:tcBorders>
              <w:top w:val="nil"/>
              <w:left w:val="nil"/>
              <w:bottom w:val="nil"/>
              <w:right w:val="nil"/>
            </w:tcBorders>
            <w:shd w:val="clear" w:color="FFFFFF" w:fill="FFFFFF"/>
            <w:noWrap/>
            <w:vAlign w:val="bottom"/>
            <w:hideMark/>
          </w:tcPr>
          <w:p w14:paraId="33CCDC7D" w14:textId="77777777" w:rsidR="00A43992" w:rsidRDefault="00A43992" w:rsidP="007211E3">
            <w:pPr>
              <w:jc w:val="right"/>
              <w:rPr>
                <w:rFonts w:ascii="Arial" w:hAnsi="Arial" w:cs="Arial"/>
                <w:sz w:val="18"/>
                <w:szCs w:val="18"/>
              </w:rPr>
            </w:pPr>
            <w:r>
              <w:rPr>
                <w:rFonts w:ascii="Arial" w:hAnsi="Arial" w:cs="Arial"/>
                <w:sz w:val="18"/>
                <w:szCs w:val="18"/>
              </w:rPr>
              <w:t>439</w:t>
            </w:r>
          </w:p>
        </w:tc>
      </w:tr>
      <w:tr w:rsidR="00A43992" w14:paraId="01009DF5" w14:textId="77777777" w:rsidTr="007211E3">
        <w:trPr>
          <w:trHeight w:val="255"/>
        </w:trPr>
        <w:tc>
          <w:tcPr>
            <w:tcW w:w="6353" w:type="dxa"/>
            <w:tcBorders>
              <w:top w:val="nil"/>
              <w:left w:val="nil"/>
              <w:bottom w:val="nil"/>
              <w:right w:val="nil"/>
            </w:tcBorders>
            <w:shd w:val="clear" w:color="FFFFFF" w:fill="FFFFFF"/>
            <w:vAlign w:val="bottom"/>
            <w:hideMark/>
          </w:tcPr>
          <w:p w14:paraId="30FB6811" w14:textId="77777777" w:rsidR="00A43992" w:rsidRDefault="00A43992" w:rsidP="007211E3">
            <w:pPr>
              <w:rPr>
                <w:rFonts w:ascii="Arial" w:hAnsi="Arial" w:cs="Arial"/>
                <w:b/>
                <w:bCs/>
                <w:sz w:val="18"/>
                <w:szCs w:val="18"/>
              </w:rPr>
            </w:pPr>
            <w:r>
              <w:rPr>
                <w:rFonts w:ascii="Arial" w:hAnsi="Arial" w:cs="Arial"/>
                <w:b/>
                <w:bCs/>
                <w:sz w:val="18"/>
                <w:szCs w:val="18"/>
              </w:rPr>
              <w:t>Total participant plan commitments payable (</w:t>
            </w:r>
            <w:proofErr w:type="spellStart"/>
            <w:r>
              <w:rPr>
                <w:rFonts w:ascii="Arial" w:hAnsi="Arial" w:cs="Arial"/>
                <w:b/>
                <w:bCs/>
                <w:sz w:val="18"/>
                <w:szCs w:val="18"/>
              </w:rPr>
              <w:t>inc.</w:t>
            </w:r>
            <w:proofErr w:type="spellEnd"/>
            <w:r>
              <w:rPr>
                <w:rFonts w:ascii="Arial" w:hAnsi="Arial" w:cs="Arial"/>
                <w:b/>
                <w:bCs/>
                <w:sz w:val="18"/>
                <w:szCs w:val="18"/>
              </w:rPr>
              <w:t xml:space="preserve"> GST)</w:t>
            </w:r>
          </w:p>
        </w:tc>
        <w:tc>
          <w:tcPr>
            <w:tcW w:w="1249" w:type="dxa"/>
            <w:tcBorders>
              <w:top w:val="single" w:sz="4" w:space="0" w:color="auto"/>
              <w:left w:val="nil"/>
              <w:bottom w:val="single" w:sz="4" w:space="0" w:color="auto"/>
              <w:right w:val="nil"/>
            </w:tcBorders>
            <w:shd w:val="clear" w:color="FFFFFF" w:fill="FFFFFF"/>
            <w:noWrap/>
            <w:vAlign w:val="bottom"/>
            <w:hideMark/>
          </w:tcPr>
          <w:p w14:paraId="37D414FD" w14:textId="77777777" w:rsidR="00A43992" w:rsidRDefault="00A43992" w:rsidP="007211E3">
            <w:pPr>
              <w:jc w:val="right"/>
              <w:rPr>
                <w:rFonts w:ascii="Arial" w:hAnsi="Arial" w:cs="Arial"/>
                <w:b/>
                <w:bCs/>
                <w:sz w:val="18"/>
                <w:szCs w:val="18"/>
              </w:rPr>
            </w:pPr>
            <w:r>
              <w:rPr>
                <w:rFonts w:ascii="Arial" w:hAnsi="Arial" w:cs="Arial"/>
                <w:b/>
                <w:bCs/>
                <w:sz w:val="18"/>
                <w:szCs w:val="18"/>
              </w:rPr>
              <w:t>842,277</w:t>
            </w:r>
          </w:p>
        </w:tc>
        <w:tc>
          <w:tcPr>
            <w:tcW w:w="236" w:type="dxa"/>
            <w:tcBorders>
              <w:top w:val="nil"/>
              <w:left w:val="nil"/>
              <w:bottom w:val="nil"/>
              <w:right w:val="nil"/>
            </w:tcBorders>
            <w:shd w:val="clear" w:color="FFFFFF" w:fill="FFFFFF"/>
            <w:noWrap/>
            <w:vAlign w:val="bottom"/>
            <w:hideMark/>
          </w:tcPr>
          <w:p w14:paraId="5E360C51" w14:textId="77777777" w:rsidR="00A43992" w:rsidRDefault="00A43992" w:rsidP="007211E3">
            <w:pPr>
              <w:rPr>
                <w:rFonts w:ascii="Arial" w:hAnsi="Arial" w:cs="Arial"/>
                <w:sz w:val="18"/>
                <w:szCs w:val="18"/>
              </w:rPr>
            </w:pPr>
            <w:r>
              <w:rPr>
                <w:rFonts w:ascii="Arial" w:hAnsi="Arial" w:cs="Arial"/>
                <w:sz w:val="18"/>
                <w:szCs w:val="18"/>
              </w:rPr>
              <w:t> </w:t>
            </w:r>
          </w:p>
        </w:tc>
        <w:tc>
          <w:tcPr>
            <w:tcW w:w="1249" w:type="dxa"/>
            <w:tcBorders>
              <w:top w:val="single" w:sz="4" w:space="0" w:color="auto"/>
              <w:left w:val="nil"/>
              <w:bottom w:val="single" w:sz="4" w:space="0" w:color="auto"/>
              <w:right w:val="nil"/>
            </w:tcBorders>
            <w:shd w:val="clear" w:color="FFFFFF" w:fill="FFFFFF"/>
            <w:noWrap/>
            <w:vAlign w:val="bottom"/>
            <w:hideMark/>
          </w:tcPr>
          <w:p w14:paraId="5A837A88" w14:textId="77777777" w:rsidR="00A43992" w:rsidRDefault="00A43992" w:rsidP="007211E3">
            <w:pPr>
              <w:jc w:val="right"/>
              <w:rPr>
                <w:rFonts w:ascii="Arial" w:hAnsi="Arial" w:cs="Arial"/>
                <w:sz w:val="18"/>
                <w:szCs w:val="18"/>
              </w:rPr>
            </w:pPr>
            <w:r>
              <w:rPr>
                <w:rFonts w:ascii="Arial" w:hAnsi="Arial" w:cs="Arial"/>
                <w:sz w:val="18"/>
                <w:szCs w:val="18"/>
              </w:rPr>
              <w:t>332,906</w:t>
            </w:r>
          </w:p>
        </w:tc>
      </w:tr>
      <w:tr w:rsidR="00A43992" w14:paraId="62B7C2AE" w14:textId="77777777" w:rsidTr="007211E3">
        <w:trPr>
          <w:trHeight w:val="255"/>
        </w:trPr>
        <w:tc>
          <w:tcPr>
            <w:tcW w:w="6353" w:type="dxa"/>
            <w:tcBorders>
              <w:top w:val="nil"/>
              <w:left w:val="nil"/>
              <w:bottom w:val="nil"/>
              <w:right w:val="nil"/>
            </w:tcBorders>
            <w:shd w:val="clear" w:color="FFFFFF" w:fill="FFFFFF"/>
            <w:vAlign w:val="bottom"/>
            <w:hideMark/>
          </w:tcPr>
          <w:p w14:paraId="0FB87EB9" w14:textId="77777777" w:rsidR="00A43992" w:rsidRDefault="00A43992" w:rsidP="007211E3">
            <w:pPr>
              <w:ind w:firstLineChars="100" w:firstLine="180"/>
              <w:rPr>
                <w:rFonts w:ascii="Arial" w:hAnsi="Arial" w:cs="Arial"/>
                <w:sz w:val="18"/>
                <w:szCs w:val="18"/>
              </w:rPr>
            </w:pPr>
            <w:r>
              <w:rPr>
                <w:rFonts w:ascii="Arial" w:hAnsi="Arial" w:cs="Arial"/>
                <w:sz w:val="18"/>
                <w:szCs w:val="18"/>
              </w:rPr>
              <w:t>Less GST recoverable on participant plan commitments</w:t>
            </w:r>
          </w:p>
        </w:tc>
        <w:tc>
          <w:tcPr>
            <w:tcW w:w="1249" w:type="dxa"/>
            <w:tcBorders>
              <w:top w:val="nil"/>
              <w:left w:val="nil"/>
              <w:bottom w:val="nil"/>
              <w:right w:val="nil"/>
            </w:tcBorders>
            <w:shd w:val="clear" w:color="auto" w:fill="auto"/>
            <w:vAlign w:val="bottom"/>
            <w:hideMark/>
          </w:tcPr>
          <w:p w14:paraId="33E233F5" w14:textId="77777777" w:rsidR="00A43992" w:rsidRDefault="00A43992" w:rsidP="007211E3">
            <w:pPr>
              <w:rPr>
                <w:rFonts w:ascii="Arial" w:hAnsi="Arial" w:cs="Arial"/>
                <w:b/>
                <w:bCs/>
                <w:sz w:val="18"/>
                <w:szCs w:val="18"/>
              </w:rPr>
            </w:pPr>
            <w:r>
              <w:rPr>
                <w:rFonts w:ascii="Arial" w:hAnsi="Arial" w:cs="Arial"/>
                <w:b/>
                <w:bCs/>
                <w:sz w:val="18"/>
                <w:szCs w:val="18"/>
              </w:rPr>
              <w:t xml:space="preserve">            (958)</w:t>
            </w:r>
          </w:p>
        </w:tc>
        <w:tc>
          <w:tcPr>
            <w:tcW w:w="236" w:type="dxa"/>
            <w:tcBorders>
              <w:top w:val="nil"/>
              <w:left w:val="nil"/>
              <w:bottom w:val="nil"/>
              <w:right w:val="nil"/>
            </w:tcBorders>
            <w:shd w:val="clear" w:color="FFFFFF" w:fill="FFFFFF"/>
            <w:noWrap/>
            <w:vAlign w:val="bottom"/>
            <w:hideMark/>
          </w:tcPr>
          <w:p w14:paraId="07F01E8E" w14:textId="77777777" w:rsidR="00A43992" w:rsidRDefault="00A43992" w:rsidP="007211E3">
            <w:pPr>
              <w:rPr>
                <w:rFonts w:ascii="Arial" w:hAnsi="Arial" w:cs="Arial"/>
                <w:sz w:val="18"/>
                <w:szCs w:val="18"/>
              </w:rPr>
            </w:pPr>
            <w:r>
              <w:rPr>
                <w:rFonts w:ascii="Arial" w:hAnsi="Arial" w:cs="Arial"/>
                <w:sz w:val="18"/>
                <w:szCs w:val="18"/>
              </w:rPr>
              <w:t> </w:t>
            </w:r>
          </w:p>
        </w:tc>
        <w:tc>
          <w:tcPr>
            <w:tcW w:w="1249" w:type="dxa"/>
            <w:tcBorders>
              <w:top w:val="nil"/>
              <w:left w:val="nil"/>
              <w:bottom w:val="nil"/>
              <w:right w:val="nil"/>
            </w:tcBorders>
            <w:shd w:val="clear" w:color="FFFFFF" w:fill="FFFFFF"/>
            <w:noWrap/>
            <w:vAlign w:val="bottom"/>
            <w:hideMark/>
          </w:tcPr>
          <w:p w14:paraId="21D0CF91" w14:textId="77777777" w:rsidR="00A43992" w:rsidRDefault="00A43992" w:rsidP="007211E3">
            <w:pPr>
              <w:jc w:val="right"/>
              <w:rPr>
                <w:rFonts w:ascii="Arial" w:hAnsi="Arial" w:cs="Arial"/>
                <w:sz w:val="18"/>
                <w:szCs w:val="18"/>
              </w:rPr>
            </w:pPr>
            <w:r>
              <w:rPr>
                <w:rFonts w:ascii="Arial" w:hAnsi="Arial" w:cs="Arial"/>
                <w:sz w:val="18"/>
                <w:szCs w:val="18"/>
              </w:rPr>
              <w:t>(379)</w:t>
            </w:r>
          </w:p>
        </w:tc>
      </w:tr>
      <w:tr w:rsidR="00A43992" w14:paraId="585296A4" w14:textId="77777777" w:rsidTr="007211E3">
        <w:trPr>
          <w:trHeight w:val="255"/>
        </w:trPr>
        <w:tc>
          <w:tcPr>
            <w:tcW w:w="6353" w:type="dxa"/>
            <w:tcBorders>
              <w:top w:val="nil"/>
              <w:left w:val="nil"/>
              <w:bottom w:val="nil"/>
              <w:right w:val="nil"/>
            </w:tcBorders>
            <w:shd w:val="clear" w:color="FFFFFF" w:fill="FFFFFF"/>
            <w:vAlign w:val="bottom"/>
            <w:hideMark/>
          </w:tcPr>
          <w:p w14:paraId="3EB47CF8" w14:textId="77777777" w:rsidR="00A43992" w:rsidRDefault="00A43992" w:rsidP="007211E3">
            <w:pPr>
              <w:rPr>
                <w:rFonts w:ascii="Arial" w:hAnsi="Arial" w:cs="Arial"/>
                <w:b/>
                <w:bCs/>
                <w:sz w:val="18"/>
                <w:szCs w:val="18"/>
              </w:rPr>
            </w:pPr>
            <w:r>
              <w:rPr>
                <w:rFonts w:ascii="Arial" w:hAnsi="Arial" w:cs="Arial"/>
                <w:b/>
                <w:bCs/>
                <w:sz w:val="18"/>
                <w:szCs w:val="18"/>
              </w:rPr>
              <w:t>Net participant plan commitments payable</w:t>
            </w:r>
          </w:p>
        </w:tc>
        <w:tc>
          <w:tcPr>
            <w:tcW w:w="1249" w:type="dxa"/>
            <w:tcBorders>
              <w:top w:val="single" w:sz="4" w:space="0" w:color="auto"/>
              <w:left w:val="nil"/>
              <w:bottom w:val="single" w:sz="4" w:space="0" w:color="auto"/>
              <w:right w:val="nil"/>
            </w:tcBorders>
            <w:shd w:val="clear" w:color="FFFFFF" w:fill="FFFFFF"/>
            <w:noWrap/>
            <w:vAlign w:val="bottom"/>
            <w:hideMark/>
          </w:tcPr>
          <w:p w14:paraId="2D2AF988" w14:textId="77777777" w:rsidR="00A43992" w:rsidRDefault="00A43992" w:rsidP="007211E3">
            <w:pPr>
              <w:jc w:val="right"/>
              <w:rPr>
                <w:rFonts w:ascii="Arial" w:hAnsi="Arial" w:cs="Arial"/>
                <w:b/>
                <w:bCs/>
                <w:sz w:val="18"/>
                <w:szCs w:val="18"/>
              </w:rPr>
            </w:pPr>
            <w:r>
              <w:rPr>
                <w:rFonts w:ascii="Arial" w:hAnsi="Arial" w:cs="Arial"/>
                <w:b/>
                <w:bCs/>
                <w:sz w:val="18"/>
                <w:szCs w:val="18"/>
              </w:rPr>
              <w:t>841,319</w:t>
            </w:r>
          </w:p>
        </w:tc>
        <w:tc>
          <w:tcPr>
            <w:tcW w:w="236" w:type="dxa"/>
            <w:tcBorders>
              <w:top w:val="nil"/>
              <w:left w:val="nil"/>
              <w:bottom w:val="nil"/>
              <w:right w:val="nil"/>
            </w:tcBorders>
            <w:shd w:val="clear" w:color="FFFFFF" w:fill="FFFFFF"/>
            <w:noWrap/>
            <w:vAlign w:val="bottom"/>
            <w:hideMark/>
          </w:tcPr>
          <w:p w14:paraId="64B39C2A" w14:textId="77777777" w:rsidR="00A43992" w:rsidRDefault="00A43992" w:rsidP="007211E3">
            <w:pPr>
              <w:rPr>
                <w:rFonts w:ascii="Arial" w:hAnsi="Arial" w:cs="Arial"/>
                <w:sz w:val="18"/>
                <w:szCs w:val="18"/>
              </w:rPr>
            </w:pPr>
            <w:r>
              <w:rPr>
                <w:rFonts w:ascii="Arial" w:hAnsi="Arial" w:cs="Arial"/>
                <w:sz w:val="18"/>
                <w:szCs w:val="18"/>
              </w:rPr>
              <w:t> </w:t>
            </w:r>
          </w:p>
        </w:tc>
        <w:tc>
          <w:tcPr>
            <w:tcW w:w="1249" w:type="dxa"/>
            <w:tcBorders>
              <w:top w:val="single" w:sz="4" w:space="0" w:color="auto"/>
              <w:left w:val="nil"/>
              <w:bottom w:val="single" w:sz="4" w:space="0" w:color="auto"/>
              <w:right w:val="nil"/>
            </w:tcBorders>
            <w:shd w:val="clear" w:color="FFFFFF" w:fill="FFFFFF"/>
            <w:noWrap/>
            <w:vAlign w:val="bottom"/>
            <w:hideMark/>
          </w:tcPr>
          <w:p w14:paraId="597AD537" w14:textId="77777777" w:rsidR="00A43992" w:rsidRDefault="00A43992" w:rsidP="007211E3">
            <w:pPr>
              <w:jc w:val="right"/>
              <w:rPr>
                <w:rFonts w:ascii="Arial" w:hAnsi="Arial" w:cs="Arial"/>
                <w:sz w:val="18"/>
                <w:szCs w:val="18"/>
              </w:rPr>
            </w:pPr>
            <w:r>
              <w:rPr>
                <w:rFonts w:ascii="Arial" w:hAnsi="Arial" w:cs="Arial"/>
                <w:sz w:val="18"/>
                <w:szCs w:val="18"/>
              </w:rPr>
              <w:t>332,527</w:t>
            </w:r>
          </w:p>
        </w:tc>
      </w:tr>
    </w:tbl>
    <w:p w14:paraId="7369EE7D" w14:textId="77777777" w:rsidR="00A43992" w:rsidRPr="005E5430" w:rsidRDefault="00A43992" w:rsidP="00A43992"/>
    <w:p w14:paraId="41EF143E" w14:textId="77777777" w:rsidR="00A43992" w:rsidRPr="005E5430" w:rsidRDefault="00A43992" w:rsidP="00A43992"/>
    <w:tbl>
      <w:tblPr>
        <w:tblW w:w="9087" w:type="dxa"/>
        <w:tblInd w:w="80" w:type="dxa"/>
        <w:tblLayout w:type="fixed"/>
        <w:tblLook w:val="04A0" w:firstRow="1" w:lastRow="0" w:firstColumn="1" w:lastColumn="0" w:noHBand="0" w:noVBand="1"/>
      </w:tblPr>
      <w:tblGrid>
        <w:gridCol w:w="6353"/>
        <w:gridCol w:w="1249"/>
        <w:gridCol w:w="236"/>
        <w:gridCol w:w="1249"/>
      </w:tblGrid>
      <w:tr w:rsidR="00A43992" w14:paraId="4FFF7344" w14:textId="77777777" w:rsidTr="007211E3">
        <w:trPr>
          <w:trHeight w:val="255"/>
        </w:trPr>
        <w:tc>
          <w:tcPr>
            <w:tcW w:w="6353" w:type="dxa"/>
            <w:tcBorders>
              <w:top w:val="nil"/>
              <w:left w:val="nil"/>
              <w:bottom w:val="nil"/>
              <w:right w:val="nil"/>
            </w:tcBorders>
            <w:shd w:val="clear" w:color="FFFFFF" w:fill="FFFFFF"/>
            <w:noWrap/>
            <w:vAlign w:val="bottom"/>
            <w:hideMark/>
          </w:tcPr>
          <w:p w14:paraId="0BE8587B" w14:textId="77777777" w:rsidR="00A43992" w:rsidRDefault="00A43992" w:rsidP="007211E3">
            <w:pPr>
              <w:rPr>
                <w:rFonts w:ascii="Arial" w:hAnsi="Arial" w:cs="Arial"/>
                <w:b/>
                <w:bCs/>
                <w:sz w:val="18"/>
                <w:szCs w:val="18"/>
                <w:u w:val="single"/>
              </w:rPr>
            </w:pPr>
            <w:bookmarkStart w:id="359" w:name="Note_OPRTABLE1" w:colFirst="0" w:colLast="0"/>
            <w:r>
              <w:rPr>
                <w:rFonts w:ascii="Arial" w:hAnsi="Arial" w:cs="Arial"/>
                <w:b/>
                <w:bCs/>
                <w:sz w:val="18"/>
                <w:szCs w:val="18"/>
                <w:u w:val="single"/>
              </w:rPr>
              <w:t>Note 2.4B: Other provisions</w:t>
            </w:r>
          </w:p>
        </w:tc>
        <w:tc>
          <w:tcPr>
            <w:tcW w:w="1249" w:type="dxa"/>
            <w:tcBorders>
              <w:top w:val="nil"/>
              <w:left w:val="nil"/>
              <w:bottom w:val="nil"/>
              <w:right w:val="nil"/>
            </w:tcBorders>
            <w:shd w:val="clear" w:color="FFFFFF" w:fill="FFFFFF"/>
            <w:noWrap/>
            <w:vAlign w:val="bottom"/>
            <w:hideMark/>
          </w:tcPr>
          <w:p w14:paraId="6B9724DF" w14:textId="77777777" w:rsidR="00A43992" w:rsidRDefault="00A43992" w:rsidP="007211E3">
            <w:pPr>
              <w:rPr>
                <w:rFonts w:ascii="Arial" w:hAnsi="Arial" w:cs="Arial"/>
                <w:b/>
                <w:bCs/>
                <w:sz w:val="18"/>
                <w:szCs w:val="18"/>
              </w:rPr>
            </w:pPr>
            <w:r>
              <w:rPr>
                <w:rFonts w:ascii="Arial" w:hAnsi="Arial" w:cs="Arial"/>
                <w:b/>
                <w:bCs/>
                <w:sz w:val="18"/>
                <w:szCs w:val="18"/>
              </w:rPr>
              <w:t> </w:t>
            </w:r>
          </w:p>
        </w:tc>
        <w:tc>
          <w:tcPr>
            <w:tcW w:w="236" w:type="dxa"/>
            <w:tcBorders>
              <w:top w:val="nil"/>
              <w:left w:val="nil"/>
              <w:bottom w:val="nil"/>
              <w:right w:val="nil"/>
            </w:tcBorders>
            <w:shd w:val="clear" w:color="FFFFFF" w:fill="FFFFFF"/>
            <w:noWrap/>
            <w:vAlign w:val="bottom"/>
            <w:hideMark/>
          </w:tcPr>
          <w:p w14:paraId="206E7613" w14:textId="77777777" w:rsidR="00A43992" w:rsidRDefault="00A43992" w:rsidP="007211E3">
            <w:pPr>
              <w:rPr>
                <w:rFonts w:ascii="Arial" w:hAnsi="Arial" w:cs="Arial"/>
                <w:sz w:val="18"/>
                <w:szCs w:val="18"/>
              </w:rPr>
            </w:pPr>
            <w:r>
              <w:rPr>
                <w:rFonts w:ascii="Arial" w:hAnsi="Arial" w:cs="Arial"/>
                <w:sz w:val="18"/>
                <w:szCs w:val="18"/>
              </w:rPr>
              <w:t> </w:t>
            </w:r>
          </w:p>
        </w:tc>
        <w:tc>
          <w:tcPr>
            <w:tcW w:w="1249" w:type="dxa"/>
            <w:tcBorders>
              <w:top w:val="nil"/>
              <w:left w:val="nil"/>
              <w:bottom w:val="nil"/>
              <w:right w:val="nil"/>
            </w:tcBorders>
            <w:shd w:val="clear" w:color="FFFFFF" w:fill="FFFFFF"/>
            <w:noWrap/>
            <w:vAlign w:val="bottom"/>
            <w:hideMark/>
          </w:tcPr>
          <w:p w14:paraId="48B48281" w14:textId="77777777" w:rsidR="00A43992" w:rsidRDefault="00A43992" w:rsidP="007211E3">
            <w:pPr>
              <w:rPr>
                <w:rFonts w:ascii="Arial" w:hAnsi="Arial" w:cs="Arial"/>
                <w:sz w:val="18"/>
                <w:szCs w:val="18"/>
              </w:rPr>
            </w:pPr>
            <w:r>
              <w:rPr>
                <w:rFonts w:ascii="Arial" w:hAnsi="Arial" w:cs="Arial"/>
                <w:sz w:val="18"/>
                <w:szCs w:val="18"/>
              </w:rPr>
              <w:t> </w:t>
            </w:r>
          </w:p>
        </w:tc>
      </w:tr>
      <w:bookmarkEnd w:id="359"/>
      <w:tr w:rsidR="00A43992" w14:paraId="3C5EED74" w14:textId="77777777" w:rsidTr="007211E3">
        <w:trPr>
          <w:trHeight w:val="255"/>
        </w:trPr>
        <w:tc>
          <w:tcPr>
            <w:tcW w:w="6353" w:type="dxa"/>
            <w:tcBorders>
              <w:top w:val="nil"/>
              <w:left w:val="nil"/>
              <w:bottom w:val="nil"/>
              <w:right w:val="nil"/>
            </w:tcBorders>
            <w:shd w:val="clear" w:color="FFFFFF" w:fill="FFFFFF"/>
            <w:vAlign w:val="bottom"/>
            <w:hideMark/>
          </w:tcPr>
          <w:p w14:paraId="15F5E0D5" w14:textId="77777777" w:rsidR="00A43992" w:rsidRDefault="00A43992" w:rsidP="007211E3">
            <w:pPr>
              <w:rPr>
                <w:rFonts w:ascii="Arial" w:hAnsi="Arial" w:cs="Arial"/>
                <w:sz w:val="18"/>
                <w:szCs w:val="18"/>
              </w:rPr>
            </w:pPr>
            <w:r>
              <w:rPr>
                <w:rFonts w:ascii="Arial" w:hAnsi="Arial" w:cs="Arial"/>
                <w:sz w:val="18"/>
                <w:szCs w:val="18"/>
              </w:rPr>
              <w:t>Provision for restoration obligations</w:t>
            </w:r>
          </w:p>
        </w:tc>
        <w:tc>
          <w:tcPr>
            <w:tcW w:w="1249" w:type="dxa"/>
            <w:tcBorders>
              <w:top w:val="nil"/>
              <w:left w:val="nil"/>
              <w:bottom w:val="nil"/>
              <w:right w:val="nil"/>
            </w:tcBorders>
            <w:shd w:val="clear" w:color="FFFFFF" w:fill="FFFFFF"/>
            <w:noWrap/>
            <w:vAlign w:val="bottom"/>
            <w:hideMark/>
          </w:tcPr>
          <w:p w14:paraId="14BEF8CA" w14:textId="77777777" w:rsidR="00A43992" w:rsidRDefault="00A43992" w:rsidP="007211E3">
            <w:pPr>
              <w:jc w:val="right"/>
              <w:rPr>
                <w:rFonts w:ascii="Arial" w:hAnsi="Arial" w:cs="Arial"/>
                <w:b/>
                <w:bCs/>
                <w:sz w:val="18"/>
                <w:szCs w:val="18"/>
              </w:rPr>
            </w:pPr>
            <w:r>
              <w:rPr>
                <w:rFonts w:ascii="Arial" w:hAnsi="Arial" w:cs="Arial"/>
                <w:b/>
                <w:bCs/>
                <w:sz w:val="18"/>
                <w:szCs w:val="18"/>
              </w:rPr>
              <w:t>2,735</w:t>
            </w:r>
          </w:p>
        </w:tc>
        <w:tc>
          <w:tcPr>
            <w:tcW w:w="236" w:type="dxa"/>
            <w:tcBorders>
              <w:top w:val="nil"/>
              <w:left w:val="nil"/>
              <w:bottom w:val="nil"/>
              <w:right w:val="nil"/>
            </w:tcBorders>
            <w:shd w:val="clear" w:color="FFFFFF" w:fill="FFFFFF"/>
            <w:noWrap/>
            <w:vAlign w:val="bottom"/>
            <w:hideMark/>
          </w:tcPr>
          <w:p w14:paraId="7D5B13B4" w14:textId="77777777" w:rsidR="00A43992" w:rsidRDefault="00A43992" w:rsidP="007211E3">
            <w:pPr>
              <w:rPr>
                <w:rFonts w:ascii="Arial" w:hAnsi="Arial" w:cs="Arial"/>
                <w:sz w:val="18"/>
                <w:szCs w:val="18"/>
              </w:rPr>
            </w:pPr>
            <w:r>
              <w:rPr>
                <w:rFonts w:ascii="Arial" w:hAnsi="Arial" w:cs="Arial"/>
                <w:sz w:val="18"/>
                <w:szCs w:val="18"/>
              </w:rPr>
              <w:t> </w:t>
            </w:r>
          </w:p>
        </w:tc>
        <w:tc>
          <w:tcPr>
            <w:tcW w:w="1249" w:type="dxa"/>
            <w:tcBorders>
              <w:top w:val="nil"/>
              <w:left w:val="nil"/>
              <w:bottom w:val="nil"/>
              <w:right w:val="nil"/>
            </w:tcBorders>
            <w:shd w:val="clear" w:color="FFFFFF" w:fill="FFFFFF"/>
            <w:noWrap/>
            <w:vAlign w:val="bottom"/>
            <w:hideMark/>
          </w:tcPr>
          <w:p w14:paraId="2A0FD4AE" w14:textId="77777777" w:rsidR="00A43992" w:rsidRDefault="00A43992" w:rsidP="007211E3">
            <w:pPr>
              <w:jc w:val="right"/>
              <w:rPr>
                <w:rFonts w:ascii="Arial" w:hAnsi="Arial" w:cs="Arial"/>
                <w:sz w:val="18"/>
                <w:szCs w:val="18"/>
              </w:rPr>
            </w:pPr>
            <w:r>
              <w:rPr>
                <w:rFonts w:ascii="Arial" w:hAnsi="Arial" w:cs="Arial"/>
                <w:sz w:val="18"/>
                <w:szCs w:val="18"/>
              </w:rPr>
              <w:t>2,642</w:t>
            </w:r>
          </w:p>
        </w:tc>
      </w:tr>
      <w:tr w:rsidR="00A43992" w14:paraId="0AF01E89" w14:textId="77777777" w:rsidTr="007211E3">
        <w:trPr>
          <w:trHeight w:val="255"/>
        </w:trPr>
        <w:tc>
          <w:tcPr>
            <w:tcW w:w="6353" w:type="dxa"/>
            <w:tcBorders>
              <w:top w:val="nil"/>
              <w:left w:val="nil"/>
              <w:bottom w:val="nil"/>
              <w:right w:val="nil"/>
            </w:tcBorders>
            <w:shd w:val="clear" w:color="FFFFFF" w:fill="FFFFFF"/>
            <w:vAlign w:val="bottom"/>
            <w:hideMark/>
          </w:tcPr>
          <w:p w14:paraId="20C8579B" w14:textId="77777777" w:rsidR="00A43992" w:rsidRDefault="00A43992" w:rsidP="007211E3">
            <w:pPr>
              <w:rPr>
                <w:rFonts w:ascii="Arial" w:hAnsi="Arial" w:cs="Arial"/>
                <w:b/>
                <w:bCs/>
                <w:sz w:val="18"/>
                <w:szCs w:val="18"/>
              </w:rPr>
            </w:pPr>
            <w:r>
              <w:rPr>
                <w:rFonts w:ascii="Arial" w:hAnsi="Arial" w:cs="Arial"/>
                <w:b/>
                <w:bCs/>
                <w:sz w:val="18"/>
                <w:szCs w:val="18"/>
              </w:rPr>
              <w:t>Total other provisions</w:t>
            </w:r>
          </w:p>
        </w:tc>
        <w:tc>
          <w:tcPr>
            <w:tcW w:w="1249" w:type="dxa"/>
            <w:tcBorders>
              <w:top w:val="single" w:sz="4" w:space="0" w:color="auto"/>
              <w:left w:val="nil"/>
              <w:bottom w:val="single" w:sz="4" w:space="0" w:color="auto"/>
              <w:right w:val="nil"/>
            </w:tcBorders>
            <w:shd w:val="clear" w:color="FFFFFF" w:fill="FFFFFF"/>
            <w:noWrap/>
            <w:vAlign w:val="bottom"/>
            <w:hideMark/>
          </w:tcPr>
          <w:p w14:paraId="40D58E54" w14:textId="77777777" w:rsidR="00A43992" w:rsidRDefault="00A43992" w:rsidP="007211E3">
            <w:pPr>
              <w:jc w:val="right"/>
              <w:rPr>
                <w:rFonts w:ascii="Arial" w:hAnsi="Arial" w:cs="Arial"/>
                <w:b/>
                <w:bCs/>
                <w:sz w:val="18"/>
                <w:szCs w:val="18"/>
              </w:rPr>
            </w:pPr>
            <w:r>
              <w:rPr>
                <w:rFonts w:ascii="Arial" w:hAnsi="Arial" w:cs="Arial"/>
                <w:b/>
                <w:bCs/>
                <w:sz w:val="18"/>
                <w:szCs w:val="18"/>
              </w:rPr>
              <w:t>2,735</w:t>
            </w:r>
          </w:p>
        </w:tc>
        <w:tc>
          <w:tcPr>
            <w:tcW w:w="236" w:type="dxa"/>
            <w:tcBorders>
              <w:top w:val="nil"/>
              <w:left w:val="nil"/>
              <w:bottom w:val="nil"/>
              <w:right w:val="nil"/>
            </w:tcBorders>
            <w:shd w:val="clear" w:color="FFFFFF" w:fill="FFFFFF"/>
            <w:noWrap/>
            <w:vAlign w:val="bottom"/>
            <w:hideMark/>
          </w:tcPr>
          <w:p w14:paraId="5BC20F1F" w14:textId="77777777" w:rsidR="00A43992" w:rsidRDefault="00A43992" w:rsidP="007211E3">
            <w:pPr>
              <w:rPr>
                <w:rFonts w:ascii="Arial" w:hAnsi="Arial" w:cs="Arial"/>
              </w:rPr>
            </w:pPr>
            <w:r>
              <w:rPr>
                <w:rFonts w:ascii="Arial" w:hAnsi="Arial" w:cs="Arial"/>
              </w:rPr>
              <w:t> </w:t>
            </w:r>
          </w:p>
        </w:tc>
        <w:tc>
          <w:tcPr>
            <w:tcW w:w="1249" w:type="dxa"/>
            <w:tcBorders>
              <w:top w:val="single" w:sz="4" w:space="0" w:color="auto"/>
              <w:left w:val="nil"/>
              <w:bottom w:val="single" w:sz="4" w:space="0" w:color="auto"/>
              <w:right w:val="nil"/>
            </w:tcBorders>
            <w:shd w:val="clear" w:color="FFFFFF" w:fill="FFFFFF"/>
            <w:noWrap/>
            <w:vAlign w:val="bottom"/>
            <w:hideMark/>
          </w:tcPr>
          <w:p w14:paraId="3ECAF39A" w14:textId="77777777" w:rsidR="00A43992" w:rsidRDefault="00A43992" w:rsidP="007211E3">
            <w:pPr>
              <w:jc w:val="right"/>
              <w:rPr>
                <w:rFonts w:ascii="Arial" w:hAnsi="Arial" w:cs="Arial"/>
                <w:sz w:val="18"/>
                <w:szCs w:val="18"/>
              </w:rPr>
            </w:pPr>
            <w:r>
              <w:rPr>
                <w:rFonts w:ascii="Arial" w:hAnsi="Arial" w:cs="Arial"/>
                <w:sz w:val="18"/>
                <w:szCs w:val="18"/>
              </w:rPr>
              <w:t>2,642</w:t>
            </w:r>
          </w:p>
        </w:tc>
      </w:tr>
      <w:tr w:rsidR="00A43992" w14:paraId="4F7ACFE0" w14:textId="77777777" w:rsidTr="007211E3">
        <w:trPr>
          <w:trHeight w:val="255"/>
        </w:trPr>
        <w:tc>
          <w:tcPr>
            <w:tcW w:w="6353" w:type="dxa"/>
            <w:tcBorders>
              <w:top w:val="nil"/>
              <w:left w:val="nil"/>
              <w:bottom w:val="nil"/>
              <w:right w:val="nil"/>
            </w:tcBorders>
            <w:shd w:val="clear" w:color="FFFFFF" w:fill="FFFFFF"/>
            <w:noWrap/>
            <w:vAlign w:val="bottom"/>
            <w:hideMark/>
          </w:tcPr>
          <w:p w14:paraId="38D01B1A" w14:textId="77777777" w:rsidR="00A43992" w:rsidRDefault="00A43992" w:rsidP="007211E3">
            <w:pPr>
              <w:rPr>
                <w:rFonts w:ascii="Arial" w:hAnsi="Arial" w:cs="Arial"/>
                <w:sz w:val="18"/>
                <w:szCs w:val="18"/>
              </w:rPr>
            </w:pPr>
            <w:r>
              <w:rPr>
                <w:rFonts w:ascii="Arial" w:hAnsi="Arial" w:cs="Arial"/>
                <w:sz w:val="18"/>
                <w:szCs w:val="18"/>
              </w:rPr>
              <w:t> </w:t>
            </w:r>
          </w:p>
        </w:tc>
        <w:tc>
          <w:tcPr>
            <w:tcW w:w="1249" w:type="dxa"/>
            <w:tcBorders>
              <w:top w:val="nil"/>
              <w:left w:val="nil"/>
              <w:bottom w:val="nil"/>
              <w:right w:val="nil"/>
            </w:tcBorders>
            <w:shd w:val="clear" w:color="FFFFFF" w:fill="FFFFFF"/>
            <w:noWrap/>
            <w:vAlign w:val="bottom"/>
            <w:hideMark/>
          </w:tcPr>
          <w:p w14:paraId="22AC8A2A" w14:textId="77777777" w:rsidR="00A43992" w:rsidRDefault="00A43992" w:rsidP="007211E3">
            <w:pPr>
              <w:rPr>
                <w:rFonts w:ascii="Arial" w:hAnsi="Arial" w:cs="Arial"/>
                <w:b/>
                <w:bCs/>
                <w:sz w:val="18"/>
                <w:szCs w:val="18"/>
              </w:rPr>
            </w:pPr>
            <w:r>
              <w:rPr>
                <w:rFonts w:ascii="Arial" w:hAnsi="Arial" w:cs="Arial"/>
                <w:b/>
                <w:bCs/>
                <w:sz w:val="18"/>
                <w:szCs w:val="18"/>
              </w:rPr>
              <w:t> </w:t>
            </w:r>
          </w:p>
        </w:tc>
        <w:tc>
          <w:tcPr>
            <w:tcW w:w="236" w:type="dxa"/>
            <w:tcBorders>
              <w:top w:val="nil"/>
              <w:left w:val="nil"/>
              <w:bottom w:val="nil"/>
              <w:right w:val="nil"/>
            </w:tcBorders>
            <w:shd w:val="clear" w:color="FFFFFF" w:fill="FFFFFF"/>
            <w:noWrap/>
            <w:vAlign w:val="bottom"/>
            <w:hideMark/>
          </w:tcPr>
          <w:p w14:paraId="503D3F4E" w14:textId="77777777" w:rsidR="00A43992" w:rsidRDefault="00A43992" w:rsidP="007211E3">
            <w:pPr>
              <w:rPr>
                <w:rFonts w:ascii="Arial" w:hAnsi="Arial" w:cs="Arial"/>
              </w:rPr>
            </w:pPr>
            <w:r>
              <w:rPr>
                <w:rFonts w:ascii="Arial" w:hAnsi="Arial" w:cs="Arial"/>
              </w:rPr>
              <w:t> </w:t>
            </w:r>
          </w:p>
        </w:tc>
        <w:tc>
          <w:tcPr>
            <w:tcW w:w="1249" w:type="dxa"/>
            <w:tcBorders>
              <w:top w:val="nil"/>
              <w:left w:val="nil"/>
              <w:bottom w:val="nil"/>
              <w:right w:val="nil"/>
            </w:tcBorders>
            <w:shd w:val="clear" w:color="FFFFFF" w:fill="FFFFFF"/>
            <w:noWrap/>
            <w:vAlign w:val="bottom"/>
            <w:hideMark/>
          </w:tcPr>
          <w:p w14:paraId="58B26934" w14:textId="77777777" w:rsidR="00A43992" w:rsidRDefault="00A43992" w:rsidP="007211E3">
            <w:pPr>
              <w:rPr>
                <w:rFonts w:ascii="Arial" w:hAnsi="Arial" w:cs="Arial"/>
                <w:sz w:val="18"/>
                <w:szCs w:val="18"/>
              </w:rPr>
            </w:pPr>
            <w:r>
              <w:rPr>
                <w:rFonts w:ascii="Arial" w:hAnsi="Arial" w:cs="Arial"/>
                <w:sz w:val="18"/>
                <w:szCs w:val="18"/>
              </w:rPr>
              <w:t> </w:t>
            </w:r>
          </w:p>
        </w:tc>
      </w:tr>
      <w:tr w:rsidR="00A43992" w14:paraId="67097974" w14:textId="77777777" w:rsidTr="007211E3">
        <w:trPr>
          <w:trHeight w:val="255"/>
        </w:trPr>
        <w:tc>
          <w:tcPr>
            <w:tcW w:w="6353" w:type="dxa"/>
            <w:tcBorders>
              <w:top w:val="nil"/>
              <w:left w:val="nil"/>
              <w:bottom w:val="nil"/>
              <w:right w:val="nil"/>
            </w:tcBorders>
            <w:shd w:val="clear" w:color="FFFFFF" w:fill="FFFFFF"/>
            <w:vAlign w:val="bottom"/>
            <w:hideMark/>
          </w:tcPr>
          <w:p w14:paraId="35859200" w14:textId="77777777" w:rsidR="00A43992" w:rsidRDefault="00A43992" w:rsidP="007211E3">
            <w:pPr>
              <w:rPr>
                <w:rFonts w:ascii="Arial" w:hAnsi="Arial" w:cs="Arial"/>
                <w:sz w:val="18"/>
                <w:szCs w:val="18"/>
              </w:rPr>
            </w:pPr>
            <w:r>
              <w:rPr>
                <w:rFonts w:ascii="Arial" w:hAnsi="Arial" w:cs="Arial"/>
                <w:sz w:val="18"/>
                <w:szCs w:val="18"/>
              </w:rPr>
              <w:t>Other provisions expected to be settled</w:t>
            </w:r>
          </w:p>
        </w:tc>
        <w:tc>
          <w:tcPr>
            <w:tcW w:w="1249" w:type="dxa"/>
            <w:tcBorders>
              <w:top w:val="nil"/>
              <w:left w:val="nil"/>
              <w:bottom w:val="nil"/>
              <w:right w:val="nil"/>
            </w:tcBorders>
            <w:shd w:val="clear" w:color="FFFFFF" w:fill="FFFFFF"/>
            <w:noWrap/>
            <w:vAlign w:val="bottom"/>
            <w:hideMark/>
          </w:tcPr>
          <w:p w14:paraId="603EEABB" w14:textId="77777777" w:rsidR="00A43992" w:rsidRDefault="00A43992" w:rsidP="007211E3">
            <w:pPr>
              <w:rPr>
                <w:rFonts w:ascii="Arial" w:hAnsi="Arial" w:cs="Arial"/>
                <w:b/>
                <w:bCs/>
                <w:sz w:val="18"/>
                <w:szCs w:val="18"/>
              </w:rPr>
            </w:pPr>
            <w:r>
              <w:rPr>
                <w:rFonts w:ascii="Arial" w:hAnsi="Arial" w:cs="Arial"/>
                <w:b/>
                <w:bCs/>
                <w:sz w:val="18"/>
                <w:szCs w:val="18"/>
              </w:rPr>
              <w:t> </w:t>
            </w:r>
          </w:p>
        </w:tc>
        <w:tc>
          <w:tcPr>
            <w:tcW w:w="236" w:type="dxa"/>
            <w:tcBorders>
              <w:top w:val="nil"/>
              <w:left w:val="nil"/>
              <w:bottom w:val="nil"/>
              <w:right w:val="nil"/>
            </w:tcBorders>
            <w:shd w:val="clear" w:color="FFFFFF" w:fill="FFFFFF"/>
            <w:noWrap/>
            <w:vAlign w:val="bottom"/>
            <w:hideMark/>
          </w:tcPr>
          <w:p w14:paraId="68BFF4E1" w14:textId="77777777" w:rsidR="00A43992" w:rsidRDefault="00A43992" w:rsidP="007211E3">
            <w:pPr>
              <w:rPr>
                <w:rFonts w:ascii="Arial" w:hAnsi="Arial" w:cs="Arial"/>
              </w:rPr>
            </w:pPr>
            <w:r>
              <w:rPr>
                <w:rFonts w:ascii="Arial" w:hAnsi="Arial" w:cs="Arial"/>
              </w:rPr>
              <w:t> </w:t>
            </w:r>
          </w:p>
        </w:tc>
        <w:tc>
          <w:tcPr>
            <w:tcW w:w="1249" w:type="dxa"/>
            <w:tcBorders>
              <w:top w:val="nil"/>
              <w:left w:val="nil"/>
              <w:bottom w:val="nil"/>
              <w:right w:val="nil"/>
            </w:tcBorders>
            <w:shd w:val="clear" w:color="FFFFFF" w:fill="FFFFFF"/>
            <w:noWrap/>
            <w:vAlign w:val="bottom"/>
            <w:hideMark/>
          </w:tcPr>
          <w:p w14:paraId="272239A0" w14:textId="77777777" w:rsidR="00A43992" w:rsidRDefault="00A43992" w:rsidP="007211E3">
            <w:pPr>
              <w:rPr>
                <w:rFonts w:ascii="Arial" w:hAnsi="Arial" w:cs="Arial"/>
                <w:sz w:val="18"/>
                <w:szCs w:val="18"/>
              </w:rPr>
            </w:pPr>
            <w:r>
              <w:rPr>
                <w:rFonts w:ascii="Arial" w:hAnsi="Arial" w:cs="Arial"/>
                <w:sz w:val="18"/>
                <w:szCs w:val="18"/>
              </w:rPr>
              <w:t> </w:t>
            </w:r>
          </w:p>
        </w:tc>
      </w:tr>
      <w:tr w:rsidR="00A43992" w14:paraId="6283DFD2" w14:textId="77777777" w:rsidTr="007211E3">
        <w:trPr>
          <w:trHeight w:val="255"/>
        </w:trPr>
        <w:tc>
          <w:tcPr>
            <w:tcW w:w="6353" w:type="dxa"/>
            <w:tcBorders>
              <w:top w:val="nil"/>
              <w:left w:val="nil"/>
              <w:bottom w:val="nil"/>
              <w:right w:val="nil"/>
            </w:tcBorders>
            <w:shd w:val="clear" w:color="FFFFFF" w:fill="FFFFFF"/>
            <w:noWrap/>
            <w:vAlign w:val="bottom"/>
            <w:hideMark/>
          </w:tcPr>
          <w:p w14:paraId="7185382C" w14:textId="77777777" w:rsidR="00A43992" w:rsidRDefault="00A43992" w:rsidP="007211E3">
            <w:pPr>
              <w:ind w:firstLineChars="100" w:firstLine="180"/>
              <w:rPr>
                <w:rFonts w:ascii="Arial" w:hAnsi="Arial" w:cs="Arial"/>
                <w:sz w:val="18"/>
                <w:szCs w:val="18"/>
              </w:rPr>
            </w:pPr>
            <w:r>
              <w:rPr>
                <w:rFonts w:ascii="Arial" w:hAnsi="Arial" w:cs="Arial"/>
                <w:sz w:val="18"/>
                <w:szCs w:val="18"/>
              </w:rPr>
              <w:t>No more than 12 months</w:t>
            </w:r>
          </w:p>
        </w:tc>
        <w:tc>
          <w:tcPr>
            <w:tcW w:w="1249" w:type="dxa"/>
            <w:tcBorders>
              <w:top w:val="nil"/>
              <w:left w:val="nil"/>
              <w:bottom w:val="nil"/>
              <w:right w:val="nil"/>
            </w:tcBorders>
            <w:shd w:val="clear" w:color="FFFFFF" w:fill="FFFFFF"/>
            <w:noWrap/>
            <w:vAlign w:val="bottom"/>
            <w:hideMark/>
          </w:tcPr>
          <w:p w14:paraId="1EC8D271" w14:textId="77777777" w:rsidR="00A43992" w:rsidRDefault="00A43992" w:rsidP="007211E3">
            <w:pPr>
              <w:jc w:val="right"/>
              <w:rPr>
                <w:rFonts w:ascii="Arial" w:hAnsi="Arial" w:cs="Arial"/>
                <w:b/>
                <w:bCs/>
                <w:sz w:val="18"/>
                <w:szCs w:val="18"/>
              </w:rPr>
            </w:pPr>
            <w:r>
              <w:rPr>
                <w:rFonts w:ascii="Arial" w:hAnsi="Arial" w:cs="Arial"/>
                <w:b/>
                <w:bCs/>
                <w:sz w:val="18"/>
                <w:szCs w:val="18"/>
              </w:rPr>
              <w:t>1,437</w:t>
            </w:r>
          </w:p>
        </w:tc>
        <w:tc>
          <w:tcPr>
            <w:tcW w:w="236" w:type="dxa"/>
            <w:tcBorders>
              <w:top w:val="nil"/>
              <w:left w:val="nil"/>
              <w:bottom w:val="nil"/>
              <w:right w:val="nil"/>
            </w:tcBorders>
            <w:shd w:val="clear" w:color="FFFFFF" w:fill="FFFFFF"/>
            <w:noWrap/>
            <w:vAlign w:val="bottom"/>
            <w:hideMark/>
          </w:tcPr>
          <w:p w14:paraId="193E069B" w14:textId="77777777" w:rsidR="00A43992" w:rsidRDefault="00A43992" w:rsidP="007211E3">
            <w:pPr>
              <w:rPr>
                <w:rFonts w:ascii="Arial" w:hAnsi="Arial" w:cs="Arial"/>
                <w:sz w:val="18"/>
                <w:szCs w:val="18"/>
              </w:rPr>
            </w:pPr>
            <w:r>
              <w:rPr>
                <w:rFonts w:ascii="Arial" w:hAnsi="Arial" w:cs="Arial"/>
                <w:sz w:val="18"/>
                <w:szCs w:val="18"/>
              </w:rPr>
              <w:t> </w:t>
            </w:r>
          </w:p>
        </w:tc>
        <w:tc>
          <w:tcPr>
            <w:tcW w:w="1249" w:type="dxa"/>
            <w:tcBorders>
              <w:top w:val="nil"/>
              <w:left w:val="nil"/>
              <w:bottom w:val="nil"/>
              <w:right w:val="nil"/>
            </w:tcBorders>
            <w:shd w:val="clear" w:color="FFFFFF" w:fill="FFFFFF"/>
            <w:noWrap/>
            <w:vAlign w:val="bottom"/>
            <w:hideMark/>
          </w:tcPr>
          <w:p w14:paraId="7B901BB5" w14:textId="77777777" w:rsidR="00A43992" w:rsidRDefault="00A43992" w:rsidP="007211E3">
            <w:pPr>
              <w:jc w:val="right"/>
              <w:rPr>
                <w:rFonts w:ascii="Arial" w:hAnsi="Arial" w:cs="Arial"/>
                <w:sz w:val="18"/>
                <w:szCs w:val="18"/>
              </w:rPr>
            </w:pPr>
            <w:r>
              <w:rPr>
                <w:rFonts w:ascii="Arial" w:hAnsi="Arial" w:cs="Arial"/>
                <w:sz w:val="18"/>
                <w:szCs w:val="18"/>
              </w:rPr>
              <w:t xml:space="preserve">82 </w:t>
            </w:r>
          </w:p>
        </w:tc>
      </w:tr>
      <w:tr w:rsidR="00A43992" w14:paraId="7A722616" w14:textId="77777777" w:rsidTr="007211E3">
        <w:trPr>
          <w:trHeight w:val="255"/>
        </w:trPr>
        <w:tc>
          <w:tcPr>
            <w:tcW w:w="6353" w:type="dxa"/>
            <w:tcBorders>
              <w:top w:val="nil"/>
              <w:left w:val="nil"/>
              <w:bottom w:val="nil"/>
              <w:right w:val="nil"/>
            </w:tcBorders>
            <w:shd w:val="clear" w:color="FFFFFF" w:fill="FFFFFF"/>
            <w:noWrap/>
            <w:vAlign w:val="bottom"/>
            <w:hideMark/>
          </w:tcPr>
          <w:p w14:paraId="782E58DF" w14:textId="77777777" w:rsidR="00A43992" w:rsidRDefault="00A43992" w:rsidP="007211E3">
            <w:pPr>
              <w:ind w:firstLineChars="100" w:firstLine="180"/>
              <w:rPr>
                <w:rFonts w:ascii="Arial" w:hAnsi="Arial" w:cs="Arial"/>
                <w:sz w:val="18"/>
                <w:szCs w:val="18"/>
              </w:rPr>
            </w:pPr>
            <w:r>
              <w:rPr>
                <w:rFonts w:ascii="Arial" w:hAnsi="Arial" w:cs="Arial"/>
                <w:sz w:val="18"/>
                <w:szCs w:val="18"/>
              </w:rPr>
              <w:t>More than 12 months</w:t>
            </w:r>
          </w:p>
        </w:tc>
        <w:tc>
          <w:tcPr>
            <w:tcW w:w="1249" w:type="dxa"/>
            <w:tcBorders>
              <w:top w:val="nil"/>
              <w:left w:val="nil"/>
              <w:bottom w:val="nil"/>
              <w:right w:val="nil"/>
            </w:tcBorders>
            <w:shd w:val="clear" w:color="FFFFFF" w:fill="FFFFFF"/>
            <w:noWrap/>
            <w:vAlign w:val="bottom"/>
            <w:hideMark/>
          </w:tcPr>
          <w:p w14:paraId="25145E32" w14:textId="77777777" w:rsidR="00A43992" w:rsidRDefault="00A43992" w:rsidP="007211E3">
            <w:pPr>
              <w:jc w:val="right"/>
              <w:rPr>
                <w:rFonts w:ascii="Arial" w:hAnsi="Arial" w:cs="Arial"/>
                <w:b/>
                <w:bCs/>
                <w:sz w:val="18"/>
                <w:szCs w:val="18"/>
              </w:rPr>
            </w:pPr>
            <w:r>
              <w:rPr>
                <w:rFonts w:ascii="Arial" w:hAnsi="Arial" w:cs="Arial"/>
                <w:b/>
                <w:bCs/>
                <w:sz w:val="18"/>
                <w:szCs w:val="18"/>
              </w:rPr>
              <w:t>1,298</w:t>
            </w:r>
          </w:p>
        </w:tc>
        <w:tc>
          <w:tcPr>
            <w:tcW w:w="236" w:type="dxa"/>
            <w:tcBorders>
              <w:top w:val="nil"/>
              <w:left w:val="nil"/>
              <w:bottom w:val="nil"/>
              <w:right w:val="nil"/>
            </w:tcBorders>
            <w:shd w:val="clear" w:color="FFFFFF" w:fill="FFFFFF"/>
            <w:noWrap/>
            <w:vAlign w:val="bottom"/>
            <w:hideMark/>
          </w:tcPr>
          <w:p w14:paraId="196E6F52" w14:textId="77777777" w:rsidR="00A43992" w:rsidRDefault="00A43992" w:rsidP="007211E3">
            <w:pPr>
              <w:rPr>
                <w:rFonts w:ascii="Arial" w:hAnsi="Arial" w:cs="Arial"/>
                <w:sz w:val="18"/>
                <w:szCs w:val="18"/>
              </w:rPr>
            </w:pPr>
            <w:r>
              <w:rPr>
                <w:rFonts w:ascii="Arial" w:hAnsi="Arial" w:cs="Arial"/>
                <w:sz w:val="18"/>
                <w:szCs w:val="18"/>
              </w:rPr>
              <w:t> </w:t>
            </w:r>
          </w:p>
        </w:tc>
        <w:tc>
          <w:tcPr>
            <w:tcW w:w="1249" w:type="dxa"/>
            <w:tcBorders>
              <w:top w:val="nil"/>
              <w:left w:val="nil"/>
              <w:bottom w:val="nil"/>
              <w:right w:val="nil"/>
            </w:tcBorders>
            <w:shd w:val="clear" w:color="FFFFFF" w:fill="FFFFFF"/>
            <w:noWrap/>
            <w:vAlign w:val="bottom"/>
            <w:hideMark/>
          </w:tcPr>
          <w:p w14:paraId="3CB15762" w14:textId="77777777" w:rsidR="00A43992" w:rsidRDefault="00A43992" w:rsidP="007211E3">
            <w:pPr>
              <w:jc w:val="right"/>
              <w:rPr>
                <w:rFonts w:ascii="Arial" w:hAnsi="Arial" w:cs="Arial"/>
                <w:sz w:val="18"/>
                <w:szCs w:val="18"/>
              </w:rPr>
            </w:pPr>
            <w:r>
              <w:rPr>
                <w:rFonts w:ascii="Arial" w:hAnsi="Arial" w:cs="Arial"/>
                <w:sz w:val="18"/>
                <w:szCs w:val="18"/>
              </w:rPr>
              <w:t>2,560</w:t>
            </w:r>
          </w:p>
        </w:tc>
      </w:tr>
      <w:tr w:rsidR="00A43992" w14:paraId="3A626D8F" w14:textId="77777777" w:rsidTr="007211E3">
        <w:trPr>
          <w:trHeight w:val="255"/>
        </w:trPr>
        <w:tc>
          <w:tcPr>
            <w:tcW w:w="6353" w:type="dxa"/>
            <w:tcBorders>
              <w:top w:val="nil"/>
              <w:left w:val="nil"/>
              <w:bottom w:val="nil"/>
              <w:right w:val="nil"/>
            </w:tcBorders>
            <w:shd w:val="clear" w:color="FFFFFF" w:fill="FFFFFF"/>
            <w:vAlign w:val="bottom"/>
            <w:hideMark/>
          </w:tcPr>
          <w:p w14:paraId="082C11E2" w14:textId="77777777" w:rsidR="00A43992" w:rsidRDefault="00A43992" w:rsidP="007211E3">
            <w:pPr>
              <w:rPr>
                <w:rFonts w:ascii="Arial" w:hAnsi="Arial" w:cs="Arial"/>
                <w:b/>
                <w:bCs/>
                <w:sz w:val="18"/>
                <w:szCs w:val="18"/>
              </w:rPr>
            </w:pPr>
            <w:r>
              <w:rPr>
                <w:rFonts w:ascii="Arial" w:hAnsi="Arial" w:cs="Arial"/>
                <w:b/>
                <w:bCs/>
                <w:sz w:val="18"/>
                <w:szCs w:val="18"/>
              </w:rPr>
              <w:lastRenderedPageBreak/>
              <w:t>Total other provisions</w:t>
            </w:r>
          </w:p>
        </w:tc>
        <w:tc>
          <w:tcPr>
            <w:tcW w:w="1249" w:type="dxa"/>
            <w:tcBorders>
              <w:top w:val="single" w:sz="4" w:space="0" w:color="auto"/>
              <w:left w:val="nil"/>
              <w:bottom w:val="single" w:sz="4" w:space="0" w:color="auto"/>
              <w:right w:val="nil"/>
            </w:tcBorders>
            <w:shd w:val="clear" w:color="FFFFFF" w:fill="FFFFFF"/>
            <w:noWrap/>
            <w:vAlign w:val="bottom"/>
            <w:hideMark/>
          </w:tcPr>
          <w:p w14:paraId="1DB6B032" w14:textId="77777777" w:rsidR="00A43992" w:rsidRDefault="00A43992" w:rsidP="007211E3">
            <w:pPr>
              <w:jc w:val="right"/>
              <w:rPr>
                <w:rFonts w:ascii="Arial" w:hAnsi="Arial" w:cs="Arial"/>
                <w:b/>
                <w:bCs/>
                <w:sz w:val="18"/>
                <w:szCs w:val="18"/>
              </w:rPr>
            </w:pPr>
            <w:r>
              <w:rPr>
                <w:rFonts w:ascii="Arial" w:hAnsi="Arial" w:cs="Arial"/>
                <w:b/>
                <w:bCs/>
                <w:sz w:val="18"/>
                <w:szCs w:val="18"/>
              </w:rPr>
              <w:t>2,735</w:t>
            </w:r>
          </w:p>
        </w:tc>
        <w:tc>
          <w:tcPr>
            <w:tcW w:w="236" w:type="dxa"/>
            <w:tcBorders>
              <w:top w:val="nil"/>
              <w:left w:val="nil"/>
              <w:bottom w:val="nil"/>
              <w:right w:val="nil"/>
            </w:tcBorders>
            <w:shd w:val="clear" w:color="FFFFFF" w:fill="FFFFFF"/>
            <w:noWrap/>
            <w:vAlign w:val="bottom"/>
            <w:hideMark/>
          </w:tcPr>
          <w:p w14:paraId="04921E46" w14:textId="77777777" w:rsidR="00A43992" w:rsidRDefault="00A43992" w:rsidP="007211E3">
            <w:pPr>
              <w:rPr>
                <w:rFonts w:ascii="Arial" w:hAnsi="Arial" w:cs="Arial"/>
              </w:rPr>
            </w:pPr>
            <w:r>
              <w:rPr>
                <w:rFonts w:ascii="Arial" w:hAnsi="Arial" w:cs="Arial"/>
              </w:rPr>
              <w:t> </w:t>
            </w:r>
          </w:p>
        </w:tc>
        <w:tc>
          <w:tcPr>
            <w:tcW w:w="1249" w:type="dxa"/>
            <w:tcBorders>
              <w:top w:val="single" w:sz="4" w:space="0" w:color="auto"/>
              <w:left w:val="nil"/>
              <w:bottom w:val="single" w:sz="4" w:space="0" w:color="auto"/>
              <w:right w:val="nil"/>
            </w:tcBorders>
            <w:shd w:val="clear" w:color="FFFFFF" w:fill="FFFFFF"/>
            <w:noWrap/>
            <w:vAlign w:val="bottom"/>
            <w:hideMark/>
          </w:tcPr>
          <w:p w14:paraId="74A00811" w14:textId="77777777" w:rsidR="00A43992" w:rsidRDefault="00A43992" w:rsidP="007211E3">
            <w:pPr>
              <w:jc w:val="right"/>
              <w:rPr>
                <w:rFonts w:ascii="Arial" w:hAnsi="Arial" w:cs="Arial"/>
                <w:sz w:val="18"/>
                <w:szCs w:val="18"/>
              </w:rPr>
            </w:pPr>
            <w:r>
              <w:rPr>
                <w:rFonts w:ascii="Arial" w:hAnsi="Arial" w:cs="Arial"/>
                <w:sz w:val="18"/>
                <w:szCs w:val="18"/>
              </w:rPr>
              <w:t>2,642</w:t>
            </w:r>
          </w:p>
        </w:tc>
      </w:tr>
    </w:tbl>
    <w:p w14:paraId="6D11EAAD" w14:textId="77777777" w:rsidR="00A43992" w:rsidRDefault="00A43992" w:rsidP="00A43992"/>
    <w:p w14:paraId="6364E5FB" w14:textId="77777777" w:rsidR="00A43992" w:rsidRPr="0060513E" w:rsidRDefault="00A43992" w:rsidP="00A43992">
      <w:pPr>
        <w:rPr>
          <w:rFonts w:ascii="Arial" w:hAnsi="Arial" w:cs="Arial"/>
          <w:sz w:val="18"/>
          <w:szCs w:val="18"/>
        </w:rPr>
      </w:pPr>
      <w:r w:rsidRPr="0060513E">
        <w:rPr>
          <w:rFonts w:ascii="Arial" w:hAnsi="Arial" w:cs="Arial"/>
          <w:sz w:val="18"/>
          <w:szCs w:val="18"/>
        </w:rPr>
        <w:t xml:space="preserve">The </w:t>
      </w:r>
      <w:r>
        <w:rPr>
          <w:rFonts w:ascii="Arial" w:hAnsi="Arial" w:cs="Arial"/>
          <w:sz w:val="18"/>
          <w:szCs w:val="18"/>
        </w:rPr>
        <w:t>Agenc</w:t>
      </w:r>
      <w:r w:rsidRPr="0060513E">
        <w:rPr>
          <w:rFonts w:ascii="Arial" w:hAnsi="Arial" w:cs="Arial"/>
          <w:sz w:val="18"/>
          <w:szCs w:val="18"/>
        </w:rPr>
        <w:t>y</w:t>
      </w:r>
      <w:r>
        <w:rPr>
          <w:rFonts w:ascii="Arial" w:hAnsi="Arial" w:cs="Arial"/>
          <w:sz w:val="18"/>
          <w:szCs w:val="18"/>
        </w:rPr>
        <w:t xml:space="preserve"> has 16 (2014-15: 17) agreements for the leasing of premises which have provisions requiring the entity to restore the premises to their original condition at the conclusion of the lease. The Agency has made a provision to reflect the present value of this obligation.</w:t>
      </w:r>
    </w:p>
    <w:p w14:paraId="30D7C732" w14:textId="77777777" w:rsidR="00A43992" w:rsidRDefault="00A43992" w:rsidP="00A43992"/>
    <w:tbl>
      <w:tblPr>
        <w:tblW w:w="9087" w:type="dxa"/>
        <w:tblInd w:w="80" w:type="dxa"/>
        <w:tblLayout w:type="fixed"/>
        <w:tblLook w:val="04A0" w:firstRow="1" w:lastRow="0" w:firstColumn="1" w:lastColumn="0" w:noHBand="0" w:noVBand="1"/>
      </w:tblPr>
      <w:tblGrid>
        <w:gridCol w:w="5325"/>
        <w:gridCol w:w="1254"/>
        <w:gridCol w:w="1254"/>
        <w:gridCol w:w="1254"/>
      </w:tblGrid>
      <w:tr w:rsidR="00A43992" w14:paraId="54A7A3A3" w14:textId="77777777" w:rsidTr="007211E3">
        <w:trPr>
          <w:trHeight w:val="720"/>
        </w:trPr>
        <w:tc>
          <w:tcPr>
            <w:tcW w:w="5325" w:type="dxa"/>
            <w:tcBorders>
              <w:top w:val="single" w:sz="4" w:space="0" w:color="auto"/>
              <w:left w:val="nil"/>
              <w:bottom w:val="nil"/>
              <w:right w:val="nil"/>
            </w:tcBorders>
            <w:shd w:val="clear" w:color="FFFFFF" w:fill="FFFFFF"/>
            <w:vAlign w:val="bottom"/>
            <w:hideMark/>
          </w:tcPr>
          <w:p w14:paraId="61018A0D" w14:textId="77777777" w:rsidR="00A43992" w:rsidRDefault="00A43992" w:rsidP="007211E3">
            <w:pPr>
              <w:rPr>
                <w:rFonts w:ascii="Arial" w:hAnsi="Arial" w:cs="Arial"/>
                <w:sz w:val="18"/>
                <w:szCs w:val="18"/>
              </w:rPr>
            </w:pPr>
            <w:bookmarkStart w:id="360" w:name="Note_ROPTABLE1" w:colFirst="0" w:colLast="0"/>
            <w:r>
              <w:rPr>
                <w:rFonts w:ascii="Arial" w:hAnsi="Arial" w:cs="Arial"/>
                <w:sz w:val="18"/>
                <w:szCs w:val="18"/>
              </w:rPr>
              <w:t> </w:t>
            </w:r>
          </w:p>
        </w:tc>
        <w:tc>
          <w:tcPr>
            <w:tcW w:w="1254" w:type="dxa"/>
            <w:tcBorders>
              <w:top w:val="single" w:sz="4" w:space="0" w:color="auto"/>
              <w:left w:val="nil"/>
              <w:bottom w:val="nil"/>
              <w:right w:val="nil"/>
            </w:tcBorders>
            <w:shd w:val="clear" w:color="FFFFFF" w:fill="FFFFFF"/>
            <w:vAlign w:val="bottom"/>
            <w:hideMark/>
          </w:tcPr>
          <w:p w14:paraId="1319FA1B" w14:textId="77777777" w:rsidR="00A43992" w:rsidRDefault="00A43992" w:rsidP="007211E3">
            <w:pPr>
              <w:jc w:val="right"/>
              <w:rPr>
                <w:rFonts w:ascii="Arial" w:hAnsi="Arial" w:cs="Arial"/>
                <w:b/>
                <w:bCs/>
                <w:sz w:val="18"/>
                <w:szCs w:val="18"/>
              </w:rPr>
            </w:pPr>
            <w:r>
              <w:rPr>
                <w:rFonts w:ascii="Arial" w:hAnsi="Arial" w:cs="Arial"/>
                <w:b/>
                <w:bCs/>
                <w:sz w:val="18"/>
                <w:szCs w:val="18"/>
              </w:rPr>
              <w:t>Participant plan provision</w:t>
            </w:r>
          </w:p>
        </w:tc>
        <w:tc>
          <w:tcPr>
            <w:tcW w:w="1254" w:type="dxa"/>
            <w:tcBorders>
              <w:top w:val="single" w:sz="4" w:space="0" w:color="auto"/>
              <w:left w:val="nil"/>
              <w:bottom w:val="nil"/>
              <w:right w:val="nil"/>
            </w:tcBorders>
            <w:shd w:val="clear" w:color="FFFFFF" w:fill="FFFFFF"/>
            <w:vAlign w:val="bottom"/>
            <w:hideMark/>
          </w:tcPr>
          <w:p w14:paraId="669C8811" w14:textId="77777777" w:rsidR="00A43992" w:rsidRDefault="00A43992" w:rsidP="007211E3">
            <w:pPr>
              <w:jc w:val="right"/>
              <w:rPr>
                <w:rFonts w:ascii="Arial" w:hAnsi="Arial" w:cs="Arial"/>
                <w:b/>
                <w:bCs/>
                <w:sz w:val="18"/>
                <w:szCs w:val="18"/>
              </w:rPr>
            </w:pPr>
            <w:r>
              <w:rPr>
                <w:rFonts w:ascii="Arial" w:hAnsi="Arial" w:cs="Arial"/>
                <w:b/>
                <w:bCs/>
                <w:sz w:val="18"/>
                <w:szCs w:val="18"/>
              </w:rPr>
              <w:t>Provision for restoration</w:t>
            </w:r>
          </w:p>
        </w:tc>
        <w:tc>
          <w:tcPr>
            <w:tcW w:w="1254" w:type="dxa"/>
            <w:tcBorders>
              <w:top w:val="single" w:sz="4" w:space="0" w:color="auto"/>
              <w:left w:val="nil"/>
              <w:bottom w:val="nil"/>
              <w:right w:val="nil"/>
            </w:tcBorders>
            <w:shd w:val="clear" w:color="FFFFFF" w:fill="FFFFFF"/>
            <w:vAlign w:val="bottom"/>
            <w:hideMark/>
          </w:tcPr>
          <w:p w14:paraId="1E1CDF1A" w14:textId="77777777" w:rsidR="00A43992" w:rsidRDefault="00A43992" w:rsidP="007211E3">
            <w:pPr>
              <w:jc w:val="right"/>
              <w:rPr>
                <w:rFonts w:ascii="Arial" w:hAnsi="Arial" w:cs="Arial"/>
                <w:b/>
                <w:bCs/>
                <w:sz w:val="18"/>
                <w:szCs w:val="18"/>
              </w:rPr>
            </w:pPr>
            <w:r>
              <w:rPr>
                <w:rFonts w:ascii="Arial" w:hAnsi="Arial" w:cs="Arial"/>
                <w:b/>
                <w:bCs/>
                <w:sz w:val="18"/>
                <w:szCs w:val="18"/>
              </w:rPr>
              <w:t>Total</w:t>
            </w:r>
          </w:p>
        </w:tc>
      </w:tr>
      <w:bookmarkEnd w:id="360"/>
      <w:tr w:rsidR="00A43992" w14:paraId="5A9589DA" w14:textId="77777777" w:rsidTr="007211E3">
        <w:trPr>
          <w:trHeight w:val="255"/>
        </w:trPr>
        <w:tc>
          <w:tcPr>
            <w:tcW w:w="5325" w:type="dxa"/>
            <w:tcBorders>
              <w:top w:val="nil"/>
              <w:left w:val="nil"/>
              <w:bottom w:val="single" w:sz="4" w:space="0" w:color="auto"/>
              <w:right w:val="nil"/>
            </w:tcBorders>
            <w:shd w:val="clear" w:color="FFFFFF" w:fill="FFFFFF"/>
            <w:vAlign w:val="bottom"/>
            <w:hideMark/>
          </w:tcPr>
          <w:p w14:paraId="3E3D9116" w14:textId="77777777" w:rsidR="00A43992" w:rsidRDefault="00A43992" w:rsidP="007211E3">
            <w:pPr>
              <w:rPr>
                <w:rFonts w:ascii="Arial" w:hAnsi="Arial" w:cs="Arial"/>
                <w:sz w:val="18"/>
                <w:szCs w:val="18"/>
              </w:rPr>
            </w:pPr>
            <w:r>
              <w:rPr>
                <w:rFonts w:ascii="Arial" w:hAnsi="Arial" w:cs="Arial"/>
                <w:sz w:val="18"/>
                <w:szCs w:val="18"/>
              </w:rPr>
              <w:t> </w:t>
            </w:r>
          </w:p>
        </w:tc>
        <w:tc>
          <w:tcPr>
            <w:tcW w:w="1254" w:type="dxa"/>
            <w:tcBorders>
              <w:top w:val="nil"/>
              <w:left w:val="nil"/>
              <w:bottom w:val="single" w:sz="4" w:space="0" w:color="auto"/>
              <w:right w:val="nil"/>
            </w:tcBorders>
            <w:shd w:val="clear" w:color="FFFFFF" w:fill="FFFFFF"/>
            <w:vAlign w:val="bottom"/>
            <w:hideMark/>
          </w:tcPr>
          <w:p w14:paraId="5AF3CFE8" w14:textId="77777777" w:rsidR="00A43992" w:rsidRDefault="00A43992" w:rsidP="007211E3">
            <w:pPr>
              <w:jc w:val="right"/>
              <w:rPr>
                <w:rFonts w:ascii="Arial" w:hAnsi="Arial" w:cs="Arial"/>
                <w:b/>
                <w:bCs/>
                <w:sz w:val="18"/>
                <w:szCs w:val="18"/>
              </w:rPr>
            </w:pPr>
            <w:r>
              <w:rPr>
                <w:rFonts w:ascii="Arial" w:hAnsi="Arial" w:cs="Arial"/>
                <w:b/>
                <w:bCs/>
                <w:sz w:val="18"/>
                <w:szCs w:val="18"/>
              </w:rPr>
              <w:t>$’000</w:t>
            </w:r>
          </w:p>
        </w:tc>
        <w:tc>
          <w:tcPr>
            <w:tcW w:w="1254" w:type="dxa"/>
            <w:tcBorders>
              <w:top w:val="nil"/>
              <w:left w:val="nil"/>
              <w:bottom w:val="single" w:sz="4" w:space="0" w:color="auto"/>
              <w:right w:val="nil"/>
            </w:tcBorders>
            <w:shd w:val="clear" w:color="FFFFFF" w:fill="FFFFFF"/>
            <w:vAlign w:val="bottom"/>
            <w:hideMark/>
          </w:tcPr>
          <w:p w14:paraId="567BEC18" w14:textId="77777777" w:rsidR="00A43992" w:rsidRDefault="00A43992" w:rsidP="007211E3">
            <w:pPr>
              <w:jc w:val="right"/>
              <w:rPr>
                <w:rFonts w:ascii="Arial" w:hAnsi="Arial" w:cs="Arial"/>
                <w:b/>
                <w:bCs/>
                <w:sz w:val="18"/>
                <w:szCs w:val="18"/>
              </w:rPr>
            </w:pPr>
            <w:r>
              <w:rPr>
                <w:rFonts w:ascii="Arial" w:hAnsi="Arial" w:cs="Arial"/>
                <w:b/>
                <w:bCs/>
                <w:sz w:val="18"/>
                <w:szCs w:val="18"/>
              </w:rPr>
              <w:t>$’000</w:t>
            </w:r>
          </w:p>
        </w:tc>
        <w:tc>
          <w:tcPr>
            <w:tcW w:w="1254" w:type="dxa"/>
            <w:tcBorders>
              <w:top w:val="nil"/>
              <w:left w:val="nil"/>
              <w:bottom w:val="single" w:sz="4" w:space="0" w:color="auto"/>
              <w:right w:val="nil"/>
            </w:tcBorders>
            <w:shd w:val="clear" w:color="FFFFFF" w:fill="FFFFFF"/>
            <w:vAlign w:val="bottom"/>
            <w:hideMark/>
          </w:tcPr>
          <w:p w14:paraId="6B1D3560" w14:textId="77777777" w:rsidR="00A43992" w:rsidRDefault="00A43992" w:rsidP="007211E3">
            <w:pPr>
              <w:jc w:val="right"/>
              <w:rPr>
                <w:rFonts w:ascii="Arial" w:hAnsi="Arial" w:cs="Arial"/>
                <w:b/>
                <w:bCs/>
                <w:sz w:val="18"/>
                <w:szCs w:val="18"/>
              </w:rPr>
            </w:pPr>
            <w:r>
              <w:rPr>
                <w:rFonts w:ascii="Arial" w:hAnsi="Arial" w:cs="Arial"/>
                <w:b/>
                <w:bCs/>
                <w:sz w:val="18"/>
                <w:szCs w:val="18"/>
              </w:rPr>
              <w:t>$’000</w:t>
            </w:r>
          </w:p>
        </w:tc>
      </w:tr>
      <w:tr w:rsidR="00A43992" w14:paraId="42CFC981" w14:textId="77777777" w:rsidTr="007211E3">
        <w:trPr>
          <w:trHeight w:val="255"/>
        </w:trPr>
        <w:tc>
          <w:tcPr>
            <w:tcW w:w="5325" w:type="dxa"/>
            <w:tcBorders>
              <w:top w:val="nil"/>
              <w:left w:val="nil"/>
              <w:bottom w:val="nil"/>
              <w:right w:val="nil"/>
            </w:tcBorders>
            <w:shd w:val="clear" w:color="FFFFFF" w:fill="FFFFFF"/>
            <w:vAlign w:val="bottom"/>
            <w:hideMark/>
          </w:tcPr>
          <w:p w14:paraId="35D65247" w14:textId="77777777" w:rsidR="00A43992" w:rsidRDefault="00A43992" w:rsidP="007211E3">
            <w:pPr>
              <w:rPr>
                <w:rFonts w:ascii="Arial" w:hAnsi="Arial" w:cs="Arial"/>
                <w:b/>
                <w:bCs/>
                <w:sz w:val="18"/>
                <w:szCs w:val="18"/>
              </w:rPr>
            </w:pPr>
            <w:r>
              <w:rPr>
                <w:rFonts w:ascii="Arial" w:hAnsi="Arial" w:cs="Arial"/>
                <w:b/>
                <w:bCs/>
                <w:sz w:val="18"/>
                <w:szCs w:val="18"/>
              </w:rPr>
              <w:t>Carrying amount 1 July 2015</w:t>
            </w:r>
          </w:p>
        </w:tc>
        <w:tc>
          <w:tcPr>
            <w:tcW w:w="1254" w:type="dxa"/>
            <w:tcBorders>
              <w:top w:val="nil"/>
              <w:left w:val="nil"/>
              <w:bottom w:val="nil"/>
              <w:right w:val="nil"/>
            </w:tcBorders>
            <w:shd w:val="clear" w:color="FFFFFF" w:fill="FFFFFF"/>
            <w:noWrap/>
            <w:vAlign w:val="bottom"/>
            <w:hideMark/>
          </w:tcPr>
          <w:p w14:paraId="7A1F3EB6" w14:textId="77777777" w:rsidR="00A43992" w:rsidRDefault="00A43992" w:rsidP="007211E3">
            <w:pPr>
              <w:jc w:val="right"/>
              <w:rPr>
                <w:rFonts w:ascii="Arial" w:hAnsi="Arial" w:cs="Arial"/>
                <w:b/>
                <w:bCs/>
                <w:sz w:val="18"/>
                <w:szCs w:val="18"/>
              </w:rPr>
            </w:pPr>
            <w:r>
              <w:rPr>
                <w:rFonts w:ascii="Arial" w:hAnsi="Arial" w:cs="Arial"/>
                <w:b/>
                <w:bCs/>
                <w:sz w:val="18"/>
                <w:szCs w:val="18"/>
              </w:rPr>
              <w:t>163,088</w:t>
            </w:r>
          </w:p>
        </w:tc>
        <w:tc>
          <w:tcPr>
            <w:tcW w:w="1254" w:type="dxa"/>
            <w:tcBorders>
              <w:top w:val="nil"/>
              <w:left w:val="nil"/>
              <w:bottom w:val="nil"/>
              <w:right w:val="nil"/>
            </w:tcBorders>
            <w:shd w:val="clear" w:color="FFFFFF" w:fill="FFFFFF"/>
            <w:noWrap/>
            <w:vAlign w:val="bottom"/>
            <w:hideMark/>
          </w:tcPr>
          <w:p w14:paraId="1BB5D2EA" w14:textId="77777777" w:rsidR="00A43992" w:rsidRDefault="00A43992" w:rsidP="007211E3">
            <w:pPr>
              <w:jc w:val="right"/>
              <w:rPr>
                <w:rFonts w:ascii="Arial" w:hAnsi="Arial" w:cs="Arial"/>
                <w:b/>
                <w:bCs/>
                <w:sz w:val="18"/>
                <w:szCs w:val="18"/>
              </w:rPr>
            </w:pPr>
            <w:r>
              <w:rPr>
                <w:rFonts w:ascii="Arial" w:hAnsi="Arial" w:cs="Arial"/>
                <w:b/>
                <w:bCs/>
                <w:sz w:val="18"/>
                <w:szCs w:val="18"/>
              </w:rPr>
              <w:t>2,642</w:t>
            </w:r>
          </w:p>
        </w:tc>
        <w:tc>
          <w:tcPr>
            <w:tcW w:w="1254" w:type="dxa"/>
            <w:tcBorders>
              <w:top w:val="nil"/>
              <w:left w:val="nil"/>
              <w:bottom w:val="nil"/>
              <w:right w:val="nil"/>
            </w:tcBorders>
            <w:shd w:val="clear" w:color="FFFFFF" w:fill="FFFFFF"/>
            <w:noWrap/>
            <w:vAlign w:val="bottom"/>
            <w:hideMark/>
          </w:tcPr>
          <w:p w14:paraId="29692C28" w14:textId="77777777" w:rsidR="00A43992" w:rsidRDefault="00A43992" w:rsidP="007211E3">
            <w:pPr>
              <w:jc w:val="right"/>
              <w:rPr>
                <w:rFonts w:ascii="Arial" w:hAnsi="Arial" w:cs="Arial"/>
                <w:b/>
                <w:bCs/>
                <w:sz w:val="18"/>
                <w:szCs w:val="18"/>
              </w:rPr>
            </w:pPr>
            <w:r>
              <w:rPr>
                <w:rFonts w:ascii="Arial" w:hAnsi="Arial" w:cs="Arial"/>
                <w:b/>
                <w:bCs/>
                <w:sz w:val="18"/>
                <w:szCs w:val="18"/>
              </w:rPr>
              <w:t>165,730</w:t>
            </w:r>
          </w:p>
        </w:tc>
      </w:tr>
      <w:tr w:rsidR="00A43992" w14:paraId="4D5F6F85" w14:textId="77777777" w:rsidTr="007211E3">
        <w:trPr>
          <w:trHeight w:val="255"/>
        </w:trPr>
        <w:tc>
          <w:tcPr>
            <w:tcW w:w="5325" w:type="dxa"/>
            <w:tcBorders>
              <w:top w:val="nil"/>
              <w:left w:val="nil"/>
              <w:bottom w:val="nil"/>
              <w:right w:val="nil"/>
            </w:tcBorders>
            <w:shd w:val="clear" w:color="FFFFFF" w:fill="FFFFFF"/>
            <w:vAlign w:val="bottom"/>
            <w:hideMark/>
          </w:tcPr>
          <w:p w14:paraId="387244F0" w14:textId="77777777" w:rsidR="00A43992" w:rsidRDefault="00A43992" w:rsidP="007211E3">
            <w:pPr>
              <w:rPr>
                <w:rFonts w:ascii="Arial" w:hAnsi="Arial" w:cs="Arial"/>
                <w:sz w:val="18"/>
                <w:szCs w:val="18"/>
              </w:rPr>
            </w:pPr>
            <w:r>
              <w:rPr>
                <w:rFonts w:ascii="Arial" w:hAnsi="Arial" w:cs="Arial"/>
                <w:sz w:val="18"/>
                <w:szCs w:val="18"/>
              </w:rPr>
              <w:t>Additional provisions made</w:t>
            </w:r>
          </w:p>
        </w:tc>
        <w:tc>
          <w:tcPr>
            <w:tcW w:w="1254" w:type="dxa"/>
            <w:tcBorders>
              <w:top w:val="nil"/>
              <w:left w:val="nil"/>
              <w:bottom w:val="nil"/>
              <w:right w:val="nil"/>
            </w:tcBorders>
            <w:shd w:val="clear" w:color="FFFFFF" w:fill="FFFFFF"/>
            <w:noWrap/>
            <w:vAlign w:val="bottom"/>
            <w:hideMark/>
          </w:tcPr>
          <w:p w14:paraId="12CB7452" w14:textId="77777777" w:rsidR="00A43992" w:rsidRPr="00267088" w:rsidRDefault="00A43992" w:rsidP="007211E3">
            <w:pPr>
              <w:jc w:val="right"/>
              <w:rPr>
                <w:rFonts w:ascii="Arial" w:hAnsi="Arial" w:cs="Arial"/>
                <w:b/>
                <w:bCs/>
                <w:sz w:val="18"/>
                <w:szCs w:val="18"/>
              </w:rPr>
            </w:pPr>
            <w:r w:rsidRPr="00267088">
              <w:rPr>
                <w:rFonts w:ascii="Arial" w:hAnsi="Arial" w:cs="Arial"/>
                <w:b/>
                <w:bCs/>
                <w:sz w:val="18"/>
                <w:szCs w:val="18"/>
              </w:rPr>
              <w:t>206,644</w:t>
            </w:r>
          </w:p>
        </w:tc>
        <w:tc>
          <w:tcPr>
            <w:tcW w:w="1254" w:type="dxa"/>
            <w:tcBorders>
              <w:top w:val="nil"/>
              <w:left w:val="nil"/>
              <w:bottom w:val="nil"/>
              <w:right w:val="nil"/>
            </w:tcBorders>
            <w:shd w:val="clear" w:color="FFFFFF" w:fill="FFFFFF"/>
            <w:noWrap/>
            <w:vAlign w:val="bottom"/>
            <w:hideMark/>
          </w:tcPr>
          <w:p w14:paraId="223A2C0E" w14:textId="77777777" w:rsidR="00A43992" w:rsidRPr="00267088" w:rsidRDefault="00A43992" w:rsidP="007211E3">
            <w:pPr>
              <w:jc w:val="right"/>
              <w:rPr>
                <w:rFonts w:ascii="Arial" w:hAnsi="Arial" w:cs="Arial"/>
                <w:b/>
                <w:bCs/>
                <w:sz w:val="18"/>
                <w:szCs w:val="18"/>
              </w:rPr>
            </w:pPr>
            <w:r w:rsidRPr="00267088">
              <w:rPr>
                <w:rFonts w:ascii="Arial" w:hAnsi="Arial" w:cs="Arial"/>
                <w:b/>
                <w:bCs/>
                <w:sz w:val="18"/>
                <w:szCs w:val="18"/>
              </w:rPr>
              <w:t>76</w:t>
            </w:r>
          </w:p>
        </w:tc>
        <w:tc>
          <w:tcPr>
            <w:tcW w:w="1254" w:type="dxa"/>
            <w:tcBorders>
              <w:top w:val="nil"/>
              <w:left w:val="nil"/>
              <w:bottom w:val="nil"/>
              <w:right w:val="nil"/>
            </w:tcBorders>
            <w:shd w:val="clear" w:color="FFFFFF" w:fill="FFFFFF"/>
            <w:noWrap/>
            <w:vAlign w:val="bottom"/>
            <w:hideMark/>
          </w:tcPr>
          <w:p w14:paraId="2CB8ECC1" w14:textId="77777777" w:rsidR="00A43992" w:rsidRPr="00267088" w:rsidRDefault="00A43992" w:rsidP="007211E3">
            <w:pPr>
              <w:jc w:val="right"/>
              <w:rPr>
                <w:rFonts w:ascii="Arial" w:hAnsi="Arial" w:cs="Arial"/>
                <w:b/>
                <w:bCs/>
                <w:sz w:val="18"/>
                <w:szCs w:val="18"/>
              </w:rPr>
            </w:pPr>
            <w:r w:rsidRPr="00267088">
              <w:rPr>
                <w:rFonts w:ascii="Arial" w:hAnsi="Arial" w:cs="Arial"/>
                <w:b/>
                <w:bCs/>
                <w:sz w:val="18"/>
                <w:szCs w:val="18"/>
              </w:rPr>
              <w:t>206,720</w:t>
            </w:r>
          </w:p>
        </w:tc>
      </w:tr>
      <w:tr w:rsidR="00A43992" w14:paraId="57CA28E9" w14:textId="77777777" w:rsidTr="007211E3">
        <w:trPr>
          <w:trHeight w:val="270"/>
        </w:trPr>
        <w:tc>
          <w:tcPr>
            <w:tcW w:w="5325" w:type="dxa"/>
            <w:tcBorders>
              <w:top w:val="nil"/>
              <w:left w:val="nil"/>
              <w:bottom w:val="nil"/>
              <w:right w:val="nil"/>
            </w:tcBorders>
            <w:shd w:val="clear" w:color="FFFFFF" w:fill="FFFFFF"/>
            <w:vAlign w:val="bottom"/>
            <w:hideMark/>
          </w:tcPr>
          <w:p w14:paraId="61461F20" w14:textId="77777777" w:rsidR="00A43992" w:rsidRDefault="00A43992" w:rsidP="007211E3">
            <w:pPr>
              <w:rPr>
                <w:rFonts w:ascii="Arial" w:hAnsi="Arial" w:cs="Arial"/>
                <w:sz w:val="18"/>
                <w:szCs w:val="18"/>
              </w:rPr>
            </w:pPr>
            <w:r>
              <w:rPr>
                <w:rFonts w:ascii="Arial" w:hAnsi="Arial" w:cs="Arial"/>
                <w:sz w:val="18"/>
                <w:szCs w:val="18"/>
              </w:rPr>
              <w:t>Amounts reversed</w:t>
            </w:r>
            <w:r>
              <w:rPr>
                <w:rFonts w:ascii="Arial" w:hAnsi="Arial" w:cs="Arial"/>
                <w:sz w:val="18"/>
                <w:szCs w:val="18"/>
                <w:vertAlign w:val="superscript"/>
              </w:rPr>
              <w:t>1</w:t>
            </w:r>
          </w:p>
        </w:tc>
        <w:tc>
          <w:tcPr>
            <w:tcW w:w="1254" w:type="dxa"/>
            <w:tcBorders>
              <w:top w:val="nil"/>
              <w:left w:val="nil"/>
              <w:bottom w:val="nil"/>
              <w:right w:val="nil"/>
            </w:tcBorders>
            <w:shd w:val="clear" w:color="FFFFFF" w:fill="FFFFFF"/>
            <w:noWrap/>
            <w:vAlign w:val="bottom"/>
            <w:hideMark/>
          </w:tcPr>
          <w:p w14:paraId="5A24F859" w14:textId="77777777" w:rsidR="00A43992" w:rsidRPr="00267088" w:rsidRDefault="00A43992" w:rsidP="007211E3">
            <w:pPr>
              <w:jc w:val="right"/>
              <w:rPr>
                <w:rFonts w:ascii="Arial" w:hAnsi="Arial" w:cs="Arial"/>
                <w:b/>
                <w:bCs/>
                <w:sz w:val="18"/>
                <w:szCs w:val="18"/>
              </w:rPr>
            </w:pPr>
            <w:r w:rsidRPr="00267088">
              <w:rPr>
                <w:rFonts w:ascii="Arial" w:hAnsi="Arial" w:cs="Arial"/>
                <w:b/>
                <w:bCs/>
                <w:sz w:val="18"/>
                <w:szCs w:val="18"/>
              </w:rPr>
              <w:t>(120,169)</w:t>
            </w:r>
          </w:p>
        </w:tc>
        <w:tc>
          <w:tcPr>
            <w:tcW w:w="1254" w:type="dxa"/>
            <w:tcBorders>
              <w:top w:val="nil"/>
              <w:left w:val="nil"/>
              <w:bottom w:val="nil"/>
              <w:right w:val="nil"/>
            </w:tcBorders>
            <w:shd w:val="clear" w:color="FFFFFF" w:fill="FFFFFF"/>
            <w:noWrap/>
            <w:vAlign w:val="bottom"/>
            <w:hideMark/>
          </w:tcPr>
          <w:p w14:paraId="5758537C" w14:textId="77777777" w:rsidR="00A43992" w:rsidRPr="00267088" w:rsidRDefault="00A43992" w:rsidP="007211E3">
            <w:pPr>
              <w:jc w:val="right"/>
              <w:rPr>
                <w:rFonts w:ascii="Arial" w:hAnsi="Arial" w:cs="Arial"/>
                <w:b/>
                <w:bCs/>
                <w:sz w:val="18"/>
                <w:szCs w:val="18"/>
              </w:rPr>
            </w:pPr>
            <w:r w:rsidRPr="00267088">
              <w:rPr>
                <w:rFonts w:ascii="Arial" w:hAnsi="Arial" w:cs="Arial"/>
                <w:b/>
                <w:bCs/>
                <w:sz w:val="18"/>
                <w:szCs w:val="18"/>
              </w:rPr>
              <w:t>(150)</w:t>
            </w:r>
          </w:p>
        </w:tc>
        <w:tc>
          <w:tcPr>
            <w:tcW w:w="1254" w:type="dxa"/>
            <w:tcBorders>
              <w:top w:val="nil"/>
              <w:left w:val="nil"/>
              <w:bottom w:val="nil"/>
              <w:right w:val="nil"/>
            </w:tcBorders>
            <w:shd w:val="clear" w:color="FFFFFF" w:fill="FFFFFF"/>
            <w:noWrap/>
            <w:vAlign w:val="bottom"/>
            <w:hideMark/>
          </w:tcPr>
          <w:p w14:paraId="72879E20" w14:textId="77777777" w:rsidR="00A43992" w:rsidRPr="00267088" w:rsidRDefault="00A43992" w:rsidP="007211E3">
            <w:pPr>
              <w:jc w:val="right"/>
              <w:rPr>
                <w:rFonts w:ascii="Arial" w:hAnsi="Arial" w:cs="Arial"/>
                <w:b/>
                <w:bCs/>
                <w:sz w:val="18"/>
                <w:szCs w:val="18"/>
              </w:rPr>
            </w:pPr>
            <w:r w:rsidRPr="00267088">
              <w:rPr>
                <w:rFonts w:ascii="Arial" w:hAnsi="Arial" w:cs="Arial"/>
                <w:b/>
                <w:bCs/>
                <w:sz w:val="18"/>
                <w:szCs w:val="18"/>
              </w:rPr>
              <w:t>(120,319)</w:t>
            </w:r>
          </w:p>
        </w:tc>
      </w:tr>
      <w:tr w:rsidR="00A43992" w14:paraId="2C6BE897" w14:textId="77777777" w:rsidTr="007211E3">
        <w:trPr>
          <w:trHeight w:val="255"/>
        </w:trPr>
        <w:tc>
          <w:tcPr>
            <w:tcW w:w="5325" w:type="dxa"/>
            <w:tcBorders>
              <w:top w:val="nil"/>
              <w:left w:val="nil"/>
              <w:bottom w:val="nil"/>
              <w:right w:val="nil"/>
            </w:tcBorders>
            <w:shd w:val="clear" w:color="FFFFFF" w:fill="FFFFFF"/>
            <w:vAlign w:val="bottom"/>
            <w:hideMark/>
          </w:tcPr>
          <w:p w14:paraId="01905315" w14:textId="77777777" w:rsidR="00A43992" w:rsidRDefault="00A43992" w:rsidP="007211E3">
            <w:pPr>
              <w:rPr>
                <w:rFonts w:ascii="Arial" w:hAnsi="Arial" w:cs="Arial"/>
                <w:sz w:val="18"/>
                <w:szCs w:val="18"/>
              </w:rPr>
            </w:pPr>
            <w:r>
              <w:rPr>
                <w:rFonts w:ascii="Arial" w:hAnsi="Arial" w:cs="Arial"/>
                <w:sz w:val="18"/>
                <w:szCs w:val="18"/>
              </w:rPr>
              <w:t>Amounts used</w:t>
            </w:r>
          </w:p>
        </w:tc>
        <w:tc>
          <w:tcPr>
            <w:tcW w:w="1254" w:type="dxa"/>
            <w:tcBorders>
              <w:top w:val="nil"/>
              <w:left w:val="nil"/>
              <w:bottom w:val="nil"/>
              <w:right w:val="nil"/>
            </w:tcBorders>
            <w:shd w:val="clear" w:color="FFFFFF" w:fill="FFFFFF"/>
            <w:noWrap/>
            <w:vAlign w:val="bottom"/>
            <w:hideMark/>
          </w:tcPr>
          <w:p w14:paraId="18CFF757" w14:textId="77777777" w:rsidR="00A43992" w:rsidRPr="00267088" w:rsidRDefault="00A43992" w:rsidP="007211E3">
            <w:pPr>
              <w:jc w:val="right"/>
              <w:rPr>
                <w:rFonts w:ascii="Arial" w:hAnsi="Arial" w:cs="Arial"/>
                <w:b/>
                <w:bCs/>
                <w:sz w:val="18"/>
                <w:szCs w:val="18"/>
              </w:rPr>
            </w:pPr>
            <w:r w:rsidRPr="00267088">
              <w:rPr>
                <w:rFonts w:ascii="Arial" w:hAnsi="Arial" w:cs="Arial"/>
                <w:b/>
                <w:bCs/>
                <w:sz w:val="18"/>
                <w:szCs w:val="18"/>
              </w:rPr>
              <w:t>(33,711)</w:t>
            </w:r>
          </w:p>
        </w:tc>
        <w:tc>
          <w:tcPr>
            <w:tcW w:w="1254" w:type="dxa"/>
            <w:tcBorders>
              <w:top w:val="nil"/>
              <w:left w:val="nil"/>
              <w:bottom w:val="nil"/>
              <w:right w:val="nil"/>
            </w:tcBorders>
            <w:shd w:val="clear" w:color="FFFFFF" w:fill="FFFFFF"/>
            <w:noWrap/>
            <w:vAlign w:val="bottom"/>
            <w:hideMark/>
          </w:tcPr>
          <w:p w14:paraId="7D508C9C" w14:textId="77777777" w:rsidR="00A43992" w:rsidRPr="00267088" w:rsidRDefault="00A43992" w:rsidP="007211E3">
            <w:pPr>
              <w:jc w:val="right"/>
              <w:rPr>
                <w:rFonts w:ascii="Arial" w:hAnsi="Arial" w:cs="Arial"/>
                <w:b/>
                <w:bCs/>
                <w:sz w:val="18"/>
                <w:szCs w:val="18"/>
              </w:rPr>
            </w:pPr>
            <w:r w:rsidRPr="00267088">
              <w:rPr>
                <w:rFonts w:ascii="Arial" w:hAnsi="Arial" w:cs="Arial"/>
                <w:b/>
                <w:bCs/>
                <w:sz w:val="18"/>
                <w:szCs w:val="18"/>
              </w:rPr>
              <w:t>-</w:t>
            </w:r>
          </w:p>
        </w:tc>
        <w:tc>
          <w:tcPr>
            <w:tcW w:w="1254" w:type="dxa"/>
            <w:tcBorders>
              <w:top w:val="nil"/>
              <w:left w:val="nil"/>
              <w:bottom w:val="nil"/>
              <w:right w:val="nil"/>
            </w:tcBorders>
            <w:shd w:val="clear" w:color="FFFFFF" w:fill="FFFFFF"/>
            <w:noWrap/>
            <w:vAlign w:val="bottom"/>
            <w:hideMark/>
          </w:tcPr>
          <w:p w14:paraId="162F375F" w14:textId="77777777" w:rsidR="00A43992" w:rsidRPr="00267088" w:rsidRDefault="00A43992" w:rsidP="007211E3">
            <w:pPr>
              <w:jc w:val="right"/>
              <w:rPr>
                <w:rFonts w:ascii="Arial" w:hAnsi="Arial" w:cs="Arial"/>
                <w:b/>
                <w:bCs/>
                <w:sz w:val="18"/>
                <w:szCs w:val="18"/>
              </w:rPr>
            </w:pPr>
            <w:r w:rsidRPr="00267088">
              <w:rPr>
                <w:rFonts w:ascii="Arial" w:hAnsi="Arial" w:cs="Arial"/>
                <w:b/>
                <w:bCs/>
                <w:sz w:val="18"/>
                <w:szCs w:val="18"/>
              </w:rPr>
              <w:t>(33,711)</w:t>
            </w:r>
          </w:p>
        </w:tc>
      </w:tr>
      <w:tr w:rsidR="00A43992" w14:paraId="2603F039" w14:textId="77777777" w:rsidTr="007211E3">
        <w:trPr>
          <w:trHeight w:val="255"/>
        </w:trPr>
        <w:tc>
          <w:tcPr>
            <w:tcW w:w="5325" w:type="dxa"/>
            <w:tcBorders>
              <w:top w:val="nil"/>
              <w:left w:val="nil"/>
              <w:bottom w:val="nil"/>
              <w:right w:val="nil"/>
            </w:tcBorders>
            <w:shd w:val="clear" w:color="FFFFFF" w:fill="FFFFFF"/>
            <w:vAlign w:val="bottom"/>
            <w:hideMark/>
          </w:tcPr>
          <w:p w14:paraId="42C6C1B8" w14:textId="77777777" w:rsidR="00A43992" w:rsidRDefault="00A43992" w:rsidP="007211E3">
            <w:pPr>
              <w:rPr>
                <w:rFonts w:ascii="Arial" w:hAnsi="Arial" w:cs="Arial"/>
                <w:sz w:val="18"/>
                <w:szCs w:val="18"/>
              </w:rPr>
            </w:pPr>
            <w:r>
              <w:rPr>
                <w:rFonts w:ascii="Arial" w:hAnsi="Arial" w:cs="Arial"/>
                <w:sz w:val="18"/>
                <w:szCs w:val="18"/>
              </w:rPr>
              <w:t>Unwinding of discount or change in discount rate</w:t>
            </w:r>
          </w:p>
        </w:tc>
        <w:tc>
          <w:tcPr>
            <w:tcW w:w="1254" w:type="dxa"/>
            <w:tcBorders>
              <w:top w:val="nil"/>
              <w:left w:val="nil"/>
              <w:bottom w:val="nil"/>
              <w:right w:val="nil"/>
            </w:tcBorders>
            <w:shd w:val="clear" w:color="FFFFFF" w:fill="FFFFFF"/>
            <w:noWrap/>
            <w:vAlign w:val="bottom"/>
            <w:hideMark/>
          </w:tcPr>
          <w:p w14:paraId="5E029A04" w14:textId="77777777" w:rsidR="00A43992" w:rsidRPr="00267088" w:rsidRDefault="00A43992" w:rsidP="007211E3">
            <w:pPr>
              <w:jc w:val="right"/>
              <w:rPr>
                <w:rFonts w:ascii="Arial" w:hAnsi="Arial" w:cs="Arial"/>
                <w:b/>
                <w:bCs/>
                <w:sz w:val="18"/>
                <w:szCs w:val="18"/>
              </w:rPr>
            </w:pPr>
            <w:r w:rsidRPr="00267088">
              <w:rPr>
                <w:rFonts w:ascii="Arial" w:hAnsi="Arial" w:cs="Arial"/>
                <w:b/>
                <w:bCs/>
                <w:sz w:val="18"/>
                <w:szCs w:val="18"/>
              </w:rPr>
              <w:t>-</w:t>
            </w:r>
          </w:p>
        </w:tc>
        <w:tc>
          <w:tcPr>
            <w:tcW w:w="1254" w:type="dxa"/>
            <w:tcBorders>
              <w:top w:val="nil"/>
              <w:left w:val="nil"/>
              <w:bottom w:val="nil"/>
              <w:right w:val="nil"/>
            </w:tcBorders>
            <w:shd w:val="clear" w:color="FFFFFF" w:fill="FFFFFF"/>
            <w:noWrap/>
            <w:vAlign w:val="bottom"/>
            <w:hideMark/>
          </w:tcPr>
          <w:p w14:paraId="24DB740E" w14:textId="77777777" w:rsidR="00A43992" w:rsidRPr="00267088" w:rsidRDefault="00A43992" w:rsidP="007211E3">
            <w:pPr>
              <w:jc w:val="right"/>
              <w:rPr>
                <w:rFonts w:ascii="Arial" w:hAnsi="Arial" w:cs="Arial"/>
                <w:b/>
                <w:bCs/>
                <w:sz w:val="18"/>
                <w:szCs w:val="18"/>
              </w:rPr>
            </w:pPr>
            <w:r w:rsidRPr="00267088">
              <w:rPr>
                <w:rFonts w:ascii="Arial" w:hAnsi="Arial" w:cs="Arial"/>
                <w:b/>
                <w:bCs/>
                <w:sz w:val="18"/>
                <w:szCs w:val="18"/>
              </w:rPr>
              <w:t>167</w:t>
            </w:r>
          </w:p>
        </w:tc>
        <w:tc>
          <w:tcPr>
            <w:tcW w:w="1254" w:type="dxa"/>
            <w:tcBorders>
              <w:top w:val="nil"/>
              <w:left w:val="nil"/>
              <w:bottom w:val="nil"/>
              <w:right w:val="nil"/>
            </w:tcBorders>
            <w:shd w:val="clear" w:color="FFFFFF" w:fill="FFFFFF"/>
            <w:noWrap/>
            <w:vAlign w:val="bottom"/>
            <w:hideMark/>
          </w:tcPr>
          <w:p w14:paraId="12000672" w14:textId="77777777" w:rsidR="00A43992" w:rsidRPr="00267088" w:rsidRDefault="00A43992" w:rsidP="007211E3">
            <w:pPr>
              <w:jc w:val="right"/>
              <w:rPr>
                <w:rFonts w:ascii="Arial" w:hAnsi="Arial" w:cs="Arial"/>
                <w:b/>
                <w:bCs/>
                <w:sz w:val="18"/>
                <w:szCs w:val="18"/>
              </w:rPr>
            </w:pPr>
            <w:r w:rsidRPr="00267088">
              <w:rPr>
                <w:rFonts w:ascii="Arial" w:hAnsi="Arial" w:cs="Arial"/>
                <w:b/>
                <w:bCs/>
                <w:sz w:val="18"/>
                <w:szCs w:val="18"/>
              </w:rPr>
              <w:t>167</w:t>
            </w:r>
          </w:p>
        </w:tc>
      </w:tr>
      <w:tr w:rsidR="00A43992" w14:paraId="01EC7A74" w14:textId="77777777" w:rsidTr="007211E3">
        <w:trPr>
          <w:trHeight w:val="255"/>
        </w:trPr>
        <w:tc>
          <w:tcPr>
            <w:tcW w:w="5325" w:type="dxa"/>
            <w:tcBorders>
              <w:top w:val="single" w:sz="4" w:space="0" w:color="auto"/>
              <w:left w:val="nil"/>
              <w:bottom w:val="single" w:sz="4" w:space="0" w:color="auto"/>
              <w:right w:val="nil"/>
            </w:tcBorders>
            <w:shd w:val="clear" w:color="FFFFFF" w:fill="FFFFFF"/>
            <w:vAlign w:val="bottom"/>
            <w:hideMark/>
          </w:tcPr>
          <w:p w14:paraId="00238604" w14:textId="77777777" w:rsidR="00A43992" w:rsidRDefault="00A43992" w:rsidP="007211E3">
            <w:pPr>
              <w:rPr>
                <w:rFonts w:ascii="Arial" w:hAnsi="Arial" w:cs="Arial"/>
                <w:b/>
                <w:bCs/>
                <w:sz w:val="18"/>
                <w:szCs w:val="18"/>
              </w:rPr>
            </w:pPr>
            <w:r>
              <w:rPr>
                <w:rFonts w:ascii="Arial" w:hAnsi="Arial" w:cs="Arial"/>
                <w:b/>
                <w:bCs/>
                <w:sz w:val="18"/>
                <w:szCs w:val="18"/>
              </w:rPr>
              <w:t>Closing balance 30 June 2016</w:t>
            </w:r>
          </w:p>
        </w:tc>
        <w:tc>
          <w:tcPr>
            <w:tcW w:w="1254" w:type="dxa"/>
            <w:tcBorders>
              <w:top w:val="single" w:sz="4" w:space="0" w:color="auto"/>
              <w:left w:val="nil"/>
              <w:bottom w:val="single" w:sz="4" w:space="0" w:color="auto"/>
              <w:right w:val="nil"/>
            </w:tcBorders>
            <w:shd w:val="clear" w:color="FFFFFF" w:fill="FFFFFF"/>
            <w:noWrap/>
            <w:vAlign w:val="bottom"/>
            <w:hideMark/>
          </w:tcPr>
          <w:p w14:paraId="6DD8E99E" w14:textId="77777777" w:rsidR="00A43992" w:rsidRPr="00267088" w:rsidRDefault="00A43992" w:rsidP="007211E3">
            <w:pPr>
              <w:jc w:val="right"/>
              <w:rPr>
                <w:rFonts w:ascii="Arial" w:hAnsi="Arial" w:cs="Arial"/>
                <w:b/>
                <w:bCs/>
                <w:sz w:val="18"/>
                <w:szCs w:val="18"/>
              </w:rPr>
            </w:pPr>
            <w:r w:rsidRPr="00267088">
              <w:rPr>
                <w:rFonts w:ascii="Arial" w:hAnsi="Arial" w:cs="Arial"/>
                <w:b/>
                <w:bCs/>
                <w:sz w:val="18"/>
                <w:szCs w:val="18"/>
              </w:rPr>
              <w:t>215,852</w:t>
            </w:r>
          </w:p>
        </w:tc>
        <w:tc>
          <w:tcPr>
            <w:tcW w:w="1254" w:type="dxa"/>
            <w:tcBorders>
              <w:top w:val="single" w:sz="4" w:space="0" w:color="auto"/>
              <w:left w:val="nil"/>
              <w:bottom w:val="single" w:sz="4" w:space="0" w:color="auto"/>
              <w:right w:val="nil"/>
            </w:tcBorders>
            <w:shd w:val="clear" w:color="FFFFFF" w:fill="FFFFFF"/>
            <w:noWrap/>
            <w:vAlign w:val="bottom"/>
            <w:hideMark/>
          </w:tcPr>
          <w:p w14:paraId="35874C02" w14:textId="77777777" w:rsidR="00A43992" w:rsidRPr="00267088" w:rsidRDefault="00A43992" w:rsidP="007211E3">
            <w:pPr>
              <w:jc w:val="right"/>
              <w:rPr>
                <w:rFonts w:ascii="Arial" w:hAnsi="Arial" w:cs="Arial"/>
                <w:b/>
                <w:bCs/>
                <w:sz w:val="18"/>
                <w:szCs w:val="18"/>
              </w:rPr>
            </w:pPr>
            <w:r w:rsidRPr="00267088">
              <w:rPr>
                <w:rFonts w:ascii="Arial" w:hAnsi="Arial" w:cs="Arial"/>
                <w:b/>
                <w:bCs/>
                <w:sz w:val="18"/>
                <w:szCs w:val="18"/>
              </w:rPr>
              <w:t>2,735</w:t>
            </w:r>
          </w:p>
        </w:tc>
        <w:tc>
          <w:tcPr>
            <w:tcW w:w="1254" w:type="dxa"/>
            <w:tcBorders>
              <w:top w:val="single" w:sz="4" w:space="0" w:color="auto"/>
              <w:left w:val="nil"/>
              <w:bottom w:val="single" w:sz="4" w:space="0" w:color="auto"/>
              <w:right w:val="nil"/>
            </w:tcBorders>
            <w:shd w:val="clear" w:color="FFFFFF" w:fill="FFFFFF"/>
            <w:noWrap/>
            <w:vAlign w:val="bottom"/>
            <w:hideMark/>
          </w:tcPr>
          <w:p w14:paraId="227BC976" w14:textId="77777777" w:rsidR="00A43992" w:rsidRPr="00267088" w:rsidRDefault="00A43992" w:rsidP="007211E3">
            <w:pPr>
              <w:jc w:val="right"/>
              <w:rPr>
                <w:rFonts w:ascii="Arial" w:hAnsi="Arial" w:cs="Arial"/>
                <w:b/>
                <w:bCs/>
                <w:sz w:val="18"/>
                <w:szCs w:val="18"/>
              </w:rPr>
            </w:pPr>
            <w:r w:rsidRPr="00267088">
              <w:rPr>
                <w:rFonts w:ascii="Arial" w:hAnsi="Arial" w:cs="Arial"/>
                <w:b/>
                <w:bCs/>
                <w:sz w:val="18"/>
                <w:szCs w:val="18"/>
              </w:rPr>
              <w:t>218,587</w:t>
            </w:r>
          </w:p>
        </w:tc>
      </w:tr>
    </w:tbl>
    <w:p w14:paraId="68226BA9" w14:textId="77777777" w:rsidR="00A43992" w:rsidRPr="00E42114" w:rsidRDefault="00A43992" w:rsidP="00A43992">
      <w:bookmarkStart w:id="361" w:name="RANGE!D7:G15"/>
      <w:bookmarkEnd w:id="361"/>
    </w:p>
    <w:p w14:paraId="0B892318" w14:textId="77777777" w:rsidR="00A43992" w:rsidRDefault="00A43992" w:rsidP="00A43992">
      <w:r w:rsidRPr="003442E3">
        <w:rPr>
          <w:rFonts w:ascii="Arial" w:hAnsi="Arial" w:cs="Arial"/>
          <w:sz w:val="18"/>
          <w:szCs w:val="18"/>
          <w:vertAlign w:val="superscript"/>
        </w:rPr>
        <w:t xml:space="preserve">1 </w:t>
      </w:r>
      <w:r w:rsidRPr="003442E3">
        <w:rPr>
          <w:rFonts w:ascii="Arial" w:hAnsi="Arial" w:cs="Arial"/>
          <w:sz w:val="18"/>
          <w:szCs w:val="18"/>
        </w:rPr>
        <w:t>In line with</w:t>
      </w:r>
      <w:r>
        <w:rPr>
          <w:rFonts w:ascii="Arial" w:hAnsi="Arial" w:cs="Arial"/>
          <w:sz w:val="18"/>
          <w:szCs w:val="18"/>
        </w:rPr>
        <w:t xml:space="preserve"> its</w:t>
      </w:r>
      <w:r w:rsidRPr="003442E3">
        <w:rPr>
          <w:rFonts w:ascii="Arial" w:hAnsi="Arial" w:cs="Arial"/>
          <w:sz w:val="18"/>
          <w:szCs w:val="18"/>
        </w:rPr>
        <w:t xml:space="preserve"> accounting policy, during the year the Agency has reviewed the participant plan provision recorded </w:t>
      </w:r>
      <w:r>
        <w:rPr>
          <w:rFonts w:ascii="Arial" w:hAnsi="Arial" w:cs="Arial"/>
          <w:sz w:val="18"/>
          <w:szCs w:val="18"/>
        </w:rPr>
        <w:t>in previous financial years</w:t>
      </w:r>
      <w:r w:rsidRPr="003442E3">
        <w:rPr>
          <w:rFonts w:ascii="Arial" w:hAnsi="Arial" w:cs="Arial"/>
          <w:sz w:val="18"/>
          <w:szCs w:val="18"/>
        </w:rPr>
        <w:t xml:space="preserve"> taking into account the claims experience during the 2015-16 year. This resulted in a reduction of </w:t>
      </w:r>
      <w:r w:rsidRPr="00267088">
        <w:rPr>
          <w:rFonts w:ascii="Arial" w:hAnsi="Arial" w:cs="Arial"/>
          <w:sz w:val="18"/>
          <w:szCs w:val="18"/>
        </w:rPr>
        <w:t xml:space="preserve">$116.0 million </w:t>
      </w:r>
      <w:r w:rsidRPr="003442E3">
        <w:rPr>
          <w:rFonts w:ascii="Arial" w:hAnsi="Arial" w:cs="Arial"/>
          <w:sz w:val="18"/>
          <w:szCs w:val="18"/>
        </w:rPr>
        <w:t>relating to the 201</w:t>
      </w:r>
      <w:r>
        <w:rPr>
          <w:rFonts w:ascii="Arial" w:hAnsi="Arial" w:cs="Arial"/>
          <w:sz w:val="18"/>
          <w:szCs w:val="18"/>
        </w:rPr>
        <w:t>4</w:t>
      </w:r>
      <w:r w:rsidRPr="003442E3">
        <w:rPr>
          <w:rFonts w:ascii="Arial" w:hAnsi="Arial" w:cs="Arial"/>
          <w:sz w:val="18"/>
          <w:szCs w:val="18"/>
        </w:rPr>
        <w:t>-1</w:t>
      </w:r>
      <w:r>
        <w:rPr>
          <w:rFonts w:ascii="Arial" w:hAnsi="Arial" w:cs="Arial"/>
          <w:sz w:val="18"/>
          <w:szCs w:val="18"/>
        </w:rPr>
        <w:t>5</w:t>
      </w:r>
      <w:r w:rsidRPr="003442E3">
        <w:rPr>
          <w:rFonts w:ascii="Arial" w:hAnsi="Arial" w:cs="Arial"/>
          <w:sz w:val="18"/>
          <w:szCs w:val="18"/>
        </w:rPr>
        <w:t xml:space="preserve"> period</w:t>
      </w:r>
      <w:r>
        <w:rPr>
          <w:rFonts w:ascii="Arial" w:hAnsi="Arial" w:cs="Arial"/>
          <w:sz w:val="18"/>
          <w:szCs w:val="18"/>
        </w:rPr>
        <w:t xml:space="preserve"> and </w:t>
      </w:r>
      <w:r w:rsidRPr="003442E3">
        <w:rPr>
          <w:rFonts w:ascii="Arial" w:hAnsi="Arial" w:cs="Arial"/>
          <w:sz w:val="18"/>
          <w:szCs w:val="18"/>
        </w:rPr>
        <w:t>a</w:t>
      </w:r>
      <w:r>
        <w:rPr>
          <w:rFonts w:ascii="Arial" w:hAnsi="Arial" w:cs="Arial"/>
          <w:sz w:val="18"/>
          <w:szCs w:val="18"/>
        </w:rPr>
        <w:t xml:space="preserve"> further</w:t>
      </w:r>
      <w:r w:rsidRPr="003442E3">
        <w:rPr>
          <w:rFonts w:ascii="Arial" w:hAnsi="Arial" w:cs="Arial"/>
          <w:sz w:val="18"/>
          <w:szCs w:val="18"/>
        </w:rPr>
        <w:t xml:space="preserve"> reduction of $</w:t>
      </w:r>
      <w:r>
        <w:rPr>
          <w:rFonts w:ascii="Arial" w:hAnsi="Arial" w:cs="Arial"/>
          <w:sz w:val="18"/>
          <w:szCs w:val="18"/>
        </w:rPr>
        <w:t>4.2</w:t>
      </w:r>
      <w:r w:rsidRPr="003442E3">
        <w:rPr>
          <w:rFonts w:ascii="Arial" w:hAnsi="Arial" w:cs="Arial"/>
          <w:sz w:val="18"/>
          <w:szCs w:val="18"/>
        </w:rPr>
        <w:t xml:space="preserve"> million relating to the 201</w:t>
      </w:r>
      <w:r>
        <w:rPr>
          <w:rFonts w:ascii="Arial" w:hAnsi="Arial" w:cs="Arial"/>
          <w:sz w:val="18"/>
          <w:szCs w:val="18"/>
        </w:rPr>
        <w:t>3</w:t>
      </w:r>
      <w:r w:rsidRPr="003442E3">
        <w:rPr>
          <w:rFonts w:ascii="Arial" w:hAnsi="Arial" w:cs="Arial"/>
          <w:sz w:val="18"/>
          <w:szCs w:val="18"/>
        </w:rPr>
        <w:t>-</w:t>
      </w:r>
      <w:r>
        <w:rPr>
          <w:rFonts w:ascii="Arial" w:hAnsi="Arial" w:cs="Arial"/>
          <w:sz w:val="18"/>
          <w:szCs w:val="18"/>
        </w:rPr>
        <w:t>14</w:t>
      </w:r>
      <w:r w:rsidRPr="003442E3">
        <w:rPr>
          <w:rFonts w:ascii="Arial" w:hAnsi="Arial" w:cs="Arial"/>
          <w:sz w:val="18"/>
          <w:szCs w:val="18"/>
        </w:rPr>
        <w:t xml:space="preserve"> period.</w:t>
      </w:r>
      <w:r>
        <w:br w:type="page"/>
      </w:r>
    </w:p>
    <w:p w14:paraId="2713FB07" w14:textId="77777777" w:rsidR="00A43992" w:rsidRPr="005E5430" w:rsidRDefault="00A43992" w:rsidP="00A43992"/>
    <w:p w14:paraId="449214EF" w14:textId="748A44ED" w:rsidR="00A43992" w:rsidRPr="00F36D6B" w:rsidRDefault="00A43992" w:rsidP="00A43992">
      <w:pPr>
        <w:pBdr>
          <w:top w:val="single" w:sz="4" w:space="1" w:color="6B2976"/>
          <w:left w:val="single" w:sz="4" w:space="4" w:color="6B2976"/>
          <w:bottom w:val="single" w:sz="4" w:space="1" w:color="6B2976"/>
          <w:right w:val="single" w:sz="4" w:space="31" w:color="6B2976"/>
        </w:pBdr>
        <w:spacing w:line="120" w:lineRule="atLeast"/>
        <w:ind w:right="607"/>
        <w:outlineLvl w:val="0"/>
        <w:rPr>
          <w:rFonts w:ascii="Arial" w:hAnsi="Arial" w:cs="Arial"/>
          <w:sz w:val="18"/>
          <w:szCs w:val="18"/>
        </w:rPr>
      </w:pPr>
      <w:r w:rsidRPr="00F36D6B">
        <w:rPr>
          <w:rFonts w:ascii="Arial" w:hAnsi="Arial" w:cs="Arial"/>
          <w:b/>
          <w:sz w:val="18"/>
          <w:szCs w:val="18"/>
        </w:rPr>
        <w:t>Accounting Policy</w:t>
      </w:r>
    </w:p>
    <w:p w14:paraId="3339E30D" w14:textId="77777777" w:rsidR="00A43992" w:rsidRPr="00481A7E" w:rsidRDefault="00A43992" w:rsidP="00A43992">
      <w:pPr>
        <w:pBdr>
          <w:top w:val="single" w:sz="4" w:space="1" w:color="6B2976"/>
          <w:left w:val="single" w:sz="4" w:space="4" w:color="6B2976"/>
          <w:bottom w:val="single" w:sz="4" w:space="1" w:color="6B2976"/>
          <w:right w:val="single" w:sz="4" w:space="31" w:color="6B2976"/>
        </w:pBdr>
        <w:spacing w:line="120" w:lineRule="atLeast"/>
        <w:ind w:right="607"/>
        <w:rPr>
          <w:rFonts w:ascii="Arial" w:hAnsi="Arial" w:cs="Arial"/>
          <w:sz w:val="18"/>
          <w:szCs w:val="18"/>
        </w:rPr>
      </w:pPr>
      <w:r w:rsidRPr="00481A7E">
        <w:rPr>
          <w:rFonts w:ascii="Arial" w:hAnsi="Arial" w:cs="Arial"/>
          <w:sz w:val="18"/>
          <w:szCs w:val="18"/>
        </w:rPr>
        <w:t xml:space="preserve">The Agency makes a provision for the reasonable care and support for participants provided during the period but not yet notified to the Agency. The provision represents the best estimate of the amount based on available evidence in relation to rates of expenditure by participants and is informed by actuarial analysis. </w:t>
      </w:r>
    </w:p>
    <w:p w14:paraId="4EC83579" w14:textId="5DE54159" w:rsidR="00A43992" w:rsidRPr="00F36D6B" w:rsidRDefault="00A43992" w:rsidP="00A43992">
      <w:pPr>
        <w:pBdr>
          <w:top w:val="single" w:sz="4" w:space="1" w:color="6B2976"/>
          <w:left w:val="single" w:sz="4" w:space="4" w:color="6B2976"/>
          <w:bottom w:val="single" w:sz="4" w:space="1" w:color="6B2976"/>
          <w:right w:val="single" w:sz="4" w:space="31" w:color="6B2976"/>
        </w:pBdr>
        <w:spacing w:line="120" w:lineRule="atLeast"/>
        <w:ind w:right="607"/>
        <w:outlineLvl w:val="0"/>
        <w:rPr>
          <w:rFonts w:ascii="Arial" w:hAnsi="Arial" w:cs="Arial"/>
          <w:b/>
          <w:sz w:val="18"/>
          <w:szCs w:val="18"/>
        </w:rPr>
      </w:pPr>
      <w:r w:rsidRPr="00F36D6B">
        <w:rPr>
          <w:rFonts w:ascii="Arial" w:hAnsi="Arial" w:cs="Arial"/>
          <w:b/>
          <w:sz w:val="18"/>
          <w:szCs w:val="18"/>
        </w:rPr>
        <w:t>Key judgements and estimates</w:t>
      </w:r>
    </w:p>
    <w:p w14:paraId="71B8554B" w14:textId="4D2959B8" w:rsidR="00A43992" w:rsidRPr="00EA468A" w:rsidRDefault="00A43992" w:rsidP="00A43992">
      <w:pPr>
        <w:pBdr>
          <w:top w:val="single" w:sz="4" w:space="1" w:color="6B2976"/>
          <w:left w:val="single" w:sz="4" w:space="4" w:color="6B2976"/>
          <w:bottom w:val="single" w:sz="4" w:space="1" w:color="6B2976"/>
          <w:right w:val="single" w:sz="4" w:space="31" w:color="6B2976"/>
        </w:pBdr>
        <w:spacing w:line="120" w:lineRule="atLeast"/>
        <w:ind w:right="607"/>
        <w:outlineLvl w:val="0"/>
        <w:rPr>
          <w:rFonts w:ascii="Arial" w:hAnsi="Arial" w:cs="Arial"/>
          <w:i/>
          <w:sz w:val="18"/>
          <w:szCs w:val="18"/>
          <w:u w:val="single"/>
        </w:rPr>
      </w:pPr>
      <w:r w:rsidRPr="00EA468A">
        <w:rPr>
          <w:rFonts w:ascii="Arial" w:hAnsi="Arial" w:cs="Arial"/>
          <w:i/>
          <w:sz w:val="18"/>
          <w:szCs w:val="18"/>
          <w:u w:val="single"/>
        </w:rPr>
        <w:t>Participant plan provisions</w:t>
      </w:r>
    </w:p>
    <w:p w14:paraId="47AD257E" w14:textId="77777777" w:rsidR="00A43992" w:rsidRDefault="00A43992" w:rsidP="00A43992">
      <w:pPr>
        <w:pBdr>
          <w:top w:val="single" w:sz="4" w:space="1" w:color="6B2976"/>
          <w:left w:val="single" w:sz="4" w:space="4" w:color="6B2976"/>
          <w:bottom w:val="single" w:sz="4" w:space="1" w:color="6B2976"/>
          <w:right w:val="single" w:sz="4" w:space="31" w:color="6B2976"/>
        </w:pBdr>
        <w:spacing w:line="120" w:lineRule="atLeast"/>
        <w:ind w:right="607"/>
        <w:rPr>
          <w:rFonts w:ascii="Arial" w:hAnsi="Arial" w:cs="Arial"/>
          <w:sz w:val="18"/>
          <w:szCs w:val="18"/>
        </w:rPr>
      </w:pPr>
      <w:r w:rsidRPr="00F36D6B">
        <w:rPr>
          <w:rFonts w:ascii="Arial" w:hAnsi="Arial" w:cs="Arial"/>
          <w:sz w:val="18"/>
          <w:szCs w:val="18"/>
        </w:rPr>
        <w:t xml:space="preserve">The Agency </w:t>
      </w:r>
      <w:proofErr w:type="spellStart"/>
      <w:r w:rsidRPr="00F36D6B">
        <w:rPr>
          <w:rFonts w:ascii="Arial" w:hAnsi="Arial" w:cs="Arial"/>
          <w:sz w:val="18"/>
          <w:szCs w:val="18"/>
        </w:rPr>
        <w:t>recognises</w:t>
      </w:r>
      <w:proofErr w:type="spellEnd"/>
      <w:r w:rsidRPr="00F36D6B">
        <w:rPr>
          <w:rFonts w:ascii="Arial" w:hAnsi="Arial" w:cs="Arial"/>
          <w:sz w:val="18"/>
          <w:szCs w:val="18"/>
        </w:rPr>
        <w:t xml:space="preserve"> a liability for the costs of reasonable care and support at the time that services are provided to participants in the Scheme. Due to the administrative processes associated with receiving and processing claims at the end of an accounting period, the Agency may not have been notified of the full value of all services provided during that period. Therefore, the Agency records a provision for the reasonable care and support for participants provided during the period but not yet notified to the Agency based on its best estimate of the outstanding liability using the guidance in accounting standards and is informed by actuarial analysis including consideration of participant claims history and other relevant factors. The value of this provision is assessed on a regular basis in line with emerging evidence of provider claiming.  The provision is reduced where sufficient evidence exists that amounts will not be claimed.</w:t>
      </w:r>
      <w:bookmarkStart w:id="362" w:name="_Toc443469538"/>
      <w:bookmarkStart w:id="363" w:name="_Toc444065792"/>
      <w:bookmarkStart w:id="364" w:name="_Toc444079989"/>
      <w:bookmarkStart w:id="365" w:name="_Toc447030543"/>
      <w:bookmarkStart w:id="366" w:name="_Toc447030695"/>
      <w:bookmarkStart w:id="367" w:name="_Toc447030788"/>
      <w:r>
        <w:rPr>
          <w:rFonts w:ascii="Arial" w:hAnsi="Arial" w:cs="Arial"/>
          <w:sz w:val="18"/>
          <w:szCs w:val="18"/>
        </w:rPr>
        <w:t xml:space="preserve"> </w:t>
      </w:r>
    </w:p>
    <w:p w14:paraId="5884275E" w14:textId="77777777" w:rsidR="00A43992" w:rsidRPr="00DB3D62" w:rsidRDefault="00A43992" w:rsidP="00A43992">
      <w:pPr>
        <w:pBdr>
          <w:top w:val="single" w:sz="4" w:space="1" w:color="6B2976"/>
          <w:left w:val="single" w:sz="4" w:space="4" w:color="6B2976"/>
          <w:bottom w:val="single" w:sz="4" w:space="1" w:color="6B2976"/>
          <w:right w:val="single" w:sz="4" w:space="31" w:color="6B2976"/>
        </w:pBdr>
        <w:spacing w:line="120" w:lineRule="atLeast"/>
        <w:ind w:right="607"/>
        <w:rPr>
          <w:rFonts w:ascii="Arial" w:hAnsi="Arial" w:cs="Arial"/>
          <w:sz w:val="18"/>
          <w:szCs w:val="18"/>
        </w:rPr>
      </w:pPr>
      <w:r w:rsidRPr="00DB3D62">
        <w:rPr>
          <w:rFonts w:ascii="Arial" w:hAnsi="Arial" w:cs="Arial"/>
          <w:sz w:val="18"/>
          <w:szCs w:val="18"/>
        </w:rPr>
        <w:t>Given that only limited historical information is available in relation to participant claims history and the fact the Scheme is not yet available to all areas of Australia, estimates of the participant plan provision</w:t>
      </w:r>
      <w:r>
        <w:rPr>
          <w:rFonts w:ascii="Arial" w:hAnsi="Arial" w:cs="Arial"/>
          <w:sz w:val="18"/>
          <w:szCs w:val="18"/>
        </w:rPr>
        <w:t xml:space="preserve"> </w:t>
      </w:r>
      <w:r w:rsidRPr="00DB3D62">
        <w:rPr>
          <w:rFonts w:ascii="Arial" w:hAnsi="Arial" w:cs="Arial"/>
          <w:sz w:val="18"/>
          <w:szCs w:val="18"/>
        </w:rPr>
        <w:t>may require material adjustment in future accounting periods.</w:t>
      </w:r>
    </w:p>
    <w:p w14:paraId="60E71DC2" w14:textId="77777777" w:rsidR="00A43992" w:rsidRDefault="00A43992" w:rsidP="00A43992">
      <w:pPr>
        <w:pStyle w:val="SectionHeading"/>
        <w:numPr>
          <w:ilvl w:val="0"/>
          <w:numId w:val="0"/>
        </w:numPr>
        <w:ind w:left="360" w:hanging="360"/>
        <w:sectPr w:rsidR="00A43992" w:rsidSect="007211E3">
          <w:pgSz w:w="11906" w:h="16838" w:code="9"/>
          <w:pgMar w:top="1134" w:right="1700" w:bottom="1134" w:left="1134" w:header="958" w:footer="737" w:gutter="0"/>
          <w:cols w:space="708"/>
          <w:docGrid w:linePitch="360"/>
        </w:sectPr>
      </w:pPr>
    </w:p>
    <w:p w14:paraId="1D6D88CD" w14:textId="7077BC8F" w:rsidR="00A43992" w:rsidRDefault="00A43992" w:rsidP="00A43992">
      <w:pPr>
        <w:pStyle w:val="SectionHeading"/>
      </w:pPr>
      <w:bookmarkStart w:id="368" w:name="_Toc456865062"/>
      <w:bookmarkStart w:id="369" w:name="_Toc464482134"/>
      <w:r>
        <w:lastRenderedPageBreak/>
        <w:t>Funding</w:t>
      </w:r>
      <w:bookmarkEnd w:id="362"/>
      <w:bookmarkEnd w:id="363"/>
      <w:bookmarkEnd w:id="364"/>
      <w:bookmarkEnd w:id="365"/>
      <w:bookmarkEnd w:id="366"/>
      <w:bookmarkEnd w:id="367"/>
      <w:bookmarkEnd w:id="368"/>
      <w:bookmarkEnd w:id="369"/>
    </w:p>
    <w:p w14:paraId="0E25D47A" w14:textId="77777777" w:rsidR="00A43992" w:rsidRDefault="00A43992" w:rsidP="00A43992">
      <w:pPr>
        <w:pStyle w:val="SectionHeadingDescription"/>
      </w:pPr>
      <w:r w:rsidRPr="00185212">
        <w:t xml:space="preserve">This section identifies the </w:t>
      </w:r>
      <w:r>
        <w:t xml:space="preserve">Agency </w:t>
      </w:r>
      <w:r w:rsidRPr="00185212">
        <w:t>funding structure.</w:t>
      </w:r>
    </w:p>
    <w:p w14:paraId="5C55020B" w14:textId="77777777" w:rsidR="00A43992" w:rsidRPr="00714F4A" w:rsidRDefault="00A43992" w:rsidP="00A43992">
      <w:pPr>
        <w:pStyle w:val="ListParagraph"/>
        <w:numPr>
          <w:ilvl w:val="0"/>
          <w:numId w:val="15"/>
        </w:numPr>
        <w:shd w:val="clear" w:color="auto" w:fill="000000" w:themeFill="text1"/>
        <w:spacing w:after="0" w:line="260" w:lineRule="atLeast"/>
        <w:contextualSpacing w:val="0"/>
        <w:outlineLvl w:val="1"/>
        <w:rPr>
          <w:rFonts w:eastAsia="Times New Roman" w:cs="Arial"/>
          <w:b/>
          <w:vanish/>
          <w:color w:val="FFFFFF" w:themeColor="background1"/>
          <w:sz w:val="20"/>
          <w:szCs w:val="20"/>
        </w:rPr>
      </w:pPr>
      <w:bookmarkStart w:id="370" w:name="_Toc447116450"/>
      <w:bookmarkStart w:id="371" w:name="_Toc447542884"/>
      <w:bookmarkStart w:id="372" w:name="_Toc447787259"/>
      <w:bookmarkStart w:id="373" w:name="_Toc448415759"/>
      <w:bookmarkStart w:id="374" w:name="_Toc448500684"/>
      <w:bookmarkStart w:id="375" w:name="_Toc449452846"/>
      <w:bookmarkStart w:id="376" w:name="_Toc456185888"/>
      <w:bookmarkStart w:id="377" w:name="_Toc456185945"/>
      <w:bookmarkStart w:id="378" w:name="_Toc456256306"/>
      <w:bookmarkStart w:id="379" w:name="_Toc456865063"/>
      <w:bookmarkStart w:id="380" w:name="_Toc464481620"/>
      <w:bookmarkStart w:id="381" w:name="_Toc447030544"/>
      <w:bookmarkStart w:id="382" w:name="_Toc447030696"/>
      <w:bookmarkStart w:id="383" w:name="_Toc447030789"/>
      <w:bookmarkStart w:id="384" w:name="_Toc443469540"/>
      <w:bookmarkStart w:id="385" w:name="_Toc444065794"/>
      <w:bookmarkStart w:id="386" w:name="_Toc444079991"/>
      <w:bookmarkEnd w:id="370"/>
      <w:bookmarkEnd w:id="371"/>
      <w:bookmarkEnd w:id="372"/>
      <w:bookmarkEnd w:id="373"/>
      <w:bookmarkEnd w:id="374"/>
      <w:bookmarkEnd w:id="375"/>
      <w:bookmarkEnd w:id="376"/>
      <w:bookmarkEnd w:id="377"/>
      <w:bookmarkEnd w:id="378"/>
      <w:bookmarkEnd w:id="379"/>
      <w:bookmarkEnd w:id="380"/>
    </w:p>
    <w:p w14:paraId="443C42E7" w14:textId="77777777" w:rsidR="00A43992" w:rsidRPr="005E5430" w:rsidRDefault="00A43992" w:rsidP="00A43992">
      <w:pPr>
        <w:pStyle w:val="SubHeading"/>
      </w:pPr>
      <w:bookmarkStart w:id="387" w:name="_Toc456865064"/>
      <w:r w:rsidRPr="005E5430">
        <w:t>Cash Flow Reconciliation</w:t>
      </w:r>
      <w:bookmarkEnd w:id="381"/>
      <w:bookmarkEnd w:id="382"/>
      <w:bookmarkEnd w:id="383"/>
      <w:bookmarkEnd w:id="387"/>
    </w:p>
    <w:tbl>
      <w:tblPr>
        <w:tblW w:w="9087" w:type="dxa"/>
        <w:tblInd w:w="80" w:type="dxa"/>
        <w:tblLayout w:type="fixed"/>
        <w:tblLook w:val="04A0" w:firstRow="1" w:lastRow="0" w:firstColumn="1" w:lastColumn="0" w:noHBand="0" w:noVBand="1"/>
      </w:tblPr>
      <w:tblGrid>
        <w:gridCol w:w="6322"/>
        <w:gridCol w:w="1277"/>
        <w:gridCol w:w="272"/>
        <w:gridCol w:w="1216"/>
      </w:tblGrid>
      <w:tr w:rsidR="00A43992" w14:paraId="216047CE" w14:textId="77777777" w:rsidTr="007211E3">
        <w:trPr>
          <w:trHeight w:val="255"/>
        </w:trPr>
        <w:tc>
          <w:tcPr>
            <w:tcW w:w="6216" w:type="dxa"/>
            <w:tcBorders>
              <w:top w:val="nil"/>
              <w:left w:val="nil"/>
              <w:bottom w:val="nil"/>
              <w:right w:val="nil"/>
            </w:tcBorders>
            <w:shd w:val="clear" w:color="FFFFFF" w:fill="FFFFFF"/>
            <w:noWrap/>
            <w:vAlign w:val="bottom"/>
            <w:hideMark/>
          </w:tcPr>
          <w:p w14:paraId="56DF68C4" w14:textId="77777777" w:rsidR="00A43992" w:rsidRDefault="00A43992" w:rsidP="007211E3">
            <w:pPr>
              <w:rPr>
                <w:rFonts w:ascii="Arial" w:hAnsi="Arial" w:cs="Arial"/>
                <w:sz w:val="18"/>
                <w:szCs w:val="18"/>
              </w:rPr>
            </w:pPr>
            <w:bookmarkStart w:id="388" w:name="RANGE!E8:H44"/>
            <w:bookmarkStart w:id="389" w:name="Note_CFRTABLE1" w:colFirst="0" w:colLast="0"/>
            <w:r>
              <w:rPr>
                <w:rFonts w:ascii="Arial" w:hAnsi="Arial" w:cs="Arial"/>
                <w:sz w:val="18"/>
                <w:szCs w:val="18"/>
              </w:rPr>
              <w:t> </w:t>
            </w:r>
            <w:bookmarkEnd w:id="388"/>
          </w:p>
        </w:tc>
        <w:tc>
          <w:tcPr>
            <w:tcW w:w="1256" w:type="dxa"/>
            <w:tcBorders>
              <w:top w:val="nil"/>
              <w:left w:val="nil"/>
              <w:bottom w:val="nil"/>
              <w:right w:val="nil"/>
            </w:tcBorders>
            <w:shd w:val="clear" w:color="FFFFFF" w:fill="FFFFFF"/>
            <w:noWrap/>
            <w:vAlign w:val="bottom"/>
            <w:hideMark/>
          </w:tcPr>
          <w:p w14:paraId="53C300AB" w14:textId="77777777" w:rsidR="00A43992" w:rsidRDefault="00A43992" w:rsidP="007211E3">
            <w:pPr>
              <w:jc w:val="right"/>
              <w:rPr>
                <w:rFonts w:ascii="Arial" w:hAnsi="Arial" w:cs="Arial"/>
                <w:b/>
                <w:bCs/>
                <w:sz w:val="18"/>
                <w:szCs w:val="18"/>
              </w:rPr>
            </w:pPr>
            <w:r>
              <w:rPr>
                <w:rFonts w:ascii="Arial" w:hAnsi="Arial" w:cs="Arial"/>
                <w:b/>
                <w:bCs/>
                <w:sz w:val="18"/>
                <w:szCs w:val="18"/>
              </w:rPr>
              <w:t>2016</w:t>
            </w:r>
          </w:p>
        </w:tc>
        <w:tc>
          <w:tcPr>
            <w:tcW w:w="267" w:type="dxa"/>
            <w:tcBorders>
              <w:top w:val="nil"/>
              <w:left w:val="nil"/>
              <w:bottom w:val="nil"/>
              <w:right w:val="nil"/>
            </w:tcBorders>
            <w:shd w:val="clear" w:color="FFFFFF" w:fill="FFFFFF"/>
            <w:noWrap/>
            <w:vAlign w:val="bottom"/>
            <w:hideMark/>
          </w:tcPr>
          <w:p w14:paraId="7AFD7550" w14:textId="77777777" w:rsidR="00A43992" w:rsidRDefault="00A43992" w:rsidP="007211E3">
            <w:pPr>
              <w:rPr>
                <w:rFonts w:ascii="Arial" w:hAnsi="Arial" w:cs="Arial"/>
                <w:sz w:val="18"/>
                <w:szCs w:val="18"/>
              </w:rPr>
            </w:pPr>
            <w:r>
              <w:rPr>
                <w:rFonts w:ascii="Arial" w:hAnsi="Arial" w:cs="Arial"/>
                <w:sz w:val="18"/>
                <w:szCs w:val="18"/>
              </w:rPr>
              <w:t> </w:t>
            </w:r>
          </w:p>
        </w:tc>
        <w:tc>
          <w:tcPr>
            <w:tcW w:w="1196" w:type="dxa"/>
            <w:tcBorders>
              <w:top w:val="nil"/>
              <w:left w:val="nil"/>
              <w:bottom w:val="nil"/>
              <w:right w:val="nil"/>
            </w:tcBorders>
            <w:shd w:val="clear" w:color="FFFFFF" w:fill="FFFFFF"/>
            <w:noWrap/>
            <w:vAlign w:val="bottom"/>
            <w:hideMark/>
          </w:tcPr>
          <w:p w14:paraId="688A6C0E" w14:textId="77777777" w:rsidR="00A43992" w:rsidRDefault="00A43992" w:rsidP="007211E3">
            <w:pPr>
              <w:jc w:val="right"/>
              <w:rPr>
                <w:rFonts w:ascii="Arial" w:hAnsi="Arial" w:cs="Arial"/>
                <w:sz w:val="18"/>
                <w:szCs w:val="18"/>
              </w:rPr>
            </w:pPr>
            <w:r>
              <w:rPr>
                <w:rFonts w:ascii="Arial" w:hAnsi="Arial" w:cs="Arial"/>
                <w:sz w:val="18"/>
                <w:szCs w:val="18"/>
              </w:rPr>
              <w:t>2015</w:t>
            </w:r>
          </w:p>
        </w:tc>
      </w:tr>
      <w:bookmarkEnd w:id="389"/>
      <w:tr w:rsidR="00A43992" w14:paraId="5C92375A" w14:textId="77777777" w:rsidTr="007211E3">
        <w:trPr>
          <w:trHeight w:val="255"/>
        </w:trPr>
        <w:tc>
          <w:tcPr>
            <w:tcW w:w="6216" w:type="dxa"/>
            <w:tcBorders>
              <w:top w:val="nil"/>
              <w:left w:val="nil"/>
              <w:bottom w:val="nil"/>
              <w:right w:val="nil"/>
            </w:tcBorders>
            <w:shd w:val="clear" w:color="FFFFFF" w:fill="FFFFFF"/>
            <w:noWrap/>
            <w:vAlign w:val="bottom"/>
            <w:hideMark/>
          </w:tcPr>
          <w:p w14:paraId="05AF60D6" w14:textId="77777777" w:rsidR="00A43992" w:rsidRDefault="00A43992" w:rsidP="007211E3">
            <w:pPr>
              <w:rPr>
                <w:rFonts w:ascii="Arial" w:hAnsi="Arial" w:cs="Arial"/>
                <w:sz w:val="18"/>
                <w:szCs w:val="18"/>
              </w:rPr>
            </w:pPr>
            <w:r>
              <w:rPr>
                <w:rFonts w:ascii="Arial" w:hAnsi="Arial" w:cs="Arial"/>
                <w:sz w:val="18"/>
                <w:szCs w:val="18"/>
              </w:rPr>
              <w:t> </w:t>
            </w:r>
          </w:p>
        </w:tc>
        <w:tc>
          <w:tcPr>
            <w:tcW w:w="1256" w:type="dxa"/>
            <w:tcBorders>
              <w:top w:val="nil"/>
              <w:left w:val="nil"/>
              <w:bottom w:val="nil"/>
              <w:right w:val="nil"/>
            </w:tcBorders>
            <w:shd w:val="clear" w:color="FFFFFF" w:fill="FFFFFF"/>
            <w:noWrap/>
            <w:vAlign w:val="bottom"/>
            <w:hideMark/>
          </w:tcPr>
          <w:p w14:paraId="3422B1A8" w14:textId="77777777" w:rsidR="00A43992" w:rsidRDefault="00A43992" w:rsidP="007211E3">
            <w:pPr>
              <w:jc w:val="right"/>
              <w:rPr>
                <w:rFonts w:ascii="Arial" w:hAnsi="Arial" w:cs="Arial"/>
                <w:b/>
                <w:bCs/>
                <w:sz w:val="18"/>
                <w:szCs w:val="18"/>
              </w:rPr>
            </w:pPr>
            <w:r>
              <w:rPr>
                <w:rFonts w:ascii="Arial" w:hAnsi="Arial" w:cs="Arial"/>
                <w:b/>
                <w:bCs/>
                <w:sz w:val="18"/>
                <w:szCs w:val="18"/>
              </w:rPr>
              <w:t>$'000</w:t>
            </w:r>
          </w:p>
        </w:tc>
        <w:tc>
          <w:tcPr>
            <w:tcW w:w="267" w:type="dxa"/>
            <w:tcBorders>
              <w:top w:val="nil"/>
              <w:left w:val="nil"/>
              <w:bottom w:val="nil"/>
              <w:right w:val="nil"/>
            </w:tcBorders>
            <w:shd w:val="clear" w:color="FFFFFF" w:fill="FFFFFF"/>
            <w:noWrap/>
            <w:vAlign w:val="bottom"/>
            <w:hideMark/>
          </w:tcPr>
          <w:p w14:paraId="3206518C" w14:textId="77777777" w:rsidR="00A43992" w:rsidRDefault="00A43992" w:rsidP="007211E3">
            <w:pPr>
              <w:rPr>
                <w:rFonts w:ascii="Arial" w:hAnsi="Arial" w:cs="Arial"/>
                <w:sz w:val="18"/>
                <w:szCs w:val="18"/>
              </w:rPr>
            </w:pPr>
            <w:r>
              <w:rPr>
                <w:rFonts w:ascii="Arial" w:hAnsi="Arial" w:cs="Arial"/>
                <w:sz w:val="18"/>
                <w:szCs w:val="18"/>
              </w:rPr>
              <w:t> </w:t>
            </w:r>
          </w:p>
        </w:tc>
        <w:tc>
          <w:tcPr>
            <w:tcW w:w="1196" w:type="dxa"/>
            <w:tcBorders>
              <w:top w:val="nil"/>
              <w:left w:val="nil"/>
              <w:bottom w:val="nil"/>
              <w:right w:val="nil"/>
            </w:tcBorders>
            <w:shd w:val="clear" w:color="FFFFFF" w:fill="FFFFFF"/>
            <w:noWrap/>
            <w:vAlign w:val="bottom"/>
            <w:hideMark/>
          </w:tcPr>
          <w:p w14:paraId="377347B2" w14:textId="77777777" w:rsidR="00A43992" w:rsidRDefault="00A43992" w:rsidP="007211E3">
            <w:pPr>
              <w:jc w:val="right"/>
              <w:rPr>
                <w:rFonts w:ascii="Arial" w:hAnsi="Arial" w:cs="Arial"/>
                <w:sz w:val="18"/>
                <w:szCs w:val="18"/>
              </w:rPr>
            </w:pPr>
            <w:r>
              <w:rPr>
                <w:rFonts w:ascii="Arial" w:hAnsi="Arial" w:cs="Arial"/>
                <w:sz w:val="18"/>
                <w:szCs w:val="18"/>
              </w:rPr>
              <w:t>$'000</w:t>
            </w:r>
          </w:p>
        </w:tc>
      </w:tr>
      <w:tr w:rsidR="00A43992" w14:paraId="77F0EF14" w14:textId="77777777" w:rsidTr="007211E3">
        <w:trPr>
          <w:trHeight w:val="480"/>
        </w:trPr>
        <w:tc>
          <w:tcPr>
            <w:tcW w:w="6216" w:type="dxa"/>
            <w:tcBorders>
              <w:top w:val="nil"/>
              <w:left w:val="nil"/>
              <w:bottom w:val="nil"/>
              <w:right w:val="nil"/>
            </w:tcBorders>
            <w:shd w:val="clear" w:color="FFFFFF" w:fill="FFFFFF"/>
            <w:vAlign w:val="bottom"/>
            <w:hideMark/>
          </w:tcPr>
          <w:p w14:paraId="706260AB" w14:textId="77777777" w:rsidR="00A43992" w:rsidRDefault="00A43992" w:rsidP="007211E3">
            <w:pPr>
              <w:rPr>
                <w:rFonts w:ascii="Arial" w:hAnsi="Arial" w:cs="Arial"/>
                <w:b/>
                <w:bCs/>
                <w:sz w:val="18"/>
                <w:szCs w:val="18"/>
              </w:rPr>
            </w:pPr>
            <w:r>
              <w:rPr>
                <w:rFonts w:ascii="Arial" w:hAnsi="Arial" w:cs="Arial"/>
                <w:b/>
                <w:bCs/>
                <w:sz w:val="18"/>
                <w:szCs w:val="18"/>
              </w:rPr>
              <w:t>Reconciliation of cash and cash equivalents as per Statement of Financial Position to Cash Flow Statement</w:t>
            </w:r>
          </w:p>
        </w:tc>
        <w:tc>
          <w:tcPr>
            <w:tcW w:w="1256" w:type="dxa"/>
            <w:tcBorders>
              <w:top w:val="nil"/>
              <w:left w:val="nil"/>
              <w:bottom w:val="nil"/>
              <w:right w:val="nil"/>
            </w:tcBorders>
            <w:shd w:val="clear" w:color="FFFFFF" w:fill="FFFFFF"/>
            <w:noWrap/>
            <w:vAlign w:val="bottom"/>
            <w:hideMark/>
          </w:tcPr>
          <w:p w14:paraId="09236C52" w14:textId="77777777" w:rsidR="00A43992" w:rsidRDefault="00A43992" w:rsidP="007211E3">
            <w:pPr>
              <w:rPr>
                <w:rFonts w:ascii="Arial" w:hAnsi="Arial" w:cs="Arial"/>
                <w:b/>
                <w:bCs/>
                <w:sz w:val="18"/>
                <w:szCs w:val="18"/>
              </w:rPr>
            </w:pPr>
            <w:r>
              <w:rPr>
                <w:rFonts w:ascii="Arial" w:hAnsi="Arial" w:cs="Arial"/>
                <w:b/>
                <w:bCs/>
                <w:sz w:val="18"/>
                <w:szCs w:val="18"/>
              </w:rPr>
              <w:t> </w:t>
            </w:r>
          </w:p>
        </w:tc>
        <w:tc>
          <w:tcPr>
            <w:tcW w:w="267" w:type="dxa"/>
            <w:tcBorders>
              <w:top w:val="nil"/>
              <w:left w:val="nil"/>
              <w:bottom w:val="nil"/>
              <w:right w:val="nil"/>
            </w:tcBorders>
            <w:shd w:val="clear" w:color="FFFFFF" w:fill="FFFFFF"/>
            <w:noWrap/>
            <w:vAlign w:val="bottom"/>
            <w:hideMark/>
          </w:tcPr>
          <w:p w14:paraId="2EFF445B" w14:textId="77777777" w:rsidR="00A43992" w:rsidRDefault="00A43992" w:rsidP="007211E3">
            <w:pPr>
              <w:rPr>
                <w:rFonts w:ascii="Arial" w:hAnsi="Arial" w:cs="Arial"/>
                <w:b/>
                <w:bCs/>
                <w:sz w:val="18"/>
                <w:szCs w:val="18"/>
              </w:rPr>
            </w:pPr>
            <w:r>
              <w:rPr>
                <w:rFonts w:ascii="Arial" w:hAnsi="Arial" w:cs="Arial"/>
                <w:b/>
                <w:bCs/>
                <w:sz w:val="18"/>
                <w:szCs w:val="18"/>
              </w:rPr>
              <w:t> </w:t>
            </w:r>
          </w:p>
        </w:tc>
        <w:tc>
          <w:tcPr>
            <w:tcW w:w="1196" w:type="dxa"/>
            <w:tcBorders>
              <w:top w:val="nil"/>
              <w:left w:val="nil"/>
              <w:bottom w:val="nil"/>
              <w:right w:val="nil"/>
            </w:tcBorders>
            <w:shd w:val="clear" w:color="FFFFFF" w:fill="FFFFFF"/>
            <w:noWrap/>
            <w:vAlign w:val="bottom"/>
            <w:hideMark/>
          </w:tcPr>
          <w:p w14:paraId="11EE243D" w14:textId="77777777" w:rsidR="00A43992" w:rsidRDefault="00A43992" w:rsidP="007211E3">
            <w:pPr>
              <w:rPr>
                <w:rFonts w:ascii="Arial" w:hAnsi="Arial" w:cs="Arial"/>
                <w:b/>
                <w:bCs/>
                <w:sz w:val="18"/>
                <w:szCs w:val="18"/>
              </w:rPr>
            </w:pPr>
            <w:r>
              <w:rPr>
                <w:rFonts w:ascii="Arial" w:hAnsi="Arial" w:cs="Arial"/>
                <w:b/>
                <w:bCs/>
                <w:sz w:val="18"/>
                <w:szCs w:val="18"/>
              </w:rPr>
              <w:t> </w:t>
            </w:r>
          </w:p>
        </w:tc>
      </w:tr>
      <w:tr w:rsidR="00A43992" w14:paraId="50E23E7E" w14:textId="77777777" w:rsidTr="007211E3">
        <w:trPr>
          <w:trHeight w:val="255"/>
        </w:trPr>
        <w:tc>
          <w:tcPr>
            <w:tcW w:w="6216" w:type="dxa"/>
            <w:tcBorders>
              <w:top w:val="nil"/>
              <w:left w:val="nil"/>
              <w:bottom w:val="nil"/>
              <w:right w:val="nil"/>
            </w:tcBorders>
            <w:shd w:val="clear" w:color="FFFFFF" w:fill="FFFFFF"/>
            <w:noWrap/>
            <w:vAlign w:val="bottom"/>
            <w:hideMark/>
          </w:tcPr>
          <w:p w14:paraId="7110D7EF" w14:textId="77777777" w:rsidR="00A43992" w:rsidRDefault="00A43992" w:rsidP="007211E3">
            <w:pPr>
              <w:rPr>
                <w:rFonts w:ascii="Arial" w:hAnsi="Arial" w:cs="Arial"/>
                <w:b/>
                <w:bCs/>
                <w:sz w:val="18"/>
                <w:szCs w:val="18"/>
              </w:rPr>
            </w:pPr>
            <w:r>
              <w:rPr>
                <w:rFonts w:ascii="Arial" w:hAnsi="Arial" w:cs="Arial"/>
                <w:b/>
                <w:bCs/>
                <w:sz w:val="18"/>
                <w:szCs w:val="18"/>
              </w:rPr>
              <w:t> </w:t>
            </w:r>
          </w:p>
        </w:tc>
        <w:tc>
          <w:tcPr>
            <w:tcW w:w="1256" w:type="dxa"/>
            <w:tcBorders>
              <w:top w:val="nil"/>
              <w:left w:val="nil"/>
              <w:bottom w:val="nil"/>
              <w:right w:val="nil"/>
            </w:tcBorders>
            <w:shd w:val="clear" w:color="FFFFFF" w:fill="FFFFFF"/>
            <w:noWrap/>
            <w:vAlign w:val="bottom"/>
            <w:hideMark/>
          </w:tcPr>
          <w:p w14:paraId="2E38EDD4" w14:textId="77777777" w:rsidR="00A43992" w:rsidRDefault="00A43992" w:rsidP="007211E3">
            <w:pPr>
              <w:rPr>
                <w:rFonts w:ascii="Arial" w:hAnsi="Arial" w:cs="Arial"/>
                <w:b/>
                <w:bCs/>
                <w:sz w:val="18"/>
                <w:szCs w:val="18"/>
              </w:rPr>
            </w:pPr>
            <w:r>
              <w:rPr>
                <w:rFonts w:ascii="Arial" w:hAnsi="Arial" w:cs="Arial"/>
                <w:b/>
                <w:bCs/>
                <w:sz w:val="18"/>
                <w:szCs w:val="18"/>
              </w:rPr>
              <w:t> </w:t>
            </w:r>
          </w:p>
        </w:tc>
        <w:tc>
          <w:tcPr>
            <w:tcW w:w="267" w:type="dxa"/>
            <w:tcBorders>
              <w:top w:val="nil"/>
              <w:left w:val="nil"/>
              <w:bottom w:val="nil"/>
              <w:right w:val="nil"/>
            </w:tcBorders>
            <w:shd w:val="clear" w:color="FFFFFF" w:fill="FFFFFF"/>
            <w:noWrap/>
            <w:vAlign w:val="bottom"/>
            <w:hideMark/>
          </w:tcPr>
          <w:p w14:paraId="5908972F" w14:textId="77777777" w:rsidR="00A43992" w:rsidRDefault="00A43992" w:rsidP="007211E3">
            <w:pPr>
              <w:rPr>
                <w:rFonts w:ascii="Arial" w:hAnsi="Arial" w:cs="Arial"/>
                <w:b/>
                <w:bCs/>
                <w:sz w:val="18"/>
                <w:szCs w:val="18"/>
              </w:rPr>
            </w:pPr>
            <w:r>
              <w:rPr>
                <w:rFonts w:ascii="Arial" w:hAnsi="Arial" w:cs="Arial"/>
                <w:b/>
                <w:bCs/>
                <w:sz w:val="18"/>
                <w:szCs w:val="18"/>
              </w:rPr>
              <w:t> </w:t>
            </w:r>
          </w:p>
        </w:tc>
        <w:tc>
          <w:tcPr>
            <w:tcW w:w="1196" w:type="dxa"/>
            <w:tcBorders>
              <w:top w:val="nil"/>
              <w:left w:val="nil"/>
              <w:bottom w:val="nil"/>
              <w:right w:val="nil"/>
            </w:tcBorders>
            <w:shd w:val="clear" w:color="FFFFFF" w:fill="FFFFFF"/>
            <w:noWrap/>
            <w:vAlign w:val="bottom"/>
            <w:hideMark/>
          </w:tcPr>
          <w:p w14:paraId="399CD69E" w14:textId="77777777" w:rsidR="00A43992" w:rsidRDefault="00A43992" w:rsidP="007211E3">
            <w:pPr>
              <w:rPr>
                <w:rFonts w:ascii="Arial" w:hAnsi="Arial" w:cs="Arial"/>
                <w:b/>
                <w:bCs/>
                <w:sz w:val="18"/>
                <w:szCs w:val="18"/>
              </w:rPr>
            </w:pPr>
            <w:r>
              <w:rPr>
                <w:rFonts w:ascii="Arial" w:hAnsi="Arial" w:cs="Arial"/>
                <w:b/>
                <w:bCs/>
                <w:sz w:val="18"/>
                <w:szCs w:val="18"/>
              </w:rPr>
              <w:t> </w:t>
            </w:r>
          </w:p>
        </w:tc>
      </w:tr>
      <w:tr w:rsidR="00A43992" w14:paraId="023714B8" w14:textId="77777777" w:rsidTr="007211E3">
        <w:trPr>
          <w:trHeight w:val="255"/>
        </w:trPr>
        <w:tc>
          <w:tcPr>
            <w:tcW w:w="6216" w:type="dxa"/>
            <w:tcBorders>
              <w:top w:val="nil"/>
              <w:left w:val="nil"/>
              <w:bottom w:val="nil"/>
              <w:right w:val="nil"/>
            </w:tcBorders>
            <w:shd w:val="clear" w:color="FFFFFF" w:fill="FFFFFF"/>
            <w:vAlign w:val="bottom"/>
            <w:hideMark/>
          </w:tcPr>
          <w:p w14:paraId="12845279" w14:textId="77777777" w:rsidR="00A43992" w:rsidRDefault="00A43992" w:rsidP="007211E3">
            <w:pPr>
              <w:rPr>
                <w:rFonts w:ascii="Arial" w:hAnsi="Arial" w:cs="Arial"/>
                <w:b/>
                <w:bCs/>
                <w:sz w:val="18"/>
                <w:szCs w:val="18"/>
              </w:rPr>
            </w:pPr>
            <w:r>
              <w:rPr>
                <w:rFonts w:ascii="Arial" w:hAnsi="Arial" w:cs="Arial"/>
                <w:b/>
                <w:bCs/>
                <w:sz w:val="18"/>
                <w:szCs w:val="18"/>
              </w:rPr>
              <w:t>Cash and cash equivalents as per</w:t>
            </w:r>
          </w:p>
        </w:tc>
        <w:tc>
          <w:tcPr>
            <w:tcW w:w="1256" w:type="dxa"/>
            <w:tcBorders>
              <w:top w:val="nil"/>
              <w:left w:val="nil"/>
              <w:bottom w:val="nil"/>
              <w:right w:val="nil"/>
            </w:tcBorders>
            <w:shd w:val="clear" w:color="FFFFFF" w:fill="FFFFFF"/>
            <w:noWrap/>
            <w:vAlign w:val="bottom"/>
            <w:hideMark/>
          </w:tcPr>
          <w:p w14:paraId="795CB89B" w14:textId="77777777" w:rsidR="00A43992" w:rsidRDefault="00A43992" w:rsidP="007211E3">
            <w:pPr>
              <w:rPr>
                <w:rFonts w:ascii="Arial" w:hAnsi="Arial" w:cs="Arial"/>
                <w:b/>
                <w:bCs/>
                <w:sz w:val="18"/>
                <w:szCs w:val="18"/>
              </w:rPr>
            </w:pPr>
            <w:r>
              <w:rPr>
                <w:rFonts w:ascii="Arial" w:hAnsi="Arial" w:cs="Arial"/>
                <w:b/>
                <w:bCs/>
                <w:sz w:val="18"/>
                <w:szCs w:val="18"/>
              </w:rPr>
              <w:t> </w:t>
            </w:r>
          </w:p>
        </w:tc>
        <w:tc>
          <w:tcPr>
            <w:tcW w:w="267" w:type="dxa"/>
            <w:tcBorders>
              <w:top w:val="nil"/>
              <w:left w:val="nil"/>
              <w:bottom w:val="nil"/>
              <w:right w:val="nil"/>
            </w:tcBorders>
            <w:shd w:val="clear" w:color="FFFFFF" w:fill="FFFFFF"/>
            <w:noWrap/>
            <w:vAlign w:val="bottom"/>
            <w:hideMark/>
          </w:tcPr>
          <w:p w14:paraId="75230B8A" w14:textId="77777777" w:rsidR="00A43992" w:rsidRDefault="00A43992" w:rsidP="007211E3">
            <w:pPr>
              <w:rPr>
                <w:rFonts w:ascii="Arial" w:hAnsi="Arial" w:cs="Arial"/>
                <w:b/>
                <w:bCs/>
                <w:sz w:val="18"/>
                <w:szCs w:val="18"/>
              </w:rPr>
            </w:pPr>
            <w:r>
              <w:rPr>
                <w:rFonts w:ascii="Arial" w:hAnsi="Arial" w:cs="Arial"/>
                <w:b/>
                <w:bCs/>
                <w:sz w:val="18"/>
                <w:szCs w:val="18"/>
              </w:rPr>
              <w:t> </w:t>
            </w:r>
          </w:p>
        </w:tc>
        <w:tc>
          <w:tcPr>
            <w:tcW w:w="1196" w:type="dxa"/>
            <w:tcBorders>
              <w:top w:val="nil"/>
              <w:left w:val="nil"/>
              <w:bottom w:val="nil"/>
              <w:right w:val="nil"/>
            </w:tcBorders>
            <w:shd w:val="clear" w:color="FFFFFF" w:fill="FFFFFF"/>
            <w:noWrap/>
            <w:vAlign w:val="bottom"/>
            <w:hideMark/>
          </w:tcPr>
          <w:p w14:paraId="5C7EA970" w14:textId="77777777" w:rsidR="00A43992" w:rsidRDefault="00A43992" w:rsidP="007211E3">
            <w:pPr>
              <w:rPr>
                <w:rFonts w:ascii="Arial" w:hAnsi="Arial" w:cs="Arial"/>
                <w:b/>
                <w:bCs/>
                <w:sz w:val="18"/>
                <w:szCs w:val="18"/>
              </w:rPr>
            </w:pPr>
            <w:r>
              <w:rPr>
                <w:rFonts w:ascii="Arial" w:hAnsi="Arial" w:cs="Arial"/>
                <w:b/>
                <w:bCs/>
                <w:sz w:val="18"/>
                <w:szCs w:val="18"/>
              </w:rPr>
              <w:t> </w:t>
            </w:r>
          </w:p>
        </w:tc>
      </w:tr>
      <w:tr w:rsidR="00A43992" w14:paraId="3D560CF4" w14:textId="77777777" w:rsidTr="007211E3">
        <w:trPr>
          <w:trHeight w:val="255"/>
        </w:trPr>
        <w:tc>
          <w:tcPr>
            <w:tcW w:w="6216" w:type="dxa"/>
            <w:tcBorders>
              <w:top w:val="nil"/>
              <w:left w:val="nil"/>
              <w:bottom w:val="nil"/>
              <w:right w:val="nil"/>
            </w:tcBorders>
            <w:shd w:val="clear" w:color="FFFFFF" w:fill="FFFFFF"/>
            <w:vAlign w:val="bottom"/>
            <w:hideMark/>
          </w:tcPr>
          <w:p w14:paraId="162280F5" w14:textId="77777777" w:rsidR="00A43992" w:rsidRDefault="00A43992" w:rsidP="007211E3">
            <w:pPr>
              <w:ind w:firstLineChars="100" w:firstLine="180"/>
              <w:rPr>
                <w:rFonts w:ascii="Arial" w:hAnsi="Arial" w:cs="Arial"/>
                <w:sz w:val="18"/>
                <w:szCs w:val="18"/>
              </w:rPr>
            </w:pPr>
            <w:r>
              <w:rPr>
                <w:rFonts w:ascii="Arial" w:hAnsi="Arial" w:cs="Arial"/>
                <w:sz w:val="18"/>
                <w:szCs w:val="18"/>
              </w:rPr>
              <w:t>Cash Flow Statement</w:t>
            </w:r>
          </w:p>
        </w:tc>
        <w:tc>
          <w:tcPr>
            <w:tcW w:w="1256" w:type="dxa"/>
            <w:tcBorders>
              <w:top w:val="nil"/>
              <w:left w:val="nil"/>
              <w:bottom w:val="nil"/>
              <w:right w:val="nil"/>
            </w:tcBorders>
            <w:shd w:val="clear" w:color="FFFFFF" w:fill="FFFFFF"/>
            <w:noWrap/>
            <w:vAlign w:val="bottom"/>
            <w:hideMark/>
          </w:tcPr>
          <w:p w14:paraId="44B9EDA1" w14:textId="77777777" w:rsidR="00A43992" w:rsidRDefault="00A43992" w:rsidP="007211E3">
            <w:pPr>
              <w:jc w:val="right"/>
              <w:rPr>
                <w:rFonts w:ascii="Arial" w:hAnsi="Arial" w:cs="Arial"/>
                <w:b/>
                <w:bCs/>
                <w:sz w:val="18"/>
                <w:szCs w:val="18"/>
              </w:rPr>
            </w:pPr>
            <w:r>
              <w:rPr>
                <w:rFonts w:ascii="Arial" w:hAnsi="Arial" w:cs="Arial"/>
                <w:b/>
                <w:bCs/>
                <w:sz w:val="18"/>
                <w:szCs w:val="18"/>
              </w:rPr>
              <w:t>306,430</w:t>
            </w:r>
          </w:p>
        </w:tc>
        <w:tc>
          <w:tcPr>
            <w:tcW w:w="267" w:type="dxa"/>
            <w:tcBorders>
              <w:top w:val="nil"/>
              <w:left w:val="nil"/>
              <w:bottom w:val="nil"/>
              <w:right w:val="nil"/>
            </w:tcBorders>
            <w:shd w:val="clear" w:color="FFFFFF" w:fill="FFFFFF"/>
            <w:noWrap/>
            <w:vAlign w:val="bottom"/>
            <w:hideMark/>
          </w:tcPr>
          <w:p w14:paraId="2BDE13EE" w14:textId="77777777" w:rsidR="00A43992" w:rsidRDefault="00A43992" w:rsidP="007211E3">
            <w:pPr>
              <w:rPr>
                <w:rFonts w:ascii="Arial" w:hAnsi="Arial" w:cs="Arial"/>
                <w:b/>
                <w:bCs/>
                <w:sz w:val="18"/>
                <w:szCs w:val="18"/>
              </w:rPr>
            </w:pPr>
            <w:r>
              <w:rPr>
                <w:rFonts w:ascii="Arial" w:hAnsi="Arial" w:cs="Arial"/>
                <w:b/>
                <w:bCs/>
                <w:sz w:val="18"/>
                <w:szCs w:val="18"/>
              </w:rPr>
              <w:t> </w:t>
            </w:r>
          </w:p>
        </w:tc>
        <w:tc>
          <w:tcPr>
            <w:tcW w:w="1196" w:type="dxa"/>
            <w:tcBorders>
              <w:top w:val="nil"/>
              <w:left w:val="nil"/>
              <w:bottom w:val="nil"/>
              <w:right w:val="nil"/>
            </w:tcBorders>
            <w:shd w:val="clear" w:color="FFFFFF" w:fill="FFFFFF"/>
            <w:noWrap/>
            <w:vAlign w:val="bottom"/>
            <w:hideMark/>
          </w:tcPr>
          <w:p w14:paraId="01AF4E28" w14:textId="77777777" w:rsidR="00A43992" w:rsidRDefault="00A43992" w:rsidP="007211E3">
            <w:pPr>
              <w:jc w:val="right"/>
              <w:rPr>
                <w:rFonts w:ascii="Arial" w:hAnsi="Arial" w:cs="Arial"/>
                <w:sz w:val="18"/>
                <w:szCs w:val="18"/>
              </w:rPr>
            </w:pPr>
            <w:r>
              <w:rPr>
                <w:rFonts w:ascii="Arial" w:hAnsi="Arial" w:cs="Arial"/>
                <w:sz w:val="18"/>
                <w:szCs w:val="18"/>
              </w:rPr>
              <w:t xml:space="preserve">136,482 </w:t>
            </w:r>
          </w:p>
        </w:tc>
      </w:tr>
      <w:tr w:rsidR="00A43992" w14:paraId="662324CD" w14:textId="77777777" w:rsidTr="007211E3">
        <w:trPr>
          <w:trHeight w:val="255"/>
        </w:trPr>
        <w:tc>
          <w:tcPr>
            <w:tcW w:w="6216" w:type="dxa"/>
            <w:tcBorders>
              <w:top w:val="nil"/>
              <w:left w:val="nil"/>
              <w:bottom w:val="nil"/>
              <w:right w:val="nil"/>
            </w:tcBorders>
            <w:shd w:val="clear" w:color="FFFFFF" w:fill="FFFFFF"/>
            <w:vAlign w:val="bottom"/>
            <w:hideMark/>
          </w:tcPr>
          <w:p w14:paraId="293BBDDE" w14:textId="77777777" w:rsidR="00A43992" w:rsidRDefault="00A43992" w:rsidP="007211E3">
            <w:pPr>
              <w:ind w:firstLineChars="100" w:firstLine="180"/>
              <w:rPr>
                <w:rFonts w:ascii="Arial" w:hAnsi="Arial" w:cs="Arial"/>
                <w:sz w:val="18"/>
                <w:szCs w:val="18"/>
              </w:rPr>
            </w:pPr>
            <w:r>
              <w:rPr>
                <w:rFonts w:ascii="Arial" w:hAnsi="Arial" w:cs="Arial"/>
                <w:sz w:val="18"/>
                <w:szCs w:val="18"/>
              </w:rPr>
              <w:t>Statement of Financial Position</w:t>
            </w:r>
          </w:p>
        </w:tc>
        <w:tc>
          <w:tcPr>
            <w:tcW w:w="1256" w:type="dxa"/>
            <w:tcBorders>
              <w:top w:val="nil"/>
              <w:left w:val="nil"/>
              <w:bottom w:val="nil"/>
              <w:right w:val="nil"/>
            </w:tcBorders>
            <w:shd w:val="clear" w:color="FFFFFF" w:fill="FFFFFF"/>
            <w:noWrap/>
            <w:vAlign w:val="bottom"/>
            <w:hideMark/>
          </w:tcPr>
          <w:p w14:paraId="73EFB43A" w14:textId="77777777" w:rsidR="00A43992" w:rsidRDefault="00A43992" w:rsidP="007211E3">
            <w:pPr>
              <w:jc w:val="right"/>
              <w:rPr>
                <w:rFonts w:ascii="Arial" w:hAnsi="Arial" w:cs="Arial"/>
                <w:b/>
                <w:bCs/>
                <w:sz w:val="18"/>
                <w:szCs w:val="18"/>
              </w:rPr>
            </w:pPr>
            <w:r>
              <w:rPr>
                <w:rFonts w:ascii="Arial" w:hAnsi="Arial" w:cs="Arial"/>
                <w:b/>
                <w:bCs/>
                <w:sz w:val="18"/>
                <w:szCs w:val="18"/>
              </w:rPr>
              <w:t>306,430</w:t>
            </w:r>
          </w:p>
        </w:tc>
        <w:tc>
          <w:tcPr>
            <w:tcW w:w="267" w:type="dxa"/>
            <w:tcBorders>
              <w:top w:val="nil"/>
              <w:left w:val="nil"/>
              <w:bottom w:val="nil"/>
              <w:right w:val="nil"/>
            </w:tcBorders>
            <w:shd w:val="clear" w:color="FFFFFF" w:fill="FFFFFF"/>
            <w:noWrap/>
            <w:vAlign w:val="bottom"/>
            <w:hideMark/>
          </w:tcPr>
          <w:p w14:paraId="4DE21951" w14:textId="77777777" w:rsidR="00A43992" w:rsidRDefault="00A43992" w:rsidP="007211E3">
            <w:pPr>
              <w:rPr>
                <w:rFonts w:ascii="Arial" w:hAnsi="Arial" w:cs="Arial"/>
                <w:b/>
                <w:bCs/>
                <w:sz w:val="18"/>
                <w:szCs w:val="18"/>
              </w:rPr>
            </w:pPr>
            <w:r>
              <w:rPr>
                <w:rFonts w:ascii="Arial" w:hAnsi="Arial" w:cs="Arial"/>
                <w:b/>
                <w:bCs/>
                <w:sz w:val="18"/>
                <w:szCs w:val="18"/>
              </w:rPr>
              <w:t> </w:t>
            </w:r>
          </w:p>
        </w:tc>
        <w:tc>
          <w:tcPr>
            <w:tcW w:w="1196" w:type="dxa"/>
            <w:tcBorders>
              <w:top w:val="nil"/>
              <w:left w:val="nil"/>
              <w:bottom w:val="nil"/>
              <w:right w:val="nil"/>
            </w:tcBorders>
            <w:shd w:val="clear" w:color="FFFFFF" w:fill="FFFFFF"/>
            <w:noWrap/>
            <w:vAlign w:val="bottom"/>
            <w:hideMark/>
          </w:tcPr>
          <w:p w14:paraId="75F22931" w14:textId="77777777" w:rsidR="00A43992" w:rsidRDefault="00A43992" w:rsidP="007211E3">
            <w:pPr>
              <w:jc w:val="right"/>
              <w:rPr>
                <w:rFonts w:ascii="Arial" w:hAnsi="Arial" w:cs="Arial"/>
                <w:sz w:val="18"/>
                <w:szCs w:val="18"/>
              </w:rPr>
            </w:pPr>
            <w:r>
              <w:rPr>
                <w:rFonts w:ascii="Arial" w:hAnsi="Arial" w:cs="Arial"/>
                <w:sz w:val="18"/>
                <w:szCs w:val="18"/>
              </w:rPr>
              <w:t xml:space="preserve">136,482 </w:t>
            </w:r>
          </w:p>
        </w:tc>
      </w:tr>
      <w:tr w:rsidR="00A43992" w14:paraId="07FF73CE" w14:textId="77777777" w:rsidTr="007211E3">
        <w:trPr>
          <w:trHeight w:val="255"/>
        </w:trPr>
        <w:tc>
          <w:tcPr>
            <w:tcW w:w="6216" w:type="dxa"/>
            <w:tcBorders>
              <w:top w:val="nil"/>
              <w:left w:val="nil"/>
              <w:bottom w:val="nil"/>
              <w:right w:val="nil"/>
            </w:tcBorders>
            <w:shd w:val="clear" w:color="FFFFFF" w:fill="FFFFFF"/>
            <w:vAlign w:val="bottom"/>
            <w:hideMark/>
          </w:tcPr>
          <w:p w14:paraId="6D47AACE" w14:textId="77777777" w:rsidR="00A43992" w:rsidRDefault="00A43992" w:rsidP="007211E3">
            <w:pPr>
              <w:rPr>
                <w:rFonts w:ascii="Arial" w:hAnsi="Arial" w:cs="Arial"/>
                <w:b/>
                <w:bCs/>
                <w:sz w:val="18"/>
                <w:szCs w:val="18"/>
              </w:rPr>
            </w:pPr>
            <w:r>
              <w:rPr>
                <w:rFonts w:ascii="Arial" w:hAnsi="Arial" w:cs="Arial"/>
                <w:b/>
                <w:bCs/>
                <w:sz w:val="18"/>
                <w:szCs w:val="18"/>
              </w:rPr>
              <w:t>Discrepancy</w:t>
            </w:r>
          </w:p>
        </w:tc>
        <w:tc>
          <w:tcPr>
            <w:tcW w:w="1256" w:type="dxa"/>
            <w:tcBorders>
              <w:top w:val="single" w:sz="4" w:space="0" w:color="auto"/>
              <w:left w:val="nil"/>
              <w:bottom w:val="single" w:sz="4" w:space="0" w:color="auto"/>
              <w:right w:val="nil"/>
            </w:tcBorders>
            <w:shd w:val="clear" w:color="FFFFFF" w:fill="FFFFFF"/>
            <w:noWrap/>
            <w:vAlign w:val="bottom"/>
            <w:hideMark/>
          </w:tcPr>
          <w:p w14:paraId="717094F9" w14:textId="77777777" w:rsidR="00A43992" w:rsidRDefault="00A43992" w:rsidP="007211E3">
            <w:pPr>
              <w:jc w:val="right"/>
              <w:rPr>
                <w:rFonts w:ascii="Arial" w:hAnsi="Arial" w:cs="Arial"/>
                <w:b/>
                <w:bCs/>
                <w:sz w:val="18"/>
                <w:szCs w:val="18"/>
              </w:rPr>
            </w:pPr>
            <w:r>
              <w:rPr>
                <w:rFonts w:ascii="Arial" w:hAnsi="Arial" w:cs="Arial"/>
                <w:b/>
                <w:bCs/>
                <w:sz w:val="18"/>
                <w:szCs w:val="18"/>
              </w:rPr>
              <w:t>-</w:t>
            </w:r>
          </w:p>
        </w:tc>
        <w:tc>
          <w:tcPr>
            <w:tcW w:w="267" w:type="dxa"/>
            <w:tcBorders>
              <w:top w:val="nil"/>
              <w:left w:val="nil"/>
              <w:bottom w:val="nil"/>
              <w:right w:val="nil"/>
            </w:tcBorders>
            <w:shd w:val="clear" w:color="FFFFFF" w:fill="FFFFFF"/>
            <w:noWrap/>
            <w:vAlign w:val="bottom"/>
            <w:hideMark/>
          </w:tcPr>
          <w:p w14:paraId="07100348" w14:textId="77777777" w:rsidR="00A43992" w:rsidRDefault="00A43992" w:rsidP="007211E3">
            <w:pPr>
              <w:rPr>
                <w:rFonts w:ascii="Arial" w:hAnsi="Arial" w:cs="Arial"/>
                <w:b/>
                <w:bCs/>
                <w:sz w:val="18"/>
                <w:szCs w:val="18"/>
              </w:rPr>
            </w:pPr>
            <w:r>
              <w:rPr>
                <w:rFonts w:ascii="Arial" w:hAnsi="Arial" w:cs="Arial"/>
                <w:b/>
                <w:bCs/>
                <w:sz w:val="18"/>
                <w:szCs w:val="18"/>
              </w:rPr>
              <w:t> </w:t>
            </w:r>
          </w:p>
        </w:tc>
        <w:tc>
          <w:tcPr>
            <w:tcW w:w="1196" w:type="dxa"/>
            <w:tcBorders>
              <w:top w:val="single" w:sz="4" w:space="0" w:color="auto"/>
              <w:left w:val="nil"/>
              <w:bottom w:val="single" w:sz="4" w:space="0" w:color="auto"/>
              <w:right w:val="nil"/>
            </w:tcBorders>
            <w:shd w:val="clear" w:color="FFFFFF" w:fill="FFFFFF"/>
            <w:noWrap/>
            <w:vAlign w:val="bottom"/>
            <w:hideMark/>
          </w:tcPr>
          <w:p w14:paraId="0C5A8726" w14:textId="77777777" w:rsidR="00A43992" w:rsidRDefault="00A43992" w:rsidP="007211E3">
            <w:pPr>
              <w:jc w:val="right"/>
              <w:rPr>
                <w:rFonts w:ascii="Arial" w:hAnsi="Arial" w:cs="Arial"/>
                <w:sz w:val="18"/>
                <w:szCs w:val="18"/>
              </w:rPr>
            </w:pPr>
            <w:r>
              <w:rPr>
                <w:rFonts w:ascii="Arial" w:hAnsi="Arial" w:cs="Arial"/>
                <w:sz w:val="18"/>
                <w:szCs w:val="18"/>
              </w:rPr>
              <w:t>-</w:t>
            </w:r>
          </w:p>
        </w:tc>
      </w:tr>
      <w:tr w:rsidR="00A43992" w14:paraId="3F021044" w14:textId="77777777" w:rsidTr="007211E3">
        <w:trPr>
          <w:trHeight w:val="255"/>
        </w:trPr>
        <w:tc>
          <w:tcPr>
            <w:tcW w:w="6216" w:type="dxa"/>
            <w:tcBorders>
              <w:top w:val="nil"/>
              <w:left w:val="nil"/>
              <w:bottom w:val="nil"/>
              <w:right w:val="nil"/>
            </w:tcBorders>
            <w:shd w:val="clear" w:color="FFFFFF" w:fill="FFFFFF"/>
            <w:noWrap/>
            <w:vAlign w:val="bottom"/>
            <w:hideMark/>
          </w:tcPr>
          <w:p w14:paraId="6E0A65BF" w14:textId="77777777" w:rsidR="00A43992" w:rsidRDefault="00A43992" w:rsidP="007211E3">
            <w:pPr>
              <w:rPr>
                <w:rFonts w:ascii="Arial" w:hAnsi="Arial" w:cs="Arial"/>
                <w:sz w:val="18"/>
                <w:szCs w:val="18"/>
              </w:rPr>
            </w:pPr>
            <w:r>
              <w:rPr>
                <w:rFonts w:ascii="Arial" w:hAnsi="Arial" w:cs="Arial"/>
                <w:sz w:val="18"/>
                <w:szCs w:val="18"/>
              </w:rPr>
              <w:t> </w:t>
            </w:r>
          </w:p>
        </w:tc>
        <w:tc>
          <w:tcPr>
            <w:tcW w:w="1256" w:type="dxa"/>
            <w:tcBorders>
              <w:top w:val="nil"/>
              <w:left w:val="nil"/>
              <w:bottom w:val="nil"/>
              <w:right w:val="nil"/>
            </w:tcBorders>
            <w:shd w:val="clear" w:color="FFFFFF" w:fill="FFFFFF"/>
            <w:noWrap/>
            <w:vAlign w:val="bottom"/>
            <w:hideMark/>
          </w:tcPr>
          <w:p w14:paraId="1FEE4E45" w14:textId="77777777" w:rsidR="00A43992" w:rsidRDefault="00A43992" w:rsidP="007211E3">
            <w:pPr>
              <w:rPr>
                <w:rFonts w:ascii="Arial" w:hAnsi="Arial" w:cs="Arial"/>
                <w:sz w:val="18"/>
                <w:szCs w:val="18"/>
              </w:rPr>
            </w:pPr>
            <w:r>
              <w:rPr>
                <w:rFonts w:ascii="Arial" w:hAnsi="Arial" w:cs="Arial"/>
                <w:sz w:val="18"/>
                <w:szCs w:val="18"/>
              </w:rPr>
              <w:t> </w:t>
            </w:r>
          </w:p>
        </w:tc>
        <w:tc>
          <w:tcPr>
            <w:tcW w:w="267" w:type="dxa"/>
            <w:tcBorders>
              <w:top w:val="nil"/>
              <w:left w:val="nil"/>
              <w:bottom w:val="nil"/>
              <w:right w:val="nil"/>
            </w:tcBorders>
            <w:shd w:val="clear" w:color="FFFFFF" w:fill="FFFFFF"/>
            <w:noWrap/>
            <w:vAlign w:val="bottom"/>
            <w:hideMark/>
          </w:tcPr>
          <w:p w14:paraId="143D668A" w14:textId="77777777" w:rsidR="00A43992" w:rsidRDefault="00A43992" w:rsidP="007211E3">
            <w:pPr>
              <w:rPr>
                <w:rFonts w:ascii="Arial" w:hAnsi="Arial" w:cs="Arial"/>
                <w:b/>
                <w:bCs/>
                <w:sz w:val="18"/>
                <w:szCs w:val="18"/>
              </w:rPr>
            </w:pPr>
            <w:r>
              <w:rPr>
                <w:rFonts w:ascii="Arial" w:hAnsi="Arial" w:cs="Arial"/>
                <w:b/>
                <w:bCs/>
                <w:sz w:val="18"/>
                <w:szCs w:val="18"/>
              </w:rPr>
              <w:t> </w:t>
            </w:r>
          </w:p>
        </w:tc>
        <w:tc>
          <w:tcPr>
            <w:tcW w:w="1196" w:type="dxa"/>
            <w:tcBorders>
              <w:top w:val="nil"/>
              <w:left w:val="nil"/>
              <w:bottom w:val="nil"/>
              <w:right w:val="nil"/>
            </w:tcBorders>
            <w:shd w:val="clear" w:color="FFFFFF" w:fill="FFFFFF"/>
            <w:noWrap/>
            <w:vAlign w:val="bottom"/>
            <w:hideMark/>
          </w:tcPr>
          <w:p w14:paraId="12937BD3" w14:textId="77777777" w:rsidR="00A43992" w:rsidRDefault="00A43992" w:rsidP="007211E3">
            <w:pPr>
              <w:rPr>
                <w:rFonts w:ascii="Arial" w:hAnsi="Arial" w:cs="Arial"/>
                <w:sz w:val="18"/>
                <w:szCs w:val="18"/>
              </w:rPr>
            </w:pPr>
            <w:r>
              <w:rPr>
                <w:rFonts w:ascii="Arial" w:hAnsi="Arial" w:cs="Arial"/>
                <w:sz w:val="18"/>
                <w:szCs w:val="18"/>
              </w:rPr>
              <w:t> </w:t>
            </w:r>
          </w:p>
        </w:tc>
      </w:tr>
      <w:tr w:rsidR="00A43992" w14:paraId="66F5722D" w14:textId="77777777" w:rsidTr="007211E3">
        <w:trPr>
          <w:trHeight w:val="510"/>
        </w:trPr>
        <w:tc>
          <w:tcPr>
            <w:tcW w:w="7472" w:type="dxa"/>
            <w:gridSpan w:val="2"/>
            <w:tcBorders>
              <w:top w:val="nil"/>
              <w:left w:val="nil"/>
              <w:bottom w:val="nil"/>
              <w:right w:val="nil"/>
            </w:tcBorders>
            <w:shd w:val="clear" w:color="FFFFFF" w:fill="FFFFFF"/>
            <w:vAlign w:val="bottom"/>
            <w:hideMark/>
          </w:tcPr>
          <w:p w14:paraId="4D36C689" w14:textId="77777777" w:rsidR="00A43992" w:rsidRDefault="00A43992" w:rsidP="007211E3">
            <w:pPr>
              <w:rPr>
                <w:rFonts w:ascii="Arial" w:hAnsi="Arial" w:cs="Arial"/>
                <w:b/>
                <w:bCs/>
                <w:sz w:val="18"/>
                <w:szCs w:val="18"/>
              </w:rPr>
            </w:pPr>
            <w:r>
              <w:rPr>
                <w:rFonts w:ascii="Arial" w:hAnsi="Arial" w:cs="Arial"/>
                <w:b/>
                <w:bCs/>
                <w:sz w:val="18"/>
                <w:szCs w:val="18"/>
              </w:rPr>
              <w:t>Reconciliation of net cost of services to net cash from/(used by) operating activities</w:t>
            </w:r>
          </w:p>
        </w:tc>
        <w:tc>
          <w:tcPr>
            <w:tcW w:w="267" w:type="dxa"/>
            <w:tcBorders>
              <w:top w:val="nil"/>
              <w:left w:val="nil"/>
              <w:bottom w:val="nil"/>
              <w:right w:val="nil"/>
            </w:tcBorders>
            <w:shd w:val="clear" w:color="FFFFFF" w:fill="FFFFFF"/>
            <w:noWrap/>
            <w:vAlign w:val="bottom"/>
            <w:hideMark/>
          </w:tcPr>
          <w:p w14:paraId="496B5AB3" w14:textId="77777777" w:rsidR="00A43992" w:rsidRDefault="00A43992" w:rsidP="007211E3">
            <w:pPr>
              <w:rPr>
                <w:rFonts w:ascii="Arial" w:hAnsi="Arial" w:cs="Arial"/>
                <w:b/>
                <w:bCs/>
                <w:sz w:val="18"/>
                <w:szCs w:val="18"/>
              </w:rPr>
            </w:pPr>
            <w:r>
              <w:rPr>
                <w:rFonts w:ascii="Arial" w:hAnsi="Arial" w:cs="Arial"/>
                <w:b/>
                <w:bCs/>
                <w:sz w:val="18"/>
                <w:szCs w:val="18"/>
              </w:rPr>
              <w:t> </w:t>
            </w:r>
          </w:p>
        </w:tc>
        <w:tc>
          <w:tcPr>
            <w:tcW w:w="1196" w:type="dxa"/>
            <w:tcBorders>
              <w:top w:val="nil"/>
              <w:left w:val="nil"/>
              <w:bottom w:val="nil"/>
              <w:right w:val="nil"/>
            </w:tcBorders>
            <w:shd w:val="clear" w:color="FFFFFF" w:fill="FFFFFF"/>
            <w:noWrap/>
            <w:vAlign w:val="bottom"/>
            <w:hideMark/>
          </w:tcPr>
          <w:p w14:paraId="36835234" w14:textId="77777777" w:rsidR="00A43992" w:rsidRDefault="00A43992" w:rsidP="007211E3">
            <w:pPr>
              <w:rPr>
                <w:rFonts w:ascii="Arial" w:hAnsi="Arial" w:cs="Arial"/>
                <w:sz w:val="18"/>
                <w:szCs w:val="18"/>
              </w:rPr>
            </w:pPr>
            <w:r>
              <w:rPr>
                <w:rFonts w:ascii="Arial" w:hAnsi="Arial" w:cs="Arial"/>
                <w:sz w:val="18"/>
                <w:szCs w:val="18"/>
              </w:rPr>
              <w:t> </w:t>
            </w:r>
          </w:p>
        </w:tc>
      </w:tr>
      <w:tr w:rsidR="00A43992" w14:paraId="1AA81B96" w14:textId="77777777" w:rsidTr="007211E3">
        <w:trPr>
          <w:trHeight w:val="255"/>
        </w:trPr>
        <w:tc>
          <w:tcPr>
            <w:tcW w:w="6216" w:type="dxa"/>
            <w:tcBorders>
              <w:top w:val="nil"/>
              <w:left w:val="nil"/>
              <w:bottom w:val="nil"/>
              <w:right w:val="nil"/>
            </w:tcBorders>
            <w:shd w:val="clear" w:color="FFFFFF" w:fill="FFFFFF"/>
            <w:vAlign w:val="bottom"/>
            <w:hideMark/>
          </w:tcPr>
          <w:p w14:paraId="712A07A7" w14:textId="77777777" w:rsidR="00A43992" w:rsidRDefault="00A43992" w:rsidP="007211E3">
            <w:pPr>
              <w:rPr>
                <w:rFonts w:ascii="Arial" w:hAnsi="Arial" w:cs="Arial"/>
                <w:sz w:val="18"/>
                <w:szCs w:val="18"/>
              </w:rPr>
            </w:pPr>
            <w:r>
              <w:rPr>
                <w:rFonts w:ascii="Arial" w:hAnsi="Arial" w:cs="Arial"/>
                <w:sz w:val="18"/>
                <w:szCs w:val="18"/>
              </w:rPr>
              <w:t>Net (cost of)/contribution by services</w:t>
            </w:r>
          </w:p>
        </w:tc>
        <w:tc>
          <w:tcPr>
            <w:tcW w:w="1256" w:type="dxa"/>
            <w:tcBorders>
              <w:top w:val="nil"/>
              <w:left w:val="nil"/>
              <w:bottom w:val="nil"/>
              <w:right w:val="nil"/>
            </w:tcBorders>
            <w:shd w:val="clear" w:color="FFFFFF" w:fill="FFFFFF"/>
            <w:noWrap/>
            <w:vAlign w:val="bottom"/>
            <w:hideMark/>
          </w:tcPr>
          <w:p w14:paraId="747493AA" w14:textId="77777777" w:rsidR="00A43992" w:rsidRDefault="00A43992" w:rsidP="007211E3">
            <w:pPr>
              <w:jc w:val="right"/>
              <w:rPr>
                <w:rFonts w:ascii="Arial" w:hAnsi="Arial" w:cs="Arial"/>
                <w:b/>
                <w:bCs/>
                <w:sz w:val="18"/>
                <w:szCs w:val="18"/>
              </w:rPr>
            </w:pPr>
            <w:r>
              <w:rPr>
                <w:rFonts w:ascii="Arial" w:hAnsi="Arial" w:cs="Arial"/>
                <w:b/>
                <w:bCs/>
                <w:sz w:val="18"/>
                <w:szCs w:val="18"/>
              </w:rPr>
              <w:t>(565,288)</w:t>
            </w:r>
          </w:p>
        </w:tc>
        <w:tc>
          <w:tcPr>
            <w:tcW w:w="267" w:type="dxa"/>
            <w:tcBorders>
              <w:top w:val="nil"/>
              <w:left w:val="nil"/>
              <w:bottom w:val="nil"/>
              <w:right w:val="nil"/>
            </w:tcBorders>
            <w:shd w:val="clear" w:color="FFFFFF" w:fill="FFFFFF"/>
            <w:noWrap/>
            <w:vAlign w:val="bottom"/>
            <w:hideMark/>
          </w:tcPr>
          <w:p w14:paraId="3751E6A8" w14:textId="77777777" w:rsidR="00A43992" w:rsidRDefault="00A43992" w:rsidP="007211E3">
            <w:pPr>
              <w:rPr>
                <w:rFonts w:ascii="Arial" w:hAnsi="Arial" w:cs="Arial"/>
                <w:b/>
                <w:bCs/>
                <w:sz w:val="18"/>
                <w:szCs w:val="18"/>
              </w:rPr>
            </w:pPr>
            <w:r>
              <w:rPr>
                <w:rFonts w:ascii="Arial" w:hAnsi="Arial" w:cs="Arial"/>
                <w:b/>
                <w:bCs/>
                <w:sz w:val="18"/>
                <w:szCs w:val="18"/>
              </w:rPr>
              <w:t> </w:t>
            </w:r>
          </w:p>
        </w:tc>
        <w:tc>
          <w:tcPr>
            <w:tcW w:w="1196" w:type="dxa"/>
            <w:tcBorders>
              <w:top w:val="nil"/>
              <w:left w:val="nil"/>
              <w:bottom w:val="nil"/>
              <w:right w:val="nil"/>
            </w:tcBorders>
            <w:shd w:val="clear" w:color="FFFFFF" w:fill="FFFFFF"/>
            <w:noWrap/>
            <w:vAlign w:val="bottom"/>
            <w:hideMark/>
          </w:tcPr>
          <w:p w14:paraId="5C0A8549" w14:textId="77777777" w:rsidR="00A43992" w:rsidRDefault="00A43992" w:rsidP="007211E3">
            <w:pPr>
              <w:jc w:val="right"/>
              <w:rPr>
                <w:rFonts w:ascii="Arial" w:hAnsi="Arial" w:cs="Arial"/>
                <w:sz w:val="18"/>
                <w:szCs w:val="18"/>
              </w:rPr>
            </w:pPr>
            <w:r>
              <w:rPr>
                <w:rFonts w:ascii="Arial" w:hAnsi="Arial" w:cs="Arial"/>
                <w:sz w:val="18"/>
                <w:szCs w:val="18"/>
              </w:rPr>
              <w:t>(308,024)</w:t>
            </w:r>
          </w:p>
        </w:tc>
      </w:tr>
      <w:tr w:rsidR="00A43992" w14:paraId="4CCFA1E5" w14:textId="77777777" w:rsidTr="007211E3">
        <w:trPr>
          <w:trHeight w:val="255"/>
        </w:trPr>
        <w:tc>
          <w:tcPr>
            <w:tcW w:w="6216" w:type="dxa"/>
            <w:tcBorders>
              <w:top w:val="nil"/>
              <w:left w:val="nil"/>
              <w:bottom w:val="nil"/>
              <w:right w:val="nil"/>
            </w:tcBorders>
            <w:shd w:val="clear" w:color="FFFFFF" w:fill="FFFFFF"/>
            <w:vAlign w:val="bottom"/>
            <w:hideMark/>
          </w:tcPr>
          <w:p w14:paraId="3E3709B5" w14:textId="77777777" w:rsidR="00A43992" w:rsidRDefault="00A43992" w:rsidP="007211E3">
            <w:pPr>
              <w:rPr>
                <w:rFonts w:ascii="Arial" w:hAnsi="Arial" w:cs="Arial"/>
                <w:sz w:val="18"/>
                <w:szCs w:val="18"/>
              </w:rPr>
            </w:pPr>
            <w:r>
              <w:rPr>
                <w:rFonts w:ascii="Arial" w:hAnsi="Arial" w:cs="Arial"/>
                <w:sz w:val="18"/>
                <w:szCs w:val="18"/>
              </w:rPr>
              <w:t>Revenue from Government</w:t>
            </w:r>
          </w:p>
        </w:tc>
        <w:tc>
          <w:tcPr>
            <w:tcW w:w="1256" w:type="dxa"/>
            <w:tcBorders>
              <w:top w:val="nil"/>
              <w:left w:val="nil"/>
              <w:bottom w:val="nil"/>
              <w:right w:val="nil"/>
            </w:tcBorders>
            <w:shd w:val="clear" w:color="FFFFFF" w:fill="FFFFFF"/>
            <w:noWrap/>
            <w:vAlign w:val="bottom"/>
            <w:hideMark/>
          </w:tcPr>
          <w:p w14:paraId="607C31C7" w14:textId="77777777" w:rsidR="00A43992" w:rsidRDefault="00A43992" w:rsidP="007211E3">
            <w:pPr>
              <w:jc w:val="right"/>
              <w:rPr>
                <w:rFonts w:ascii="Arial" w:hAnsi="Arial" w:cs="Arial"/>
                <w:b/>
                <w:bCs/>
                <w:sz w:val="18"/>
                <w:szCs w:val="18"/>
              </w:rPr>
            </w:pPr>
            <w:r>
              <w:rPr>
                <w:rFonts w:ascii="Arial" w:hAnsi="Arial" w:cs="Arial"/>
                <w:b/>
                <w:bCs/>
                <w:sz w:val="18"/>
                <w:szCs w:val="18"/>
              </w:rPr>
              <w:t>581,070</w:t>
            </w:r>
          </w:p>
        </w:tc>
        <w:tc>
          <w:tcPr>
            <w:tcW w:w="267" w:type="dxa"/>
            <w:tcBorders>
              <w:top w:val="nil"/>
              <w:left w:val="nil"/>
              <w:bottom w:val="nil"/>
              <w:right w:val="nil"/>
            </w:tcBorders>
            <w:shd w:val="clear" w:color="FFFFFF" w:fill="FFFFFF"/>
            <w:noWrap/>
            <w:vAlign w:val="bottom"/>
            <w:hideMark/>
          </w:tcPr>
          <w:p w14:paraId="178E9502" w14:textId="77777777" w:rsidR="00A43992" w:rsidRDefault="00A43992" w:rsidP="007211E3">
            <w:pPr>
              <w:rPr>
                <w:rFonts w:ascii="Arial" w:hAnsi="Arial" w:cs="Arial"/>
                <w:sz w:val="18"/>
                <w:szCs w:val="18"/>
              </w:rPr>
            </w:pPr>
            <w:r>
              <w:rPr>
                <w:rFonts w:ascii="Arial" w:hAnsi="Arial" w:cs="Arial"/>
                <w:sz w:val="18"/>
                <w:szCs w:val="18"/>
              </w:rPr>
              <w:t> </w:t>
            </w:r>
          </w:p>
        </w:tc>
        <w:tc>
          <w:tcPr>
            <w:tcW w:w="1196" w:type="dxa"/>
            <w:tcBorders>
              <w:top w:val="nil"/>
              <w:left w:val="nil"/>
              <w:bottom w:val="nil"/>
              <w:right w:val="nil"/>
            </w:tcBorders>
            <w:shd w:val="clear" w:color="FFFFFF" w:fill="FFFFFF"/>
            <w:noWrap/>
            <w:vAlign w:val="bottom"/>
            <w:hideMark/>
          </w:tcPr>
          <w:p w14:paraId="53F72EEA" w14:textId="77777777" w:rsidR="00A43992" w:rsidRDefault="00A43992" w:rsidP="007211E3">
            <w:pPr>
              <w:jc w:val="right"/>
              <w:rPr>
                <w:rFonts w:ascii="Arial" w:hAnsi="Arial" w:cs="Arial"/>
                <w:sz w:val="18"/>
                <w:szCs w:val="18"/>
              </w:rPr>
            </w:pPr>
            <w:r>
              <w:rPr>
                <w:rFonts w:ascii="Arial" w:hAnsi="Arial" w:cs="Arial"/>
                <w:sz w:val="18"/>
                <w:szCs w:val="18"/>
              </w:rPr>
              <w:t xml:space="preserve">308,433 </w:t>
            </w:r>
          </w:p>
        </w:tc>
      </w:tr>
      <w:tr w:rsidR="00A43992" w14:paraId="55C8E2AA" w14:textId="77777777" w:rsidTr="007211E3">
        <w:trPr>
          <w:trHeight w:val="255"/>
        </w:trPr>
        <w:tc>
          <w:tcPr>
            <w:tcW w:w="6216" w:type="dxa"/>
            <w:tcBorders>
              <w:top w:val="nil"/>
              <w:left w:val="nil"/>
              <w:bottom w:val="nil"/>
              <w:right w:val="nil"/>
            </w:tcBorders>
            <w:shd w:val="clear" w:color="FFFFFF" w:fill="FFFFFF"/>
            <w:noWrap/>
            <w:vAlign w:val="bottom"/>
            <w:hideMark/>
          </w:tcPr>
          <w:p w14:paraId="5482B4B1" w14:textId="77777777" w:rsidR="00A43992" w:rsidRDefault="00A43992" w:rsidP="007211E3">
            <w:pPr>
              <w:rPr>
                <w:rFonts w:ascii="Arial" w:hAnsi="Arial" w:cs="Arial"/>
                <w:sz w:val="18"/>
                <w:szCs w:val="18"/>
              </w:rPr>
            </w:pPr>
            <w:r>
              <w:rPr>
                <w:rFonts w:ascii="Arial" w:hAnsi="Arial" w:cs="Arial"/>
                <w:sz w:val="18"/>
                <w:szCs w:val="18"/>
              </w:rPr>
              <w:t> </w:t>
            </w:r>
          </w:p>
        </w:tc>
        <w:tc>
          <w:tcPr>
            <w:tcW w:w="1256" w:type="dxa"/>
            <w:tcBorders>
              <w:top w:val="nil"/>
              <w:left w:val="nil"/>
              <w:bottom w:val="nil"/>
              <w:right w:val="nil"/>
            </w:tcBorders>
            <w:shd w:val="clear" w:color="FFFFFF" w:fill="FFFFFF"/>
            <w:noWrap/>
            <w:vAlign w:val="bottom"/>
            <w:hideMark/>
          </w:tcPr>
          <w:p w14:paraId="355AD6B9" w14:textId="77777777" w:rsidR="00A43992" w:rsidRDefault="00A43992" w:rsidP="007211E3">
            <w:pPr>
              <w:rPr>
                <w:rFonts w:ascii="Arial" w:hAnsi="Arial" w:cs="Arial"/>
                <w:b/>
                <w:bCs/>
                <w:sz w:val="18"/>
                <w:szCs w:val="18"/>
              </w:rPr>
            </w:pPr>
            <w:r>
              <w:rPr>
                <w:rFonts w:ascii="Arial" w:hAnsi="Arial" w:cs="Arial"/>
                <w:b/>
                <w:bCs/>
                <w:sz w:val="18"/>
                <w:szCs w:val="18"/>
              </w:rPr>
              <w:t> </w:t>
            </w:r>
          </w:p>
        </w:tc>
        <w:tc>
          <w:tcPr>
            <w:tcW w:w="267" w:type="dxa"/>
            <w:tcBorders>
              <w:top w:val="nil"/>
              <w:left w:val="nil"/>
              <w:bottom w:val="nil"/>
              <w:right w:val="nil"/>
            </w:tcBorders>
            <w:shd w:val="clear" w:color="FFFFFF" w:fill="FFFFFF"/>
            <w:noWrap/>
            <w:vAlign w:val="bottom"/>
            <w:hideMark/>
          </w:tcPr>
          <w:p w14:paraId="78EC4AAD" w14:textId="77777777" w:rsidR="00A43992" w:rsidRDefault="00A43992" w:rsidP="007211E3">
            <w:pPr>
              <w:rPr>
                <w:rFonts w:ascii="Arial" w:hAnsi="Arial" w:cs="Arial"/>
                <w:b/>
                <w:bCs/>
                <w:sz w:val="18"/>
                <w:szCs w:val="18"/>
              </w:rPr>
            </w:pPr>
            <w:r>
              <w:rPr>
                <w:rFonts w:ascii="Arial" w:hAnsi="Arial" w:cs="Arial"/>
                <w:b/>
                <w:bCs/>
                <w:sz w:val="18"/>
                <w:szCs w:val="18"/>
              </w:rPr>
              <w:t> </w:t>
            </w:r>
          </w:p>
        </w:tc>
        <w:tc>
          <w:tcPr>
            <w:tcW w:w="1196" w:type="dxa"/>
            <w:tcBorders>
              <w:top w:val="nil"/>
              <w:left w:val="nil"/>
              <w:bottom w:val="nil"/>
              <w:right w:val="nil"/>
            </w:tcBorders>
            <w:shd w:val="clear" w:color="FFFFFF" w:fill="FFFFFF"/>
            <w:noWrap/>
            <w:vAlign w:val="bottom"/>
            <w:hideMark/>
          </w:tcPr>
          <w:p w14:paraId="1BF9B607" w14:textId="77777777" w:rsidR="00A43992" w:rsidRDefault="00A43992" w:rsidP="007211E3">
            <w:pPr>
              <w:rPr>
                <w:rFonts w:ascii="Arial" w:hAnsi="Arial" w:cs="Arial"/>
                <w:sz w:val="18"/>
                <w:szCs w:val="18"/>
              </w:rPr>
            </w:pPr>
            <w:r>
              <w:rPr>
                <w:rFonts w:ascii="Arial" w:hAnsi="Arial" w:cs="Arial"/>
                <w:sz w:val="18"/>
                <w:szCs w:val="18"/>
              </w:rPr>
              <w:t> </w:t>
            </w:r>
          </w:p>
        </w:tc>
      </w:tr>
      <w:tr w:rsidR="00A43992" w14:paraId="008D1FA7" w14:textId="77777777" w:rsidTr="007211E3">
        <w:trPr>
          <w:trHeight w:val="255"/>
        </w:trPr>
        <w:tc>
          <w:tcPr>
            <w:tcW w:w="6216" w:type="dxa"/>
            <w:tcBorders>
              <w:top w:val="nil"/>
              <w:left w:val="nil"/>
              <w:bottom w:val="nil"/>
              <w:right w:val="nil"/>
            </w:tcBorders>
            <w:shd w:val="clear" w:color="FFFFFF" w:fill="FFFFFF"/>
            <w:vAlign w:val="bottom"/>
            <w:hideMark/>
          </w:tcPr>
          <w:p w14:paraId="16AC6F79" w14:textId="77777777" w:rsidR="00A43992" w:rsidRDefault="00A43992" w:rsidP="007211E3">
            <w:pPr>
              <w:rPr>
                <w:rFonts w:ascii="Arial" w:hAnsi="Arial" w:cs="Arial"/>
                <w:b/>
                <w:bCs/>
                <w:sz w:val="18"/>
                <w:szCs w:val="18"/>
              </w:rPr>
            </w:pPr>
            <w:r>
              <w:rPr>
                <w:rFonts w:ascii="Arial" w:hAnsi="Arial" w:cs="Arial"/>
                <w:b/>
                <w:bCs/>
                <w:sz w:val="18"/>
                <w:szCs w:val="18"/>
              </w:rPr>
              <w:t>Adjustments for non-cash items</w:t>
            </w:r>
          </w:p>
        </w:tc>
        <w:tc>
          <w:tcPr>
            <w:tcW w:w="1256" w:type="dxa"/>
            <w:tcBorders>
              <w:top w:val="nil"/>
              <w:left w:val="nil"/>
              <w:bottom w:val="nil"/>
              <w:right w:val="nil"/>
            </w:tcBorders>
            <w:shd w:val="clear" w:color="FFFFFF" w:fill="FFFFFF"/>
            <w:noWrap/>
            <w:vAlign w:val="bottom"/>
            <w:hideMark/>
          </w:tcPr>
          <w:p w14:paraId="703D3505" w14:textId="77777777" w:rsidR="00A43992" w:rsidRDefault="00A43992" w:rsidP="007211E3">
            <w:pPr>
              <w:rPr>
                <w:rFonts w:ascii="Arial" w:hAnsi="Arial" w:cs="Arial"/>
                <w:b/>
                <w:bCs/>
                <w:sz w:val="18"/>
                <w:szCs w:val="18"/>
              </w:rPr>
            </w:pPr>
            <w:r>
              <w:rPr>
                <w:rFonts w:ascii="Arial" w:hAnsi="Arial" w:cs="Arial"/>
                <w:b/>
                <w:bCs/>
                <w:sz w:val="18"/>
                <w:szCs w:val="18"/>
              </w:rPr>
              <w:t> </w:t>
            </w:r>
          </w:p>
        </w:tc>
        <w:tc>
          <w:tcPr>
            <w:tcW w:w="267" w:type="dxa"/>
            <w:tcBorders>
              <w:top w:val="nil"/>
              <w:left w:val="nil"/>
              <w:bottom w:val="nil"/>
              <w:right w:val="nil"/>
            </w:tcBorders>
            <w:shd w:val="clear" w:color="FFFFFF" w:fill="FFFFFF"/>
            <w:noWrap/>
            <w:vAlign w:val="bottom"/>
            <w:hideMark/>
          </w:tcPr>
          <w:p w14:paraId="7727E644" w14:textId="77777777" w:rsidR="00A43992" w:rsidRDefault="00A43992" w:rsidP="007211E3">
            <w:pPr>
              <w:rPr>
                <w:rFonts w:ascii="Arial" w:hAnsi="Arial" w:cs="Arial"/>
                <w:b/>
                <w:bCs/>
                <w:sz w:val="18"/>
                <w:szCs w:val="18"/>
              </w:rPr>
            </w:pPr>
            <w:r>
              <w:rPr>
                <w:rFonts w:ascii="Arial" w:hAnsi="Arial" w:cs="Arial"/>
                <w:b/>
                <w:bCs/>
                <w:sz w:val="18"/>
                <w:szCs w:val="18"/>
              </w:rPr>
              <w:t> </w:t>
            </w:r>
          </w:p>
        </w:tc>
        <w:tc>
          <w:tcPr>
            <w:tcW w:w="1196" w:type="dxa"/>
            <w:tcBorders>
              <w:top w:val="nil"/>
              <w:left w:val="nil"/>
              <w:bottom w:val="nil"/>
              <w:right w:val="nil"/>
            </w:tcBorders>
            <w:shd w:val="clear" w:color="FFFFFF" w:fill="FFFFFF"/>
            <w:noWrap/>
            <w:vAlign w:val="bottom"/>
            <w:hideMark/>
          </w:tcPr>
          <w:p w14:paraId="50B9BCCF" w14:textId="77777777" w:rsidR="00A43992" w:rsidRDefault="00A43992" w:rsidP="007211E3">
            <w:pPr>
              <w:rPr>
                <w:rFonts w:ascii="Arial" w:hAnsi="Arial" w:cs="Arial"/>
                <w:sz w:val="18"/>
                <w:szCs w:val="18"/>
              </w:rPr>
            </w:pPr>
            <w:r>
              <w:rPr>
                <w:rFonts w:ascii="Arial" w:hAnsi="Arial" w:cs="Arial"/>
                <w:sz w:val="18"/>
                <w:szCs w:val="18"/>
              </w:rPr>
              <w:t> </w:t>
            </w:r>
          </w:p>
        </w:tc>
      </w:tr>
      <w:tr w:rsidR="00A43992" w14:paraId="41D1B4C1" w14:textId="77777777" w:rsidTr="007211E3">
        <w:trPr>
          <w:trHeight w:val="255"/>
        </w:trPr>
        <w:tc>
          <w:tcPr>
            <w:tcW w:w="6216" w:type="dxa"/>
            <w:tcBorders>
              <w:top w:val="nil"/>
              <w:left w:val="nil"/>
              <w:bottom w:val="nil"/>
              <w:right w:val="nil"/>
            </w:tcBorders>
            <w:shd w:val="clear" w:color="FFFFFF" w:fill="FFFFFF"/>
            <w:vAlign w:val="bottom"/>
            <w:hideMark/>
          </w:tcPr>
          <w:p w14:paraId="410403F6" w14:textId="77777777" w:rsidR="00A43992" w:rsidRDefault="00A43992" w:rsidP="007211E3">
            <w:pPr>
              <w:ind w:firstLineChars="100" w:firstLine="180"/>
              <w:rPr>
                <w:rFonts w:ascii="Arial" w:hAnsi="Arial" w:cs="Arial"/>
                <w:sz w:val="18"/>
                <w:szCs w:val="18"/>
              </w:rPr>
            </w:pPr>
            <w:r>
              <w:rPr>
                <w:rFonts w:ascii="Arial" w:hAnsi="Arial" w:cs="Arial"/>
                <w:sz w:val="18"/>
                <w:szCs w:val="18"/>
              </w:rPr>
              <w:t>Assets first found</w:t>
            </w:r>
          </w:p>
        </w:tc>
        <w:tc>
          <w:tcPr>
            <w:tcW w:w="1256" w:type="dxa"/>
            <w:tcBorders>
              <w:top w:val="nil"/>
              <w:left w:val="nil"/>
              <w:bottom w:val="nil"/>
              <w:right w:val="nil"/>
            </w:tcBorders>
            <w:shd w:val="clear" w:color="FFFFFF" w:fill="FFFFFF"/>
            <w:noWrap/>
            <w:vAlign w:val="bottom"/>
            <w:hideMark/>
          </w:tcPr>
          <w:p w14:paraId="5218DA58" w14:textId="77777777" w:rsidR="00A43992" w:rsidRDefault="00A43992" w:rsidP="007211E3">
            <w:pPr>
              <w:jc w:val="right"/>
              <w:rPr>
                <w:rFonts w:ascii="Arial" w:hAnsi="Arial" w:cs="Arial"/>
                <w:b/>
                <w:bCs/>
                <w:sz w:val="18"/>
                <w:szCs w:val="18"/>
              </w:rPr>
            </w:pPr>
            <w:r>
              <w:rPr>
                <w:rFonts w:ascii="Arial" w:hAnsi="Arial" w:cs="Arial"/>
                <w:b/>
                <w:bCs/>
                <w:sz w:val="18"/>
                <w:szCs w:val="18"/>
              </w:rPr>
              <w:t>(143)</w:t>
            </w:r>
          </w:p>
        </w:tc>
        <w:tc>
          <w:tcPr>
            <w:tcW w:w="267" w:type="dxa"/>
            <w:tcBorders>
              <w:top w:val="nil"/>
              <w:left w:val="nil"/>
              <w:bottom w:val="nil"/>
              <w:right w:val="nil"/>
            </w:tcBorders>
            <w:shd w:val="clear" w:color="FFFFFF" w:fill="FFFFFF"/>
            <w:noWrap/>
            <w:vAlign w:val="bottom"/>
            <w:hideMark/>
          </w:tcPr>
          <w:p w14:paraId="1E7D4F71" w14:textId="77777777" w:rsidR="00A43992" w:rsidRDefault="00A43992" w:rsidP="007211E3">
            <w:pPr>
              <w:rPr>
                <w:rFonts w:ascii="Arial" w:hAnsi="Arial" w:cs="Arial"/>
                <w:b/>
                <w:bCs/>
                <w:sz w:val="18"/>
                <w:szCs w:val="18"/>
              </w:rPr>
            </w:pPr>
            <w:r>
              <w:rPr>
                <w:rFonts w:ascii="Arial" w:hAnsi="Arial" w:cs="Arial"/>
                <w:b/>
                <w:bCs/>
                <w:sz w:val="18"/>
                <w:szCs w:val="18"/>
              </w:rPr>
              <w:t> </w:t>
            </w:r>
          </w:p>
        </w:tc>
        <w:tc>
          <w:tcPr>
            <w:tcW w:w="1196" w:type="dxa"/>
            <w:tcBorders>
              <w:top w:val="nil"/>
              <w:left w:val="nil"/>
              <w:bottom w:val="nil"/>
              <w:right w:val="nil"/>
            </w:tcBorders>
            <w:shd w:val="clear" w:color="FFFFFF" w:fill="FFFFFF"/>
            <w:noWrap/>
            <w:vAlign w:val="bottom"/>
            <w:hideMark/>
          </w:tcPr>
          <w:p w14:paraId="485D63FD" w14:textId="77777777" w:rsidR="00A43992" w:rsidRDefault="00A43992" w:rsidP="007211E3">
            <w:pPr>
              <w:jc w:val="right"/>
              <w:rPr>
                <w:rFonts w:ascii="Arial" w:hAnsi="Arial" w:cs="Arial"/>
                <w:sz w:val="18"/>
                <w:szCs w:val="18"/>
              </w:rPr>
            </w:pPr>
            <w:r>
              <w:rPr>
                <w:rFonts w:ascii="Arial" w:hAnsi="Arial" w:cs="Arial"/>
                <w:sz w:val="18"/>
                <w:szCs w:val="18"/>
              </w:rPr>
              <w:t>(206)</w:t>
            </w:r>
          </w:p>
        </w:tc>
      </w:tr>
      <w:tr w:rsidR="00A43992" w14:paraId="6035F03D" w14:textId="77777777" w:rsidTr="007211E3">
        <w:trPr>
          <w:trHeight w:val="255"/>
        </w:trPr>
        <w:tc>
          <w:tcPr>
            <w:tcW w:w="6216" w:type="dxa"/>
            <w:tcBorders>
              <w:top w:val="nil"/>
              <w:left w:val="nil"/>
              <w:bottom w:val="nil"/>
              <w:right w:val="nil"/>
            </w:tcBorders>
            <w:shd w:val="clear" w:color="FFFFFF" w:fill="FFFFFF"/>
            <w:vAlign w:val="bottom"/>
            <w:hideMark/>
          </w:tcPr>
          <w:p w14:paraId="251033C5" w14:textId="77777777" w:rsidR="00A43992" w:rsidRDefault="00A43992" w:rsidP="007211E3">
            <w:pPr>
              <w:ind w:firstLineChars="100" w:firstLine="180"/>
              <w:rPr>
                <w:rFonts w:ascii="Arial" w:hAnsi="Arial" w:cs="Arial"/>
                <w:sz w:val="18"/>
                <w:szCs w:val="18"/>
              </w:rPr>
            </w:pPr>
            <w:r>
              <w:rPr>
                <w:rFonts w:ascii="Arial" w:hAnsi="Arial" w:cs="Arial"/>
                <w:sz w:val="18"/>
                <w:szCs w:val="18"/>
              </w:rPr>
              <w:t xml:space="preserve">Depreciation and </w:t>
            </w:r>
            <w:proofErr w:type="spellStart"/>
            <w:r>
              <w:rPr>
                <w:rFonts w:ascii="Arial" w:hAnsi="Arial" w:cs="Arial"/>
                <w:sz w:val="18"/>
                <w:szCs w:val="18"/>
              </w:rPr>
              <w:t>amortisation</w:t>
            </w:r>
            <w:proofErr w:type="spellEnd"/>
          </w:p>
        </w:tc>
        <w:tc>
          <w:tcPr>
            <w:tcW w:w="1256" w:type="dxa"/>
            <w:tcBorders>
              <w:top w:val="nil"/>
              <w:left w:val="nil"/>
              <w:bottom w:val="nil"/>
              <w:right w:val="nil"/>
            </w:tcBorders>
            <w:shd w:val="clear" w:color="FFFFFF" w:fill="FFFFFF"/>
            <w:noWrap/>
            <w:vAlign w:val="bottom"/>
            <w:hideMark/>
          </w:tcPr>
          <w:p w14:paraId="799ED65E" w14:textId="77777777" w:rsidR="00A43992" w:rsidRDefault="00A43992" w:rsidP="007211E3">
            <w:pPr>
              <w:jc w:val="right"/>
              <w:rPr>
                <w:rFonts w:ascii="Arial" w:hAnsi="Arial" w:cs="Arial"/>
                <w:b/>
                <w:bCs/>
                <w:sz w:val="18"/>
                <w:szCs w:val="18"/>
              </w:rPr>
            </w:pPr>
            <w:r>
              <w:rPr>
                <w:rFonts w:ascii="Arial" w:hAnsi="Arial" w:cs="Arial"/>
                <w:b/>
                <w:bCs/>
                <w:sz w:val="18"/>
                <w:szCs w:val="18"/>
              </w:rPr>
              <w:t>8,886</w:t>
            </w:r>
          </w:p>
        </w:tc>
        <w:tc>
          <w:tcPr>
            <w:tcW w:w="267" w:type="dxa"/>
            <w:tcBorders>
              <w:top w:val="nil"/>
              <w:left w:val="nil"/>
              <w:bottom w:val="nil"/>
              <w:right w:val="nil"/>
            </w:tcBorders>
            <w:shd w:val="clear" w:color="FFFFFF" w:fill="FFFFFF"/>
            <w:noWrap/>
            <w:vAlign w:val="bottom"/>
            <w:hideMark/>
          </w:tcPr>
          <w:p w14:paraId="5D92D121" w14:textId="77777777" w:rsidR="00A43992" w:rsidRDefault="00A43992" w:rsidP="007211E3">
            <w:pPr>
              <w:rPr>
                <w:rFonts w:ascii="Arial" w:hAnsi="Arial" w:cs="Arial"/>
                <w:b/>
                <w:bCs/>
                <w:sz w:val="18"/>
                <w:szCs w:val="18"/>
              </w:rPr>
            </w:pPr>
            <w:r>
              <w:rPr>
                <w:rFonts w:ascii="Arial" w:hAnsi="Arial" w:cs="Arial"/>
                <w:b/>
                <w:bCs/>
                <w:sz w:val="18"/>
                <w:szCs w:val="18"/>
              </w:rPr>
              <w:t> </w:t>
            </w:r>
          </w:p>
        </w:tc>
        <w:tc>
          <w:tcPr>
            <w:tcW w:w="1196" w:type="dxa"/>
            <w:tcBorders>
              <w:top w:val="nil"/>
              <w:left w:val="nil"/>
              <w:bottom w:val="nil"/>
              <w:right w:val="nil"/>
            </w:tcBorders>
            <w:shd w:val="clear" w:color="FFFFFF" w:fill="FFFFFF"/>
            <w:noWrap/>
            <w:vAlign w:val="bottom"/>
            <w:hideMark/>
          </w:tcPr>
          <w:p w14:paraId="646DB7ED" w14:textId="77777777" w:rsidR="00A43992" w:rsidRDefault="00A43992" w:rsidP="007211E3">
            <w:pPr>
              <w:jc w:val="right"/>
              <w:rPr>
                <w:rFonts w:ascii="Arial" w:hAnsi="Arial" w:cs="Arial"/>
                <w:sz w:val="18"/>
                <w:szCs w:val="18"/>
              </w:rPr>
            </w:pPr>
            <w:r>
              <w:rPr>
                <w:rFonts w:ascii="Arial" w:hAnsi="Arial" w:cs="Arial"/>
                <w:sz w:val="18"/>
                <w:szCs w:val="18"/>
              </w:rPr>
              <w:t xml:space="preserve">8,032 </w:t>
            </w:r>
          </w:p>
        </w:tc>
      </w:tr>
      <w:tr w:rsidR="00A43992" w14:paraId="51E15318" w14:textId="77777777" w:rsidTr="007211E3">
        <w:trPr>
          <w:trHeight w:val="255"/>
        </w:trPr>
        <w:tc>
          <w:tcPr>
            <w:tcW w:w="6216" w:type="dxa"/>
            <w:tcBorders>
              <w:top w:val="nil"/>
              <w:left w:val="nil"/>
              <w:bottom w:val="nil"/>
              <w:right w:val="nil"/>
            </w:tcBorders>
            <w:shd w:val="clear" w:color="FFFFFF" w:fill="FFFFFF"/>
            <w:vAlign w:val="bottom"/>
            <w:hideMark/>
          </w:tcPr>
          <w:p w14:paraId="104E38A4" w14:textId="77777777" w:rsidR="00A43992" w:rsidRDefault="00A43992" w:rsidP="007211E3">
            <w:pPr>
              <w:ind w:firstLineChars="100" w:firstLine="180"/>
              <w:rPr>
                <w:rFonts w:ascii="Arial" w:hAnsi="Arial" w:cs="Arial"/>
                <w:sz w:val="18"/>
                <w:szCs w:val="18"/>
              </w:rPr>
            </w:pPr>
            <w:r>
              <w:rPr>
                <w:rFonts w:ascii="Arial" w:hAnsi="Arial" w:cs="Arial"/>
                <w:sz w:val="18"/>
                <w:szCs w:val="18"/>
              </w:rPr>
              <w:t>Net write-down of non-financial assets</w:t>
            </w:r>
          </w:p>
        </w:tc>
        <w:tc>
          <w:tcPr>
            <w:tcW w:w="1256" w:type="dxa"/>
            <w:tcBorders>
              <w:top w:val="nil"/>
              <w:left w:val="nil"/>
              <w:bottom w:val="nil"/>
              <w:right w:val="nil"/>
            </w:tcBorders>
            <w:shd w:val="clear" w:color="FFFFFF" w:fill="FFFFFF"/>
            <w:noWrap/>
            <w:vAlign w:val="bottom"/>
            <w:hideMark/>
          </w:tcPr>
          <w:p w14:paraId="23DFB54F" w14:textId="77777777" w:rsidR="00A43992" w:rsidRDefault="00A43992" w:rsidP="007211E3">
            <w:pPr>
              <w:jc w:val="right"/>
              <w:rPr>
                <w:rFonts w:ascii="Arial" w:hAnsi="Arial" w:cs="Arial"/>
                <w:b/>
                <w:bCs/>
                <w:sz w:val="18"/>
                <w:szCs w:val="18"/>
              </w:rPr>
            </w:pPr>
            <w:r>
              <w:rPr>
                <w:rFonts w:ascii="Arial" w:hAnsi="Arial" w:cs="Arial"/>
                <w:b/>
                <w:bCs/>
                <w:sz w:val="18"/>
                <w:szCs w:val="18"/>
              </w:rPr>
              <w:t>3,385</w:t>
            </w:r>
          </w:p>
        </w:tc>
        <w:tc>
          <w:tcPr>
            <w:tcW w:w="267" w:type="dxa"/>
            <w:tcBorders>
              <w:top w:val="nil"/>
              <w:left w:val="nil"/>
              <w:bottom w:val="nil"/>
              <w:right w:val="nil"/>
            </w:tcBorders>
            <w:shd w:val="clear" w:color="FFFFFF" w:fill="FFFFFF"/>
            <w:noWrap/>
            <w:vAlign w:val="bottom"/>
            <w:hideMark/>
          </w:tcPr>
          <w:p w14:paraId="583B6759" w14:textId="77777777" w:rsidR="00A43992" w:rsidRDefault="00A43992" w:rsidP="007211E3">
            <w:pPr>
              <w:rPr>
                <w:rFonts w:ascii="Arial" w:hAnsi="Arial" w:cs="Arial"/>
                <w:b/>
                <w:bCs/>
                <w:sz w:val="18"/>
                <w:szCs w:val="18"/>
              </w:rPr>
            </w:pPr>
            <w:r>
              <w:rPr>
                <w:rFonts w:ascii="Arial" w:hAnsi="Arial" w:cs="Arial"/>
                <w:b/>
                <w:bCs/>
                <w:sz w:val="18"/>
                <w:szCs w:val="18"/>
              </w:rPr>
              <w:t> </w:t>
            </w:r>
          </w:p>
        </w:tc>
        <w:tc>
          <w:tcPr>
            <w:tcW w:w="1196" w:type="dxa"/>
            <w:tcBorders>
              <w:top w:val="nil"/>
              <w:left w:val="nil"/>
              <w:bottom w:val="nil"/>
              <w:right w:val="nil"/>
            </w:tcBorders>
            <w:shd w:val="clear" w:color="FFFFFF" w:fill="FFFFFF"/>
            <w:noWrap/>
            <w:vAlign w:val="bottom"/>
            <w:hideMark/>
          </w:tcPr>
          <w:p w14:paraId="79F89E64" w14:textId="77777777" w:rsidR="00A43992" w:rsidRDefault="00A43992" w:rsidP="007211E3">
            <w:pPr>
              <w:jc w:val="right"/>
              <w:rPr>
                <w:rFonts w:ascii="Arial" w:hAnsi="Arial" w:cs="Arial"/>
                <w:sz w:val="18"/>
                <w:szCs w:val="18"/>
              </w:rPr>
            </w:pPr>
            <w:r>
              <w:rPr>
                <w:rFonts w:ascii="Arial" w:hAnsi="Arial" w:cs="Arial"/>
                <w:sz w:val="18"/>
                <w:szCs w:val="18"/>
              </w:rPr>
              <w:t xml:space="preserve">20 </w:t>
            </w:r>
          </w:p>
        </w:tc>
      </w:tr>
      <w:tr w:rsidR="00A43992" w14:paraId="7429ED6C" w14:textId="77777777" w:rsidTr="007211E3">
        <w:trPr>
          <w:trHeight w:val="255"/>
        </w:trPr>
        <w:tc>
          <w:tcPr>
            <w:tcW w:w="6216" w:type="dxa"/>
            <w:tcBorders>
              <w:top w:val="nil"/>
              <w:left w:val="nil"/>
              <w:bottom w:val="nil"/>
              <w:right w:val="nil"/>
            </w:tcBorders>
            <w:shd w:val="clear" w:color="FFFFFF" w:fill="FFFFFF"/>
            <w:vAlign w:val="bottom"/>
            <w:hideMark/>
          </w:tcPr>
          <w:p w14:paraId="4C3DA7CB" w14:textId="77777777" w:rsidR="00A43992" w:rsidRDefault="00A43992" w:rsidP="007211E3">
            <w:pPr>
              <w:ind w:firstLineChars="100" w:firstLine="180"/>
              <w:rPr>
                <w:rFonts w:ascii="Arial" w:hAnsi="Arial" w:cs="Arial"/>
                <w:sz w:val="18"/>
                <w:szCs w:val="18"/>
              </w:rPr>
            </w:pPr>
            <w:r>
              <w:rPr>
                <w:rFonts w:ascii="Arial" w:hAnsi="Arial" w:cs="Arial"/>
                <w:sz w:val="18"/>
                <w:szCs w:val="18"/>
              </w:rPr>
              <w:t>Accrued purchase of buildings and plant and equipment</w:t>
            </w:r>
          </w:p>
        </w:tc>
        <w:tc>
          <w:tcPr>
            <w:tcW w:w="1256" w:type="dxa"/>
            <w:tcBorders>
              <w:top w:val="nil"/>
              <w:left w:val="nil"/>
              <w:bottom w:val="nil"/>
              <w:right w:val="nil"/>
            </w:tcBorders>
            <w:shd w:val="clear" w:color="FFFFFF" w:fill="FFFFFF"/>
            <w:noWrap/>
            <w:vAlign w:val="bottom"/>
            <w:hideMark/>
          </w:tcPr>
          <w:p w14:paraId="745AFC0C" w14:textId="77777777" w:rsidR="00A43992" w:rsidRDefault="00A43992" w:rsidP="007211E3">
            <w:pPr>
              <w:jc w:val="right"/>
              <w:rPr>
                <w:rFonts w:ascii="Arial" w:hAnsi="Arial" w:cs="Arial"/>
                <w:b/>
                <w:bCs/>
                <w:sz w:val="18"/>
                <w:szCs w:val="18"/>
              </w:rPr>
            </w:pPr>
            <w:r>
              <w:rPr>
                <w:rFonts w:ascii="Arial" w:hAnsi="Arial" w:cs="Arial"/>
                <w:b/>
                <w:bCs/>
                <w:sz w:val="18"/>
                <w:szCs w:val="18"/>
              </w:rPr>
              <w:t>(3,264)</w:t>
            </w:r>
          </w:p>
        </w:tc>
        <w:tc>
          <w:tcPr>
            <w:tcW w:w="267" w:type="dxa"/>
            <w:tcBorders>
              <w:top w:val="nil"/>
              <w:left w:val="nil"/>
              <w:bottom w:val="nil"/>
              <w:right w:val="nil"/>
            </w:tcBorders>
            <w:shd w:val="clear" w:color="FFFFFF" w:fill="FFFFFF"/>
            <w:noWrap/>
            <w:vAlign w:val="bottom"/>
            <w:hideMark/>
          </w:tcPr>
          <w:p w14:paraId="61844860" w14:textId="77777777" w:rsidR="00A43992" w:rsidRDefault="00A43992" w:rsidP="007211E3">
            <w:pPr>
              <w:rPr>
                <w:rFonts w:ascii="Arial" w:hAnsi="Arial" w:cs="Arial"/>
                <w:b/>
                <w:bCs/>
                <w:sz w:val="18"/>
                <w:szCs w:val="18"/>
              </w:rPr>
            </w:pPr>
            <w:r>
              <w:rPr>
                <w:rFonts w:ascii="Arial" w:hAnsi="Arial" w:cs="Arial"/>
                <w:b/>
                <w:bCs/>
                <w:sz w:val="18"/>
                <w:szCs w:val="18"/>
              </w:rPr>
              <w:t> </w:t>
            </w:r>
          </w:p>
        </w:tc>
        <w:tc>
          <w:tcPr>
            <w:tcW w:w="1196" w:type="dxa"/>
            <w:tcBorders>
              <w:top w:val="nil"/>
              <w:left w:val="nil"/>
              <w:bottom w:val="nil"/>
              <w:right w:val="nil"/>
            </w:tcBorders>
            <w:shd w:val="clear" w:color="FFFFFF" w:fill="FFFFFF"/>
            <w:noWrap/>
            <w:vAlign w:val="bottom"/>
            <w:hideMark/>
          </w:tcPr>
          <w:p w14:paraId="2AD979FF" w14:textId="77777777" w:rsidR="00A43992" w:rsidRDefault="00A43992" w:rsidP="007211E3">
            <w:pPr>
              <w:jc w:val="right"/>
              <w:rPr>
                <w:rFonts w:ascii="Arial" w:hAnsi="Arial" w:cs="Arial"/>
                <w:sz w:val="18"/>
                <w:szCs w:val="18"/>
              </w:rPr>
            </w:pPr>
            <w:r>
              <w:rPr>
                <w:rFonts w:ascii="Arial" w:hAnsi="Arial" w:cs="Arial"/>
                <w:sz w:val="18"/>
                <w:szCs w:val="18"/>
              </w:rPr>
              <w:t xml:space="preserve"> -</w:t>
            </w:r>
          </w:p>
        </w:tc>
      </w:tr>
      <w:tr w:rsidR="00A43992" w14:paraId="32470A30" w14:textId="77777777" w:rsidTr="007211E3">
        <w:trPr>
          <w:trHeight w:val="255"/>
        </w:trPr>
        <w:tc>
          <w:tcPr>
            <w:tcW w:w="6216" w:type="dxa"/>
            <w:tcBorders>
              <w:top w:val="nil"/>
              <w:left w:val="nil"/>
              <w:bottom w:val="nil"/>
              <w:right w:val="nil"/>
            </w:tcBorders>
            <w:shd w:val="clear" w:color="FFFFFF" w:fill="FFFFFF"/>
            <w:vAlign w:val="bottom"/>
            <w:hideMark/>
          </w:tcPr>
          <w:p w14:paraId="07863482" w14:textId="77777777" w:rsidR="00A43992" w:rsidRDefault="00A43992" w:rsidP="007211E3">
            <w:pPr>
              <w:ind w:firstLineChars="100" w:firstLine="180"/>
              <w:rPr>
                <w:rFonts w:ascii="Arial" w:hAnsi="Arial" w:cs="Arial"/>
                <w:sz w:val="18"/>
                <w:szCs w:val="18"/>
              </w:rPr>
            </w:pPr>
            <w:r>
              <w:rPr>
                <w:rFonts w:ascii="Arial" w:hAnsi="Arial" w:cs="Arial"/>
                <w:sz w:val="18"/>
                <w:szCs w:val="18"/>
              </w:rPr>
              <w:t>GST on investing activities</w:t>
            </w:r>
          </w:p>
        </w:tc>
        <w:tc>
          <w:tcPr>
            <w:tcW w:w="1256" w:type="dxa"/>
            <w:tcBorders>
              <w:top w:val="nil"/>
              <w:left w:val="nil"/>
              <w:bottom w:val="nil"/>
              <w:right w:val="nil"/>
            </w:tcBorders>
            <w:shd w:val="clear" w:color="FFFFFF" w:fill="FFFFFF"/>
            <w:noWrap/>
            <w:vAlign w:val="bottom"/>
            <w:hideMark/>
          </w:tcPr>
          <w:p w14:paraId="429924D6" w14:textId="77777777" w:rsidR="00A43992" w:rsidRDefault="00A43992" w:rsidP="007211E3">
            <w:pPr>
              <w:jc w:val="right"/>
              <w:rPr>
                <w:rFonts w:ascii="Arial" w:hAnsi="Arial" w:cs="Arial"/>
                <w:b/>
                <w:bCs/>
                <w:sz w:val="18"/>
                <w:szCs w:val="18"/>
              </w:rPr>
            </w:pPr>
            <w:r>
              <w:rPr>
                <w:rFonts w:ascii="Arial" w:hAnsi="Arial" w:cs="Arial"/>
                <w:b/>
                <w:bCs/>
                <w:sz w:val="18"/>
                <w:szCs w:val="18"/>
              </w:rPr>
              <w:t>-</w:t>
            </w:r>
          </w:p>
        </w:tc>
        <w:tc>
          <w:tcPr>
            <w:tcW w:w="267" w:type="dxa"/>
            <w:tcBorders>
              <w:top w:val="nil"/>
              <w:left w:val="nil"/>
              <w:bottom w:val="nil"/>
              <w:right w:val="nil"/>
            </w:tcBorders>
            <w:shd w:val="clear" w:color="FFFFFF" w:fill="FFFFFF"/>
            <w:noWrap/>
            <w:vAlign w:val="bottom"/>
            <w:hideMark/>
          </w:tcPr>
          <w:p w14:paraId="0826F5C5" w14:textId="77777777" w:rsidR="00A43992" w:rsidRDefault="00A43992" w:rsidP="007211E3">
            <w:pPr>
              <w:rPr>
                <w:rFonts w:ascii="Arial" w:hAnsi="Arial" w:cs="Arial"/>
                <w:b/>
                <w:bCs/>
                <w:sz w:val="18"/>
                <w:szCs w:val="18"/>
              </w:rPr>
            </w:pPr>
            <w:r>
              <w:rPr>
                <w:rFonts w:ascii="Arial" w:hAnsi="Arial" w:cs="Arial"/>
                <w:b/>
                <w:bCs/>
                <w:sz w:val="18"/>
                <w:szCs w:val="18"/>
              </w:rPr>
              <w:t> </w:t>
            </w:r>
          </w:p>
        </w:tc>
        <w:tc>
          <w:tcPr>
            <w:tcW w:w="1196" w:type="dxa"/>
            <w:tcBorders>
              <w:top w:val="nil"/>
              <w:left w:val="nil"/>
              <w:bottom w:val="nil"/>
              <w:right w:val="nil"/>
            </w:tcBorders>
            <w:shd w:val="clear" w:color="FFFFFF" w:fill="FFFFFF"/>
            <w:noWrap/>
            <w:vAlign w:val="bottom"/>
            <w:hideMark/>
          </w:tcPr>
          <w:p w14:paraId="59AF39BE" w14:textId="77777777" w:rsidR="00A43992" w:rsidRDefault="00A43992" w:rsidP="007211E3">
            <w:pPr>
              <w:jc w:val="right"/>
              <w:rPr>
                <w:rFonts w:ascii="Arial" w:hAnsi="Arial" w:cs="Arial"/>
                <w:sz w:val="18"/>
                <w:szCs w:val="18"/>
              </w:rPr>
            </w:pPr>
            <w:r>
              <w:rPr>
                <w:rFonts w:ascii="Arial" w:hAnsi="Arial" w:cs="Arial"/>
                <w:sz w:val="18"/>
                <w:szCs w:val="18"/>
              </w:rPr>
              <w:t xml:space="preserve">282 </w:t>
            </w:r>
          </w:p>
        </w:tc>
      </w:tr>
      <w:tr w:rsidR="00A43992" w14:paraId="4C7CA2B4" w14:textId="77777777" w:rsidTr="007211E3">
        <w:trPr>
          <w:trHeight w:val="255"/>
        </w:trPr>
        <w:tc>
          <w:tcPr>
            <w:tcW w:w="6216" w:type="dxa"/>
            <w:tcBorders>
              <w:top w:val="nil"/>
              <w:left w:val="nil"/>
              <w:bottom w:val="nil"/>
              <w:right w:val="nil"/>
            </w:tcBorders>
            <w:shd w:val="clear" w:color="FFFFFF" w:fill="FFFFFF"/>
            <w:noWrap/>
            <w:vAlign w:val="bottom"/>
            <w:hideMark/>
          </w:tcPr>
          <w:p w14:paraId="6A5E96F2" w14:textId="77777777" w:rsidR="00A43992" w:rsidRDefault="00A43992" w:rsidP="007211E3">
            <w:pPr>
              <w:rPr>
                <w:rFonts w:ascii="Arial" w:hAnsi="Arial" w:cs="Arial"/>
                <w:sz w:val="18"/>
                <w:szCs w:val="18"/>
              </w:rPr>
            </w:pPr>
            <w:r>
              <w:rPr>
                <w:rFonts w:ascii="Arial" w:hAnsi="Arial" w:cs="Arial"/>
                <w:sz w:val="18"/>
                <w:szCs w:val="18"/>
              </w:rPr>
              <w:t> </w:t>
            </w:r>
          </w:p>
        </w:tc>
        <w:tc>
          <w:tcPr>
            <w:tcW w:w="1256" w:type="dxa"/>
            <w:tcBorders>
              <w:top w:val="nil"/>
              <w:left w:val="nil"/>
              <w:bottom w:val="nil"/>
              <w:right w:val="nil"/>
            </w:tcBorders>
            <w:shd w:val="clear" w:color="FFFFFF" w:fill="FFFFFF"/>
            <w:noWrap/>
            <w:vAlign w:val="bottom"/>
            <w:hideMark/>
          </w:tcPr>
          <w:p w14:paraId="49D1B501" w14:textId="77777777" w:rsidR="00A43992" w:rsidRDefault="00A43992" w:rsidP="007211E3">
            <w:pPr>
              <w:rPr>
                <w:rFonts w:ascii="Arial" w:hAnsi="Arial" w:cs="Arial"/>
                <w:b/>
                <w:bCs/>
                <w:sz w:val="18"/>
                <w:szCs w:val="18"/>
              </w:rPr>
            </w:pPr>
            <w:r>
              <w:rPr>
                <w:rFonts w:ascii="Arial" w:hAnsi="Arial" w:cs="Arial"/>
                <w:b/>
                <w:bCs/>
                <w:sz w:val="18"/>
                <w:szCs w:val="18"/>
              </w:rPr>
              <w:t> </w:t>
            </w:r>
          </w:p>
        </w:tc>
        <w:tc>
          <w:tcPr>
            <w:tcW w:w="267" w:type="dxa"/>
            <w:tcBorders>
              <w:top w:val="nil"/>
              <w:left w:val="nil"/>
              <w:bottom w:val="nil"/>
              <w:right w:val="nil"/>
            </w:tcBorders>
            <w:shd w:val="clear" w:color="FFFFFF" w:fill="FFFFFF"/>
            <w:noWrap/>
            <w:vAlign w:val="bottom"/>
            <w:hideMark/>
          </w:tcPr>
          <w:p w14:paraId="0D19C135" w14:textId="77777777" w:rsidR="00A43992" w:rsidRDefault="00A43992" w:rsidP="007211E3">
            <w:pPr>
              <w:rPr>
                <w:rFonts w:ascii="Arial" w:hAnsi="Arial" w:cs="Arial"/>
                <w:b/>
                <w:bCs/>
                <w:sz w:val="18"/>
                <w:szCs w:val="18"/>
              </w:rPr>
            </w:pPr>
            <w:r>
              <w:rPr>
                <w:rFonts w:ascii="Arial" w:hAnsi="Arial" w:cs="Arial"/>
                <w:b/>
                <w:bCs/>
                <w:sz w:val="18"/>
                <w:szCs w:val="18"/>
              </w:rPr>
              <w:t> </w:t>
            </w:r>
          </w:p>
        </w:tc>
        <w:tc>
          <w:tcPr>
            <w:tcW w:w="1196" w:type="dxa"/>
            <w:tcBorders>
              <w:top w:val="nil"/>
              <w:left w:val="nil"/>
              <w:bottom w:val="nil"/>
              <w:right w:val="nil"/>
            </w:tcBorders>
            <w:shd w:val="clear" w:color="FFFFFF" w:fill="FFFFFF"/>
            <w:noWrap/>
            <w:vAlign w:val="bottom"/>
            <w:hideMark/>
          </w:tcPr>
          <w:p w14:paraId="3015B990" w14:textId="77777777" w:rsidR="00A43992" w:rsidRDefault="00A43992" w:rsidP="007211E3">
            <w:pPr>
              <w:rPr>
                <w:rFonts w:ascii="Arial" w:hAnsi="Arial" w:cs="Arial"/>
                <w:sz w:val="18"/>
                <w:szCs w:val="18"/>
              </w:rPr>
            </w:pPr>
            <w:r>
              <w:rPr>
                <w:rFonts w:ascii="Arial" w:hAnsi="Arial" w:cs="Arial"/>
                <w:sz w:val="18"/>
                <w:szCs w:val="18"/>
              </w:rPr>
              <w:t> </w:t>
            </w:r>
          </w:p>
        </w:tc>
      </w:tr>
      <w:tr w:rsidR="00A43992" w14:paraId="4DAC12BF" w14:textId="77777777" w:rsidTr="007211E3">
        <w:trPr>
          <w:trHeight w:val="255"/>
        </w:trPr>
        <w:tc>
          <w:tcPr>
            <w:tcW w:w="6216" w:type="dxa"/>
            <w:tcBorders>
              <w:top w:val="nil"/>
              <w:left w:val="nil"/>
              <w:bottom w:val="nil"/>
              <w:right w:val="nil"/>
            </w:tcBorders>
            <w:shd w:val="clear" w:color="FFFFFF" w:fill="FFFFFF"/>
            <w:vAlign w:val="bottom"/>
            <w:hideMark/>
          </w:tcPr>
          <w:p w14:paraId="647AA19D" w14:textId="77777777" w:rsidR="00A43992" w:rsidRDefault="00A43992" w:rsidP="007211E3">
            <w:pPr>
              <w:rPr>
                <w:rFonts w:ascii="Arial" w:hAnsi="Arial" w:cs="Arial"/>
                <w:b/>
                <w:bCs/>
                <w:sz w:val="18"/>
                <w:szCs w:val="18"/>
              </w:rPr>
            </w:pPr>
            <w:r>
              <w:rPr>
                <w:rFonts w:ascii="Arial" w:hAnsi="Arial" w:cs="Arial"/>
                <w:b/>
                <w:bCs/>
                <w:sz w:val="18"/>
                <w:szCs w:val="18"/>
              </w:rPr>
              <w:t>Movements in assets and liabilities</w:t>
            </w:r>
          </w:p>
        </w:tc>
        <w:tc>
          <w:tcPr>
            <w:tcW w:w="1256" w:type="dxa"/>
            <w:tcBorders>
              <w:top w:val="nil"/>
              <w:left w:val="nil"/>
              <w:bottom w:val="nil"/>
              <w:right w:val="nil"/>
            </w:tcBorders>
            <w:shd w:val="clear" w:color="FFFFFF" w:fill="FFFFFF"/>
            <w:noWrap/>
            <w:vAlign w:val="bottom"/>
            <w:hideMark/>
          </w:tcPr>
          <w:p w14:paraId="4F96F626" w14:textId="77777777" w:rsidR="00A43992" w:rsidRDefault="00A43992" w:rsidP="007211E3">
            <w:pPr>
              <w:rPr>
                <w:rFonts w:ascii="Arial" w:hAnsi="Arial" w:cs="Arial"/>
                <w:b/>
                <w:bCs/>
                <w:sz w:val="18"/>
                <w:szCs w:val="18"/>
              </w:rPr>
            </w:pPr>
            <w:r>
              <w:rPr>
                <w:rFonts w:ascii="Arial" w:hAnsi="Arial" w:cs="Arial"/>
                <w:b/>
                <w:bCs/>
                <w:sz w:val="18"/>
                <w:szCs w:val="18"/>
              </w:rPr>
              <w:t> </w:t>
            </w:r>
          </w:p>
        </w:tc>
        <w:tc>
          <w:tcPr>
            <w:tcW w:w="267" w:type="dxa"/>
            <w:tcBorders>
              <w:top w:val="nil"/>
              <w:left w:val="nil"/>
              <w:bottom w:val="nil"/>
              <w:right w:val="nil"/>
            </w:tcBorders>
            <w:shd w:val="clear" w:color="FFFFFF" w:fill="FFFFFF"/>
            <w:noWrap/>
            <w:vAlign w:val="bottom"/>
            <w:hideMark/>
          </w:tcPr>
          <w:p w14:paraId="6D6E0225" w14:textId="77777777" w:rsidR="00A43992" w:rsidRDefault="00A43992" w:rsidP="007211E3">
            <w:pPr>
              <w:rPr>
                <w:rFonts w:ascii="Arial" w:hAnsi="Arial" w:cs="Arial"/>
                <w:b/>
                <w:bCs/>
                <w:sz w:val="18"/>
                <w:szCs w:val="18"/>
              </w:rPr>
            </w:pPr>
            <w:r>
              <w:rPr>
                <w:rFonts w:ascii="Arial" w:hAnsi="Arial" w:cs="Arial"/>
                <w:b/>
                <w:bCs/>
                <w:sz w:val="18"/>
                <w:szCs w:val="18"/>
              </w:rPr>
              <w:t> </w:t>
            </w:r>
          </w:p>
        </w:tc>
        <w:tc>
          <w:tcPr>
            <w:tcW w:w="1196" w:type="dxa"/>
            <w:tcBorders>
              <w:top w:val="nil"/>
              <w:left w:val="nil"/>
              <w:bottom w:val="nil"/>
              <w:right w:val="nil"/>
            </w:tcBorders>
            <w:shd w:val="clear" w:color="FFFFFF" w:fill="FFFFFF"/>
            <w:noWrap/>
            <w:vAlign w:val="bottom"/>
            <w:hideMark/>
          </w:tcPr>
          <w:p w14:paraId="30552653" w14:textId="77777777" w:rsidR="00A43992" w:rsidRDefault="00A43992" w:rsidP="007211E3">
            <w:pPr>
              <w:rPr>
                <w:rFonts w:ascii="Arial" w:hAnsi="Arial" w:cs="Arial"/>
                <w:sz w:val="18"/>
                <w:szCs w:val="18"/>
              </w:rPr>
            </w:pPr>
            <w:r>
              <w:rPr>
                <w:rFonts w:ascii="Arial" w:hAnsi="Arial" w:cs="Arial"/>
                <w:sz w:val="18"/>
                <w:szCs w:val="18"/>
              </w:rPr>
              <w:t> </w:t>
            </w:r>
          </w:p>
        </w:tc>
      </w:tr>
      <w:tr w:rsidR="00A43992" w14:paraId="27FA67B4" w14:textId="77777777" w:rsidTr="007211E3">
        <w:trPr>
          <w:trHeight w:val="255"/>
        </w:trPr>
        <w:tc>
          <w:tcPr>
            <w:tcW w:w="6216" w:type="dxa"/>
            <w:tcBorders>
              <w:top w:val="nil"/>
              <w:left w:val="nil"/>
              <w:bottom w:val="nil"/>
              <w:right w:val="nil"/>
            </w:tcBorders>
            <w:shd w:val="clear" w:color="FFFFFF" w:fill="FFFFFF"/>
            <w:vAlign w:val="bottom"/>
            <w:hideMark/>
          </w:tcPr>
          <w:p w14:paraId="5D5805FF" w14:textId="77777777" w:rsidR="00A43992" w:rsidRDefault="00A43992" w:rsidP="007211E3">
            <w:pPr>
              <w:rPr>
                <w:rFonts w:ascii="Arial" w:hAnsi="Arial" w:cs="Arial"/>
                <w:b/>
                <w:bCs/>
                <w:sz w:val="18"/>
                <w:szCs w:val="18"/>
              </w:rPr>
            </w:pPr>
            <w:r>
              <w:rPr>
                <w:rFonts w:ascii="Arial" w:hAnsi="Arial" w:cs="Arial"/>
                <w:b/>
                <w:bCs/>
                <w:sz w:val="18"/>
                <w:szCs w:val="18"/>
              </w:rPr>
              <w:t>Assets</w:t>
            </w:r>
          </w:p>
        </w:tc>
        <w:tc>
          <w:tcPr>
            <w:tcW w:w="1256" w:type="dxa"/>
            <w:tcBorders>
              <w:top w:val="nil"/>
              <w:left w:val="nil"/>
              <w:bottom w:val="nil"/>
              <w:right w:val="nil"/>
            </w:tcBorders>
            <w:shd w:val="clear" w:color="FFFFFF" w:fill="FFFFFF"/>
            <w:noWrap/>
            <w:vAlign w:val="bottom"/>
            <w:hideMark/>
          </w:tcPr>
          <w:p w14:paraId="14EAF4F6" w14:textId="77777777" w:rsidR="00A43992" w:rsidRDefault="00A43992" w:rsidP="007211E3">
            <w:pPr>
              <w:rPr>
                <w:rFonts w:ascii="Arial" w:hAnsi="Arial" w:cs="Arial"/>
                <w:b/>
                <w:bCs/>
                <w:sz w:val="18"/>
                <w:szCs w:val="18"/>
              </w:rPr>
            </w:pPr>
            <w:r>
              <w:rPr>
                <w:rFonts w:ascii="Arial" w:hAnsi="Arial" w:cs="Arial"/>
                <w:b/>
                <w:bCs/>
                <w:sz w:val="18"/>
                <w:szCs w:val="18"/>
              </w:rPr>
              <w:t> </w:t>
            </w:r>
          </w:p>
        </w:tc>
        <w:tc>
          <w:tcPr>
            <w:tcW w:w="267" w:type="dxa"/>
            <w:tcBorders>
              <w:top w:val="nil"/>
              <w:left w:val="nil"/>
              <w:bottom w:val="nil"/>
              <w:right w:val="nil"/>
            </w:tcBorders>
            <w:shd w:val="clear" w:color="FFFFFF" w:fill="FFFFFF"/>
            <w:noWrap/>
            <w:vAlign w:val="bottom"/>
            <w:hideMark/>
          </w:tcPr>
          <w:p w14:paraId="14C4355F" w14:textId="77777777" w:rsidR="00A43992" w:rsidRDefault="00A43992" w:rsidP="007211E3">
            <w:pPr>
              <w:rPr>
                <w:rFonts w:ascii="Arial" w:hAnsi="Arial" w:cs="Arial"/>
                <w:b/>
                <w:bCs/>
                <w:sz w:val="18"/>
                <w:szCs w:val="18"/>
              </w:rPr>
            </w:pPr>
            <w:r>
              <w:rPr>
                <w:rFonts w:ascii="Arial" w:hAnsi="Arial" w:cs="Arial"/>
                <w:b/>
                <w:bCs/>
                <w:sz w:val="18"/>
                <w:szCs w:val="18"/>
              </w:rPr>
              <w:t> </w:t>
            </w:r>
          </w:p>
        </w:tc>
        <w:tc>
          <w:tcPr>
            <w:tcW w:w="1196" w:type="dxa"/>
            <w:tcBorders>
              <w:top w:val="nil"/>
              <w:left w:val="nil"/>
              <w:bottom w:val="nil"/>
              <w:right w:val="nil"/>
            </w:tcBorders>
            <w:shd w:val="clear" w:color="FFFFFF" w:fill="FFFFFF"/>
            <w:noWrap/>
            <w:vAlign w:val="bottom"/>
            <w:hideMark/>
          </w:tcPr>
          <w:p w14:paraId="4640333C" w14:textId="77777777" w:rsidR="00A43992" w:rsidRDefault="00A43992" w:rsidP="007211E3">
            <w:pPr>
              <w:rPr>
                <w:rFonts w:ascii="Arial" w:hAnsi="Arial" w:cs="Arial"/>
                <w:sz w:val="18"/>
                <w:szCs w:val="18"/>
              </w:rPr>
            </w:pPr>
            <w:r>
              <w:rPr>
                <w:rFonts w:ascii="Arial" w:hAnsi="Arial" w:cs="Arial"/>
                <w:sz w:val="18"/>
                <w:szCs w:val="18"/>
              </w:rPr>
              <w:t> </w:t>
            </w:r>
          </w:p>
        </w:tc>
      </w:tr>
      <w:tr w:rsidR="00A43992" w14:paraId="2BC7C589" w14:textId="77777777" w:rsidTr="007211E3">
        <w:trPr>
          <w:trHeight w:val="255"/>
        </w:trPr>
        <w:tc>
          <w:tcPr>
            <w:tcW w:w="6216" w:type="dxa"/>
            <w:tcBorders>
              <w:top w:val="nil"/>
              <w:left w:val="nil"/>
              <w:bottom w:val="nil"/>
              <w:right w:val="nil"/>
            </w:tcBorders>
            <w:shd w:val="clear" w:color="FFFFFF" w:fill="FFFFFF"/>
            <w:vAlign w:val="bottom"/>
            <w:hideMark/>
          </w:tcPr>
          <w:p w14:paraId="4C69353D" w14:textId="77777777" w:rsidR="00A43992" w:rsidRDefault="00A43992" w:rsidP="007211E3">
            <w:pPr>
              <w:ind w:firstLineChars="100" w:firstLine="180"/>
              <w:rPr>
                <w:rFonts w:ascii="Arial" w:hAnsi="Arial" w:cs="Arial"/>
                <w:sz w:val="18"/>
                <w:szCs w:val="18"/>
              </w:rPr>
            </w:pPr>
            <w:r>
              <w:rPr>
                <w:rFonts w:ascii="Arial" w:hAnsi="Arial" w:cs="Arial"/>
                <w:sz w:val="18"/>
                <w:szCs w:val="18"/>
              </w:rPr>
              <w:t>Decrease/(increase) in net receivables</w:t>
            </w:r>
          </w:p>
        </w:tc>
        <w:tc>
          <w:tcPr>
            <w:tcW w:w="1256" w:type="dxa"/>
            <w:tcBorders>
              <w:top w:val="nil"/>
              <w:left w:val="nil"/>
              <w:bottom w:val="nil"/>
              <w:right w:val="nil"/>
            </w:tcBorders>
            <w:shd w:val="clear" w:color="auto" w:fill="auto"/>
            <w:noWrap/>
            <w:vAlign w:val="bottom"/>
            <w:hideMark/>
          </w:tcPr>
          <w:p w14:paraId="7B2C3E9F" w14:textId="77777777" w:rsidR="00A43992" w:rsidRDefault="00A43992" w:rsidP="007211E3">
            <w:pPr>
              <w:jc w:val="right"/>
              <w:rPr>
                <w:rFonts w:ascii="Arial" w:hAnsi="Arial" w:cs="Arial"/>
                <w:b/>
                <w:bCs/>
                <w:sz w:val="18"/>
                <w:szCs w:val="18"/>
              </w:rPr>
            </w:pPr>
            <w:r>
              <w:rPr>
                <w:rFonts w:ascii="Arial" w:hAnsi="Arial" w:cs="Arial"/>
                <w:b/>
                <w:bCs/>
                <w:sz w:val="18"/>
                <w:szCs w:val="18"/>
              </w:rPr>
              <w:t>63,049</w:t>
            </w:r>
          </w:p>
        </w:tc>
        <w:tc>
          <w:tcPr>
            <w:tcW w:w="267" w:type="dxa"/>
            <w:tcBorders>
              <w:top w:val="nil"/>
              <w:left w:val="nil"/>
              <w:bottom w:val="nil"/>
              <w:right w:val="nil"/>
            </w:tcBorders>
            <w:shd w:val="clear" w:color="FFFFFF" w:fill="FFFFFF"/>
            <w:noWrap/>
            <w:vAlign w:val="bottom"/>
            <w:hideMark/>
          </w:tcPr>
          <w:p w14:paraId="6B6B5551" w14:textId="77777777" w:rsidR="00A43992" w:rsidRDefault="00A43992" w:rsidP="007211E3">
            <w:pPr>
              <w:rPr>
                <w:rFonts w:ascii="Arial" w:hAnsi="Arial" w:cs="Arial"/>
                <w:b/>
                <w:bCs/>
                <w:sz w:val="18"/>
                <w:szCs w:val="18"/>
              </w:rPr>
            </w:pPr>
            <w:r>
              <w:rPr>
                <w:rFonts w:ascii="Arial" w:hAnsi="Arial" w:cs="Arial"/>
                <w:b/>
                <w:bCs/>
                <w:sz w:val="18"/>
                <w:szCs w:val="18"/>
              </w:rPr>
              <w:t> </w:t>
            </w:r>
          </w:p>
        </w:tc>
        <w:tc>
          <w:tcPr>
            <w:tcW w:w="1196" w:type="dxa"/>
            <w:tcBorders>
              <w:top w:val="nil"/>
              <w:left w:val="nil"/>
              <w:bottom w:val="nil"/>
              <w:right w:val="nil"/>
            </w:tcBorders>
            <w:shd w:val="clear" w:color="FFFFFF" w:fill="FFFFFF"/>
            <w:noWrap/>
            <w:vAlign w:val="bottom"/>
            <w:hideMark/>
          </w:tcPr>
          <w:p w14:paraId="0FB4F280" w14:textId="77777777" w:rsidR="00A43992" w:rsidRDefault="00A43992" w:rsidP="007211E3">
            <w:pPr>
              <w:jc w:val="right"/>
              <w:rPr>
                <w:rFonts w:ascii="Arial" w:hAnsi="Arial" w:cs="Arial"/>
                <w:sz w:val="18"/>
                <w:szCs w:val="18"/>
              </w:rPr>
            </w:pPr>
            <w:r>
              <w:rPr>
                <w:rFonts w:ascii="Arial" w:hAnsi="Arial" w:cs="Arial"/>
                <w:sz w:val="18"/>
                <w:szCs w:val="18"/>
              </w:rPr>
              <w:t>(80,284)</w:t>
            </w:r>
          </w:p>
        </w:tc>
      </w:tr>
      <w:tr w:rsidR="00A43992" w14:paraId="6AB0E97E" w14:textId="77777777" w:rsidTr="007211E3">
        <w:trPr>
          <w:trHeight w:val="255"/>
        </w:trPr>
        <w:tc>
          <w:tcPr>
            <w:tcW w:w="6216" w:type="dxa"/>
            <w:tcBorders>
              <w:top w:val="nil"/>
              <w:left w:val="nil"/>
              <w:bottom w:val="nil"/>
              <w:right w:val="nil"/>
            </w:tcBorders>
            <w:shd w:val="clear" w:color="FFFFFF" w:fill="FFFFFF"/>
            <w:vAlign w:val="bottom"/>
            <w:hideMark/>
          </w:tcPr>
          <w:p w14:paraId="29F1D29E" w14:textId="77777777" w:rsidR="00A43992" w:rsidRDefault="00A43992" w:rsidP="007211E3">
            <w:pPr>
              <w:ind w:firstLineChars="100" w:firstLine="180"/>
              <w:rPr>
                <w:rFonts w:ascii="Arial" w:hAnsi="Arial" w:cs="Arial"/>
                <w:sz w:val="18"/>
                <w:szCs w:val="18"/>
              </w:rPr>
            </w:pPr>
            <w:r>
              <w:rPr>
                <w:rFonts w:ascii="Arial" w:hAnsi="Arial" w:cs="Arial"/>
                <w:sz w:val="18"/>
                <w:szCs w:val="18"/>
              </w:rPr>
              <w:t>(Increase)/decrease in other non-financial assets</w:t>
            </w:r>
          </w:p>
        </w:tc>
        <w:tc>
          <w:tcPr>
            <w:tcW w:w="1256" w:type="dxa"/>
            <w:tcBorders>
              <w:top w:val="nil"/>
              <w:left w:val="nil"/>
              <w:bottom w:val="nil"/>
              <w:right w:val="nil"/>
            </w:tcBorders>
            <w:shd w:val="clear" w:color="FFFFFF" w:fill="FFFFFF"/>
            <w:noWrap/>
            <w:vAlign w:val="bottom"/>
            <w:hideMark/>
          </w:tcPr>
          <w:p w14:paraId="3D29B391" w14:textId="77777777" w:rsidR="00A43992" w:rsidRDefault="00A43992" w:rsidP="007211E3">
            <w:pPr>
              <w:jc w:val="right"/>
              <w:rPr>
                <w:rFonts w:ascii="Arial" w:hAnsi="Arial" w:cs="Arial"/>
                <w:b/>
                <w:bCs/>
                <w:sz w:val="18"/>
                <w:szCs w:val="18"/>
              </w:rPr>
            </w:pPr>
            <w:r>
              <w:rPr>
                <w:rFonts w:ascii="Arial" w:hAnsi="Arial" w:cs="Arial"/>
                <w:b/>
                <w:bCs/>
                <w:sz w:val="18"/>
                <w:szCs w:val="18"/>
              </w:rPr>
              <w:t>(6,198)</w:t>
            </w:r>
          </w:p>
        </w:tc>
        <w:tc>
          <w:tcPr>
            <w:tcW w:w="267" w:type="dxa"/>
            <w:tcBorders>
              <w:top w:val="nil"/>
              <w:left w:val="nil"/>
              <w:bottom w:val="nil"/>
              <w:right w:val="nil"/>
            </w:tcBorders>
            <w:shd w:val="clear" w:color="FFFFFF" w:fill="FFFFFF"/>
            <w:noWrap/>
            <w:vAlign w:val="bottom"/>
            <w:hideMark/>
          </w:tcPr>
          <w:p w14:paraId="03DA960D" w14:textId="77777777" w:rsidR="00A43992" w:rsidRDefault="00A43992" w:rsidP="007211E3">
            <w:pPr>
              <w:rPr>
                <w:rFonts w:ascii="Arial" w:hAnsi="Arial" w:cs="Arial"/>
                <w:b/>
                <w:bCs/>
                <w:sz w:val="18"/>
                <w:szCs w:val="18"/>
              </w:rPr>
            </w:pPr>
            <w:r>
              <w:rPr>
                <w:rFonts w:ascii="Arial" w:hAnsi="Arial" w:cs="Arial"/>
                <w:b/>
                <w:bCs/>
                <w:sz w:val="18"/>
                <w:szCs w:val="18"/>
              </w:rPr>
              <w:t> </w:t>
            </w:r>
          </w:p>
        </w:tc>
        <w:tc>
          <w:tcPr>
            <w:tcW w:w="1196" w:type="dxa"/>
            <w:tcBorders>
              <w:top w:val="nil"/>
              <w:left w:val="nil"/>
              <w:bottom w:val="nil"/>
              <w:right w:val="nil"/>
            </w:tcBorders>
            <w:shd w:val="clear" w:color="FFFFFF" w:fill="FFFFFF"/>
            <w:noWrap/>
            <w:vAlign w:val="bottom"/>
            <w:hideMark/>
          </w:tcPr>
          <w:p w14:paraId="73BB1210" w14:textId="77777777" w:rsidR="00A43992" w:rsidRDefault="00A43992" w:rsidP="007211E3">
            <w:pPr>
              <w:jc w:val="right"/>
              <w:rPr>
                <w:rFonts w:ascii="Arial" w:hAnsi="Arial" w:cs="Arial"/>
                <w:sz w:val="18"/>
                <w:szCs w:val="18"/>
              </w:rPr>
            </w:pPr>
            <w:r>
              <w:rPr>
                <w:rFonts w:ascii="Arial" w:hAnsi="Arial" w:cs="Arial"/>
                <w:sz w:val="18"/>
                <w:szCs w:val="18"/>
              </w:rPr>
              <w:t>(3,583)</w:t>
            </w:r>
          </w:p>
        </w:tc>
      </w:tr>
      <w:tr w:rsidR="00A43992" w14:paraId="1F645BDA" w14:textId="77777777" w:rsidTr="007211E3">
        <w:trPr>
          <w:trHeight w:val="255"/>
        </w:trPr>
        <w:tc>
          <w:tcPr>
            <w:tcW w:w="6216" w:type="dxa"/>
            <w:tcBorders>
              <w:top w:val="nil"/>
              <w:left w:val="nil"/>
              <w:bottom w:val="nil"/>
              <w:right w:val="nil"/>
            </w:tcBorders>
            <w:shd w:val="clear" w:color="FFFFFF" w:fill="FFFFFF"/>
            <w:vAlign w:val="bottom"/>
            <w:hideMark/>
          </w:tcPr>
          <w:p w14:paraId="1FFA8661" w14:textId="77777777" w:rsidR="00A43992" w:rsidRDefault="00A43992" w:rsidP="007211E3">
            <w:pPr>
              <w:rPr>
                <w:rFonts w:ascii="Arial" w:hAnsi="Arial" w:cs="Arial"/>
                <w:b/>
                <w:bCs/>
                <w:sz w:val="18"/>
                <w:szCs w:val="18"/>
              </w:rPr>
            </w:pPr>
            <w:r>
              <w:rPr>
                <w:rFonts w:ascii="Arial" w:hAnsi="Arial" w:cs="Arial"/>
                <w:b/>
                <w:bCs/>
                <w:sz w:val="18"/>
                <w:szCs w:val="18"/>
              </w:rPr>
              <w:t>Liabilities</w:t>
            </w:r>
          </w:p>
        </w:tc>
        <w:tc>
          <w:tcPr>
            <w:tcW w:w="1256" w:type="dxa"/>
            <w:tcBorders>
              <w:top w:val="nil"/>
              <w:left w:val="nil"/>
              <w:bottom w:val="nil"/>
              <w:right w:val="nil"/>
            </w:tcBorders>
            <w:shd w:val="clear" w:color="FFFFFF" w:fill="FFFFFF"/>
            <w:noWrap/>
            <w:vAlign w:val="bottom"/>
            <w:hideMark/>
          </w:tcPr>
          <w:p w14:paraId="6901F786" w14:textId="77777777" w:rsidR="00A43992" w:rsidRDefault="00A43992" w:rsidP="007211E3">
            <w:pPr>
              <w:rPr>
                <w:rFonts w:ascii="Arial" w:hAnsi="Arial" w:cs="Arial"/>
                <w:b/>
                <w:bCs/>
                <w:sz w:val="18"/>
                <w:szCs w:val="18"/>
              </w:rPr>
            </w:pPr>
            <w:r>
              <w:rPr>
                <w:rFonts w:ascii="Arial" w:hAnsi="Arial" w:cs="Arial"/>
                <w:b/>
                <w:bCs/>
                <w:sz w:val="18"/>
                <w:szCs w:val="18"/>
              </w:rPr>
              <w:t> </w:t>
            </w:r>
          </w:p>
        </w:tc>
        <w:tc>
          <w:tcPr>
            <w:tcW w:w="267" w:type="dxa"/>
            <w:tcBorders>
              <w:top w:val="nil"/>
              <w:left w:val="nil"/>
              <w:bottom w:val="nil"/>
              <w:right w:val="nil"/>
            </w:tcBorders>
            <w:shd w:val="clear" w:color="FFFFFF" w:fill="FFFFFF"/>
            <w:noWrap/>
            <w:vAlign w:val="bottom"/>
            <w:hideMark/>
          </w:tcPr>
          <w:p w14:paraId="0B81CA0B" w14:textId="77777777" w:rsidR="00A43992" w:rsidRDefault="00A43992" w:rsidP="007211E3">
            <w:pPr>
              <w:rPr>
                <w:rFonts w:ascii="Arial" w:hAnsi="Arial" w:cs="Arial"/>
                <w:b/>
                <w:bCs/>
                <w:sz w:val="18"/>
                <w:szCs w:val="18"/>
              </w:rPr>
            </w:pPr>
            <w:r>
              <w:rPr>
                <w:rFonts w:ascii="Arial" w:hAnsi="Arial" w:cs="Arial"/>
                <w:b/>
                <w:bCs/>
                <w:sz w:val="18"/>
                <w:szCs w:val="18"/>
              </w:rPr>
              <w:t> </w:t>
            </w:r>
          </w:p>
        </w:tc>
        <w:tc>
          <w:tcPr>
            <w:tcW w:w="1196" w:type="dxa"/>
            <w:tcBorders>
              <w:top w:val="nil"/>
              <w:left w:val="nil"/>
              <w:bottom w:val="nil"/>
              <w:right w:val="nil"/>
            </w:tcBorders>
            <w:shd w:val="clear" w:color="FFFFFF" w:fill="FFFFFF"/>
            <w:noWrap/>
            <w:vAlign w:val="bottom"/>
            <w:hideMark/>
          </w:tcPr>
          <w:p w14:paraId="0D30ACDD" w14:textId="77777777" w:rsidR="00A43992" w:rsidRDefault="00A43992" w:rsidP="007211E3">
            <w:pPr>
              <w:rPr>
                <w:rFonts w:ascii="Arial" w:hAnsi="Arial" w:cs="Arial"/>
                <w:sz w:val="18"/>
                <w:szCs w:val="18"/>
              </w:rPr>
            </w:pPr>
            <w:r>
              <w:rPr>
                <w:rFonts w:ascii="Arial" w:hAnsi="Arial" w:cs="Arial"/>
                <w:sz w:val="18"/>
                <w:szCs w:val="18"/>
              </w:rPr>
              <w:t> </w:t>
            </w:r>
          </w:p>
        </w:tc>
      </w:tr>
      <w:tr w:rsidR="00A43992" w14:paraId="1EF64905" w14:textId="77777777" w:rsidTr="007211E3">
        <w:trPr>
          <w:trHeight w:val="255"/>
        </w:trPr>
        <w:tc>
          <w:tcPr>
            <w:tcW w:w="6216" w:type="dxa"/>
            <w:tcBorders>
              <w:top w:val="nil"/>
              <w:left w:val="nil"/>
              <w:bottom w:val="nil"/>
              <w:right w:val="nil"/>
            </w:tcBorders>
            <w:shd w:val="clear" w:color="FFFFFF" w:fill="FFFFFF"/>
            <w:vAlign w:val="bottom"/>
            <w:hideMark/>
          </w:tcPr>
          <w:p w14:paraId="68246B32" w14:textId="77777777" w:rsidR="00A43992" w:rsidRDefault="00A43992" w:rsidP="007211E3">
            <w:pPr>
              <w:ind w:firstLineChars="100" w:firstLine="180"/>
              <w:rPr>
                <w:rFonts w:ascii="Arial" w:hAnsi="Arial" w:cs="Arial"/>
                <w:sz w:val="18"/>
                <w:szCs w:val="18"/>
              </w:rPr>
            </w:pPr>
            <w:r>
              <w:rPr>
                <w:rFonts w:ascii="Arial" w:hAnsi="Arial" w:cs="Arial"/>
                <w:sz w:val="18"/>
                <w:szCs w:val="18"/>
              </w:rPr>
              <w:lastRenderedPageBreak/>
              <w:t>Increase/(decrease) in employee provisions</w:t>
            </w:r>
          </w:p>
        </w:tc>
        <w:tc>
          <w:tcPr>
            <w:tcW w:w="1256" w:type="dxa"/>
            <w:tcBorders>
              <w:top w:val="nil"/>
              <w:left w:val="nil"/>
              <w:bottom w:val="nil"/>
              <w:right w:val="nil"/>
            </w:tcBorders>
            <w:shd w:val="clear" w:color="FFFFFF" w:fill="FFFFFF"/>
            <w:noWrap/>
            <w:vAlign w:val="bottom"/>
            <w:hideMark/>
          </w:tcPr>
          <w:p w14:paraId="5831556C" w14:textId="77777777" w:rsidR="00A43992" w:rsidRDefault="00A43992" w:rsidP="007211E3">
            <w:pPr>
              <w:jc w:val="right"/>
              <w:rPr>
                <w:rFonts w:ascii="Arial" w:hAnsi="Arial" w:cs="Arial"/>
                <w:b/>
                <w:bCs/>
                <w:sz w:val="18"/>
                <w:szCs w:val="18"/>
              </w:rPr>
            </w:pPr>
            <w:r>
              <w:rPr>
                <w:rFonts w:ascii="Arial" w:hAnsi="Arial" w:cs="Arial"/>
                <w:b/>
                <w:bCs/>
                <w:sz w:val="18"/>
                <w:szCs w:val="18"/>
              </w:rPr>
              <w:t>8,648</w:t>
            </w:r>
          </w:p>
        </w:tc>
        <w:tc>
          <w:tcPr>
            <w:tcW w:w="267" w:type="dxa"/>
            <w:tcBorders>
              <w:top w:val="nil"/>
              <w:left w:val="nil"/>
              <w:bottom w:val="nil"/>
              <w:right w:val="nil"/>
            </w:tcBorders>
            <w:shd w:val="clear" w:color="FFFFFF" w:fill="FFFFFF"/>
            <w:noWrap/>
            <w:vAlign w:val="bottom"/>
            <w:hideMark/>
          </w:tcPr>
          <w:p w14:paraId="77A6FE87" w14:textId="77777777" w:rsidR="00A43992" w:rsidRDefault="00A43992" w:rsidP="007211E3">
            <w:pPr>
              <w:rPr>
                <w:rFonts w:ascii="Arial" w:hAnsi="Arial" w:cs="Arial"/>
                <w:b/>
                <w:bCs/>
                <w:sz w:val="18"/>
                <w:szCs w:val="18"/>
              </w:rPr>
            </w:pPr>
            <w:r>
              <w:rPr>
                <w:rFonts w:ascii="Arial" w:hAnsi="Arial" w:cs="Arial"/>
                <w:b/>
                <w:bCs/>
                <w:sz w:val="18"/>
                <w:szCs w:val="18"/>
              </w:rPr>
              <w:t> </w:t>
            </w:r>
          </w:p>
        </w:tc>
        <w:tc>
          <w:tcPr>
            <w:tcW w:w="1196" w:type="dxa"/>
            <w:tcBorders>
              <w:top w:val="nil"/>
              <w:left w:val="nil"/>
              <w:bottom w:val="nil"/>
              <w:right w:val="nil"/>
            </w:tcBorders>
            <w:shd w:val="clear" w:color="FFFFFF" w:fill="FFFFFF"/>
            <w:noWrap/>
            <w:vAlign w:val="bottom"/>
            <w:hideMark/>
          </w:tcPr>
          <w:p w14:paraId="5C7F6944" w14:textId="77777777" w:rsidR="00A43992" w:rsidRDefault="00A43992" w:rsidP="007211E3">
            <w:pPr>
              <w:jc w:val="right"/>
              <w:rPr>
                <w:rFonts w:ascii="Arial" w:hAnsi="Arial" w:cs="Arial"/>
                <w:sz w:val="18"/>
                <w:szCs w:val="18"/>
              </w:rPr>
            </w:pPr>
            <w:r>
              <w:rPr>
                <w:rFonts w:ascii="Arial" w:hAnsi="Arial" w:cs="Arial"/>
                <w:sz w:val="18"/>
                <w:szCs w:val="18"/>
              </w:rPr>
              <w:t xml:space="preserve">8,638 </w:t>
            </w:r>
          </w:p>
        </w:tc>
      </w:tr>
      <w:tr w:rsidR="00A43992" w14:paraId="157AE8E2" w14:textId="77777777" w:rsidTr="007211E3">
        <w:trPr>
          <w:trHeight w:val="255"/>
        </w:trPr>
        <w:tc>
          <w:tcPr>
            <w:tcW w:w="6216" w:type="dxa"/>
            <w:tcBorders>
              <w:top w:val="nil"/>
              <w:left w:val="nil"/>
              <w:bottom w:val="nil"/>
              <w:right w:val="nil"/>
            </w:tcBorders>
            <w:shd w:val="clear" w:color="FFFFFF" w:fill="FFFFFF"/>
            <w:vAlign w:val="bottom"/>
            <w:hideMark/>
          </w:tcPr>
          <w:p w14:paraId="695C0D32" w14:textId="77777777" w:rsidR="00A43992" w:rsidRDefault="00A43992" w:rsidP="007211E3">
            <w:pPr>
              <w:ind w:firstLineChars="100" w:firstLine="180"/>
              <w:rPr>
                <w:rFonts w:ascii="Arial" w:hAnsi="Arial" w:cs="Arial"/>
                <w:sz w:val="18"/>
                <w:szCs w:val="18"/>
              </w:rPr>
            </w:pPr>
            <w:r>
              <w:rPr>
                <w:rFonts w:ascii="Arial" w:hAnsi="Arial" w:cs="Arial"/>
                <w:sz w:val="18"/>
                <w:szCs w:val="18"/>
              </w:rPr>
              <w:t>Increase/(decrease) in other provisions</w:t>
            </w:r>
          </w:p>
        </w:tc>
        <w:tc>
          <w:tcPr>
            <w:tcW w:w="1256" w:type="dxa"/>
            <w:tcBorders>
              <w:top w:val="nil"/>
              <w:left w:val="nil"/>
              <w:bottom w:val="nil"/>
              <w:right w:val="nil"/>
            </w:tcBorders>
            <w:shd w:val="clear" w:color="FFFFFF" w:fill="FFFFFF"/>
            <w:noWrap/>
            <w:vAlign w:val="bottom"/>
            <w:hideMark/>
          </w:tcPr>
          <w:p w14:paraId="0B7322D7" w14:textId="77777777" w:rsidR="00A43992" w:rsidRDefault="00A43992" w:rsidP="007211E3">
            <w:pPr>
              <w:jc w:val="right"/>
              <w:rPr>
                <w:rFonts w:ascii="Arial" w:hAnsi="Arial" w:cs="Arial"/>
                <w:b/>
                <w:bCs/>
                <w:sz w:val="18"/>
                <w:szCs w:val="18"/>
              </w:rPr>
            </w:pPr>
            <w:r>
              <w:rPr>
                <w:rFonts w:ascii="Arial" w:hAnsi="Arial" w:cs="Arial"/>
                <w:b/>
                <w:bCs/>
                <w:sz w:val="18"/>
                <w:szCs w:val="18"/>
              </w:rPr>
              <w:t>93</w:t>
            </w:r>
          </w:p>
        </w:tc>
        <w:tc>
          <w:tcPr>
            <w:tcW w:w="267" w:type="dxa"/>
            <w:tcBorders>
              <w:top w:val="nil"/>
              <w:left w:val="nil"/>
              <w:bottom w:val="nil"/>
              <w:right w:val="nil"/>
            </w:tcBorders>
            <w:shd w:val="clear" w:color="FFFFFF" w:fill="FFFFFF"/>
            <w:noWrap/>
            <w:vAlign w:val="bottom"/>
            <w:hideMark/>
          </w:tcPr>
          <w:p w14:paraId="5B0C4641" w14:textId="77777777" w:rsidR="00A43992" w:rsidRDefault="00A43992" w:rsidP="007211E3">
            <w:pPr>
              <w:rPr>
                <w:rFonts w:ascii="Arial" w:hAnsi="Arial" w:cs="Arial"/>
                <w:b/>
                <w:bCs/>
                <w:sz w:val="18"/>
                <w:szCs w:val="18"/>
              </w:rPr>
            </w:pPr>
            <w:r>
              <w:rPr>
                <w:rFonts w:ascii="Arial" w:hAnsi="Arial" w:cs="Arial"/>
                <w:b/>
                <w:bCs/>
                <w:sz w:val="18"/>
                <w:szCs w:val="18"/>
              </w:rPr>
              <w:t> </w:t>
            </w:r>
          </w:p>
        </w:tc>
        <w:tc>
          <w:tcPr>
            <w:tcW w:w="1196" w:type="dxa"/>
            <w:tcBorders>
              <w:top w:val="nil"/>
              <w:left w:val="nil"/>
              <w:bottom w:val="nil"/>
              <w:right w:val="nil"/>
            </w:tcBorders>
            <w:shd w:val="clear" w:color="FFFFFF" w:fill="FFFFFF"/>
            <w:noWrap/>
            <w:vAlign w:val="bottom"/>
            <w:hideMark/>
          </w:tcPr>
          <w:p w14:paraId="00F015A4" w14:textId="77777777" w:rsidR="00A43992" w:rsidRDefault="00A43992" w:rsidP="007211E3">
            <w:pPr>
              <w:jc w:val="right"/>
              <w:rPr>
                <w:rFonts w:ascii="Arial" w:hAnsi="Arial" w:cs="Arial"/>
                <w:sz w:val="18"/>
                <w:szCs w:val="18"/>
              </w:rPr>
            </w:pPr>
            <w:r>
              <w:rPr>
                <w:rFonts w:ascii="Arial" w:hAnsi="Arial" w:cs="Arial"/>
                <w:sz w:val="18"/>
                <w:szCs w:val="18"/>
              </w:rPr>
              <w:t xml:space="preserve">456 </w:t>
            </w:r>
          </w:p>
        </w:tc>
      </w:tr>
      <w:tr w:rsidR="00A43992" w14:paraId="20BA0907" w14:textId="77777777" w:rsidTr="007211E3">
        <w:trPr>
          <w:trHeight w:val="255"/>
        </w:trPr>
        <w:tc>
          <w:tcPr>
            <w:tcW w:w="6216" w:type="dxa"/>
            <w:tcBorders>
              <w:top w:val="nil"/>
              <w:left w:val="nil"/>
              <w:bottom w:val="nil"/>
              <w:right w:val="nil"/>
            </w:tcBorders>
            <w:shd w:val="clear" w:color="FFFFFF" w:fill="FFFFFF"/>
            <w:vAlign w:val="bottom"/>
            <w:hideMark/>
          </w:tcPr>
          <w:p w14:paraId="2744D157" w14:textId="77777777" w:rsidR="00A43992" w:rsidRDefault="00A43992" w:rsidP="007211E3">
            <w:pPr>
              <w:ind w:firstLineChars="100" w:firstLine="180"/>
              <w:rPr>
                <w:rFonts w:ascii="Arial" w:hAnsi="Arial" w:cs="Arial"/>
                <w:sz w:val="18"/>
                <w:szCs w:val="18"/>
              </w:rPr>
            </w:pPr>
            <w:r>
              <w:rPr>
                <w:rFonts w:ascii="Arial" w:hAnsi="Arial" w:cs="Arial"/>
                <w:sz w:val="18"/>
                <w:szCs w:val="18"/>
              </w:rPr>
              <w:t>Increase/(decrease) in participant plan provisions</w:t>
            </w:r>
          </w:p>
        </w:tc>
        <w:tc>
          <w:tcPr>
            <w:tcW w:w="1256" w:type="dxa"/>
            <w:tcBorders>
              <w:top w:val="nil"/>
              <w:left w:val="nil"/>
              <w:bottom w:val="nil"/>
              <w:right w:val="nil"/>
            </w:tcBorders>
            <w:shd w:val="clear" w:color="FFFFFF" w:fill="FFFFFF"/>
            <w:noWrap/>
            <w:vAlign w:val="bottom"/>
            <w:hideMark/>
          </w:tcPr>
          <w:p w14:paraId="161FAE2B" w14:textId="77777777" w:rsidR="00A43992" w:rsidRDefault="00A43992" w:rsidP="007211E3">
            <w:pPr>
              <w:jc w:val="right"/>
              <w:rPr>
                <w:rFonts w:ascii="Arial" w:hAnsi="Arial" w:cs="Arial"/>
                <w:b/>
                <w:bCs/>
                <w:sz w:val="18"/>
                <w:szCs w:val="18"/>
              </w:rPr>
            </w:pPr>
            <w:r>
              <w:rPr>
                <w:rFonts w:ascii="Arial" w:hAnsi="Arial" w:cs="Arial"/>
                <w:b/>
                <w:bCs/>
                <w:sz w:val="18"/>
                <w:szCs w:val="18"/>
              </w:rPr>
              <w:t>52,764</w:t>
            </w:r>
          </w:p>
        </w:tc>
        <w:tc>
          <w:tcPr>
            <w:tcW w:w="267" w:type="dxa"/>
            <w:tcBorders>
              <w:top w:val="nil"/>
              <w:left w:val="nil"/>
              <w:bottom w:val="nil"/>
              <w:right w:val="nil"/>
            </w:tcBorders>
            <w:shd w:val="clear" w:color="FFFFFF" w:fill="FFFFFF"/>
            <w:noWrap/>
            <w:vAlign w:val="bottom"/>
            <w:hideMark/>
          </w:tcPr>
          <w:p w14:paraId="58696240" w14:textId="77777777" w:rsidR="00A43992" w:rsidRDefault="00A43992" w:rsidP="007211E3">
            <w:pPr>
              <w:rPr>
                <w:rFonts w:ascii="Arial" w:hAnsi="Arial" w:cs="Arial"/>
                <w:b/>
                <w:bCs/>
                <w:sz w:val="18"/>
                <w:szCs w:val="18"/>
              </w:rPr>
            </w:pPr>
            <w:r>
              <w:rPr>
                <w:rFonts w:ascii="Arial" w:hAnsi="Arial" w:cs="Arial"/>
                <w:b/>
                <w:bCs/>
                <w:sz w:val="18"/>
                <w:szCs w:val="18"/>
              </w:rPr>
              <w:t> </w:t>
            </w:r>
          </w:p>
        </w:tc>
        <w:tc>
          <w:tcPr>
            <w:tcW w:w="1196" w:type="dxa"/>
            <w:tcBorders>
              <w:top w:val="nil"/>
              <w:left w:val="nil"/>
              <w:bottom w:val="nil"/>
              <w:right w:val="nil"/>
            </w:tcBorders>
            <w:shd w:val="clear" w:color="FFFFFF" w:fill="FFFFFF"/>
            <w:noWrap/>
            <w:vAlign w:val="bottom"/>
            <w:hideMark/>
          </w:tcPr>
          <w:p w14:paraId="5DEB2367" w14:textId="77777777" w:rsidR="00A43992" w:rsidRDefault="00A43992" w:rsidP="007211E3">
            <w:pPr>
              <w:jc w:val="right"/>
              <w:rPr>
                <w:rFonts w:ascii="Arial" w:hAnsi="Arial" w:cs="Arial"/>
                <w:sz w:val="18"/>
                <w:szCs w:val="18"/>
              </w:rPr>
            </w:pPr>
            <w:r>
              <w:rPr>
                <w:rFonts w:ascii="Arial" w:hAnsi="Arial" w:cs="Arial"/>
                <w:sz w:val="18"/>
                <w:szCs w:val="18"/>
              </w:rPr>
              <w:t xml:space="preserve">92,108 </w:t>
            </w:r>
          </w:p>
        </w:tc>
      </w:tr>
      <w:tr w:rsidR="00A43992" w14:paraId="47573E29" w14:textId="77777777" w:rsidTr="007211E3">
        <w:trPr>
          <w:trHeight w:val="255"/>
        </w:trPr>
        <w:tc>
          <w:tcPr>
            <w:tcW w:w="6216" w:type="dxa"/>
            <w:tcBorders>
              <w:top w:val="nil"/>
              <w:left w:val="nil"/>
              <w:bottom w:val="nil"/>
              <w:right w:val="nil"/>
            </w:tcBorders>
            <w:shd w:val="clear" w:color="FFFFFF" w:fill="FFFFFF"/>
            <w:vAlign w:val="bottom"/>
            <w:hideMark/>
          </w:tcPr>
          <w:p w14:paraId="1BF90685" w14:textId="77777777" w:rsidR="00A43992" w:rsidRDefault="00A43992" w:rsidP="007211E3">
            <w:pPr>
              <w:ind w:firstLineChars="100" w:firstLine="180"/>
              <w:rPr>
                <w:rFonts w:ascii="Arial" w:hAnsi="Arial" w:cs="Arial"/>
                <w:sz w:val="18"/>
                <w:szCs w:val="18"/>
              </w:rPr>
            </w:pPr>
            <w:r>
              <w:rPr>
                <w:rFonts w:ascii="Arial" w:hAnsi="Arial" w:cs="Arial"/>
                <w:sz w:val="18"/>
                <w:szCs w:val="18"/>
              </w:rPr>
              <w:t>Increase/(decrease) in supplier payables</w:t>
            </w:r>
          </w:p>
        </w:tc>
        <w:tc>
          <w:tcPr>
            <w:tcW w:w="1256" w:type="dxa"/>
            <w:tcBorders>
              <w:top w:val="nil"/>
              <w:left w:val="nil"/>
              <w:bottom w:val="nil"/>
              <w:right w:val="nil"/>
            </w:tcBorders>
            <w:shd w:val="clear" w:color="FFFFFF" w:fill="FFFFFF"/>
            <w:noWrap/>
            <w:vAlign w:val="bottom"/>
            <w:hideMark/>
          </w:tcPr>
          <w:p w14:paraId="3B7BDFE7" w14:textId="77777777" w:rsidR="00A43992" w:rsidRDefault="00A43992" w:rsidP="007211E3">
            <w:pPr>
              <w:jc w:val="right"/>
              <w:rPr>
                <w:rFonts w:ascii="Arial" w:hAnsi="Arial" w:cs="Arial"/>
                <w:b/>
                <w:bCs/>
                <w:sz w:val="18"/>
                <w:szCs w:val="18"/>
              </w:rPr>
            </w:pPr>
            <w:r>
              <w:rPr>
                <w:rFonts w:ascii="Arial" w:hAnsi="Arial" w:cs="Arial"/>
                <w:b/>
                <w:bCs/>
                <w:sz w:val="18"/>
                <w:szCs w:val="18"/>
              </w:rPr>
              <w:t>11,327</w:t>
            </w:r>
          </w:p>
        </w:tc>
        <w:tc>
          <w:tcPr>
            <w:tcW w:w="267" w:type="dxa"/>
            <w:tcBorders>
              <w:top w:val="nil"/>
              <w:left w:val="nil"/>
              <w:bottom w:val="nil"/>
              <w:right w:val="nil"/>
            </w:tcBorders>
            <w:shd w:val="clear" w:color="FFFFFF" w:fill="FFFFFF"/>
            <w:noWrap/>
            <w:vAlign w:val="bottom"/>
            <w:hideMark/>
          </w:tcPr>
          <w:p w14:paraId="1A49749E" w14:textId="77777777" w:rsidR="00A43992" w:rsidRDefault="00A43992" w:rsidP="007211E3">
            <w:pPr>
              <w:rPr>
                <w:rFonts w:ascii="Arial" w:hAnsi="Arial" w:cs="Arial"/>
                <w:b/>
                <w:bCs/>
                <w:sz w:val="18"/>
                <w:szCs w:val="18"/>
              </w:rPr>
            </w:pPr>
            <w:r>
              <w:rPr>
                <w:rFonts w:ascii="Arial" w:hAnsi="Arial" w:cs="Arial"/>
                <w:b/>
                <w:bCs/>
                <w:sz w:val="18"/>
                <w:szCs w:val="18"/>
              </w:rPr>
              <w:t> </w:t>
            </w:r>
          </w:p>
        </w:tc>
        <w:tc>
          <w:tcPr>
            <w:tcW w:w="1196" w:type="dxa"/>
            <w:tcBorders>
              <w:top w:val="nil"/>
              <w:left w:val="nil"/>
              <w:bottom w:val="nil"/>
              <w:right w:val="nil"/>
            </w:tcBorders>
            <w:shd w:val="clear" w:color="FFFFFF" w:fill="FFFFFF"/>
            <w:noWrap/>
            <w:vAlign w:val="bottom"/>
            <w:hideMark/>
          </w:tcPr>
          <w:p w14:paraId="0F0B80C2" w14:textId="77777777" w:rsidR="00A43992" w:rsidRDefault="00A43992" w:rsidP="007211E3">
            <w:pPr>
              <w:jc w:val="right"/>
              <w:rPr>
                <w:rFonts w:ascii="Arial" w:hAnsi="Arial" w:cs="Arial"/>
                <w:sz w:val="18"/>
                <w:szCs w:val="18"/>
              </w:rPr>
            </w:pPr>
            <w:r>
              <w:rPr>
                <w:rFonts w:ascii="Arial" w:hAnsi="Arial" w:cs="Arial"/>
                <w:sz w:val="18"/>
                <w:szCs w:val="18"/>
              </w:rPr>
              <w:t xml:space="preserve">5,944 </w:t>
            </w:r>
          </w:p>
        </w:tc>
      </w:tr>
      <w:tr w:rsidR="00A43992" w14:paraId="051D0364" w14:textId="77777777" w:rsidTr="007211E3">
        <w:trPr>
          <w:trHeight w:val="255"/>
        </w:trPr>
        <w:tc>
          <w:tcPr>
            <w:tcW w:w="6216" w:type="dxa"/>
            <w:tcBorders>
              <w:top w:val="nil"/>
              <w:left w:val="nil"/>
              <w:bottom w:val="nil"/>
              <w:right w:val="nil"/>
            </w:tcBorders>
            <w:shd w:val="clear" w:color="FFFFFF" w:fill="FFFFFF"/>
            <w:vAlign w:val="bottom"/>
            <w:hideMark/>
          </w:tcPr>
          <w:p w14:paraId="78F880C2" w14:textId="77777777" w:rsidR="00A43992" w:rsidRDefault="00A43992" w:rsidP="007211E3">
            <w:pPr>
              <w:ind w:firstLineChars="100" w:firstLine="180"/>
              <w:rPr>
                <w:rFonts w:ascii="Arial" w:hAnsi="Arial" w:cs="Arial"/>
                <w:sz w:val="18"/>
                <w:szCs w:val="18"/>
              </w:rPr>
            </w:pPr>
            <w:r>
              <w:rPr>
                <w:rFonts w:ascii="Arial" w:hAnsi="Arial" w:cs="Arial"/>
                <w:sz w:val="18"/>
                <w:szCs w:val="18"/>
              </w:rPr>
              <w:t>(Decrease)/increase in participant plan payables</w:t>
            </w:r>
          </w:p>
        </w:tc>
        <w:tc>
          <w:tcPr>
            <w:tcW w:w="1256" w:type="dxa"/>
            <w:tcBorders>
              <w:top w:val="nil"/>
              <w:left w:val="nil"/>
              <w:bottom w:val="nil"/>
              <w:right w:val="nil"/>
            </w:tcBorders>
            <w:shd w:val="clear" w:color="FFFFFF" w:fill="FFFFFF"/>
            <w:noWrap/>
            <w:vAlign w:val="bottom"/>
            <w:hideMark/>
          </w:tcPr>
          <w:p w14:paraId="707098D2" w14:textId="77777777" w:rsidR="00A43992" w:rsidRDefault="00A43992" w:rsidP="007211E3">
            <w:pPr>
              <w:jc w:val="right"/>
              <w:rPr>
                <w:rFonts w:ascii="Arial" w:hAnsi="Arial" w:cs="Arial"/>
                <w:b/>
                <w:bCs/>
                <w:sz w:val="18"/>
                <w:szCs w:val="18"/>
              </w:rPr>
            </w:pPr>
            <w:r>
              <w:rPr>
                <w:rFonts w:ascii="Arial" w:hAnsi="Arial" w:cs="Arial"/>
                <w:b/>
                <w:bCs/>
                <w:sz w:val="18"/>
                <w:szCs w:val="18"/>
              </w:rPr>
              <w:t>(2,632)</w:t>
            </w:r>
          </w:p>
        </w:tc>
        <w:tc>
          <w:tcPr>
            <w:tcW w:w="267" w:type="dxa"/>
            <w:tcBorders>
              <w:top w:val="nil"/>
              <w:left w:val="nil"/>
              <w:bottom w:val="nil"/>
              <w:right w:val="nil"/>
            </w:tcBorders>
            <w:shd w:val="clear" w:color="FFFFFF" w:fill="FFFFFF"/>
            <w:noWrap/>
            <w:vAlign w:val="bottom"/>
            <w:hideMark/>
          </w:tcPr>
          <w:p w14:paraId="2AA3A45B" w14:textId="77777777" w:rsidR="00A43992" w:rsidRDefault="00A43992" w:rsidP="007211E3">
            <w:pPr>
              <w:rPr>
                <w:rFonts w:ascii="Arial" w:hAnsi="Arial" w:cs="Arial"/>
                <w:b/>
                <w:bCs/>
                <w:sz w:val="18"/>
                <w:szCs w:val="18"/>
              </w:rPr>
            </w:pPr>
            <w:r>
              <w:rPr>
                <w:rFonts w:ascii="Arial" w:hAnsi="Arial" w:cs="Arial"/>
                <w:b/>
                <w:bCs/>
                <w:sz w:val="18"/>
                <w:szCs w:val="18"/>
              </w:rPr>
              <w:t> </w:t>
            </w:r>
          </w:p>
        </w:tc>
        <w:tc>
          <w:tcPr>
            <w:tcW w:w="1196" w:type="dxa"/>
            <w:tcBorders>
              <w:top w:val="nil"/>
              <w:left w:val="nil"/>
              <w:bottom w:val="nil"/>
              <w:right w:val="nil"/>
            </w:tcBorders>
            <w:shd w:val="clear" w:color="FFFFFF" w:fill="FFFFFF"/>
            <w:noWrap/>
            <w:vAlign w:val="bottom"/>
            <w:hideMark/>
          </w:tcPr>
          <w:p w14:paraId="62E4F878" w14:textId="77777777" w:rsidR="00A43992" w:rsidRDefault="00A43992" w:rsidP="007211E3">
            <w:pPr>
              <w:jc w:val="right"/>
              <w:rPr>
                <w:rFonts w:ascii="Arial" w:hAnsi="Arial" w:cs="Arial"/>
                <w:sz w:val="18"/>
                <w:szCs w:val="18"/>
              </w:rPr>
            </w:pPr>
            <w:r>
              <w:rPr>
                <w:rFonts w:ascii="Arial" w:hAnsi="Arial" w:cs="Arial"/>
                <w:sz w:val="18"/>
                <w:szCs w:val="18"/>
              </w:rPr>
              <w:t xml:space="preserve">1,156 </w:t>
            </w:r>
          </w:p>
        </w:tc>
      </w:tr>
      <w:tr w:rsidR="00A43992" w14:paraId="44FDDC5A" w14:textId="77777777" w:rsidTr="007211E3">
        <w:trPr>
          <w:trHeight w:val="255"/>
        </w:trPr>
        <w:tc>
          <w:tcPr>
            <w:tcW w:w="6216" w:type="dxa"/>
            <w:tcBorders>
              <w:top w:val="nil"/>
              <w:left w:val="nil"/>
              <w:bottom w:val="nil"/>
              <w:right w:val="nil"/>
            </w:tcBorders>
            <w:shd w:val="clear" w:color="FFFFFF" w:fill="FFFFFF"/>
            <w:vAlign w:val="bottom"/>
            <w:hideMark/>
          </w:tcPr>
          <w:p w14:paraId="4517C71B" w14:textId="77777777" w:rsidR="00A43992" w:rsidRDefault="00A43992" w:rsidP="007211E3">
            <w:pPr>
              <w:ind w:firstLineChars="100" w:firstLine="180"/>
              <w:rPr>
                <w:rFonts w:ascii="Arial" w:hAnsi="Arial" w:cs="Arial"/>
                <w:sz w:val="18"/>
                <w:szCs w:val="18"/>
              </w:rPr>
            </w:pPr>
            <w:r>
              <w:rPr>
                <w:rFonts w:ascii="Arial" w:hAnsi="Arial" w:cs="Arial"/>
                <w:sz w:val="18"/>
                <w:szCs w:val="18"/>
              </w:rPr>
              <w:t>(Decrease)/increase in other payables</w:t>
            </w:r>
          </w:p>
        </w:tc>
        <w:tc>
          <w:tcPr>
            <w:tcW w:w="1256" w:type="dxa"/>
            <w:tcBorders>
              <w:top w:val="nil"/>
              <w:left w:val="nil"/>
              <w:bottom w:val="nil"/>
              <w:right w:val="nil"/>
            </w:tcBorders>
            <w:shd w:val="clear" w:color="FFFFFF" w:fill="FFFFFF"/>
            <w:noWrap/>
            <w:vAlign w:val="bottom"/>
            <w:hideMark/>
          </w:tcPr>
          <w:p w14:paraId="3C3E1DFE" w14:textId="77777777" w:rsidR="00A43992" w:rsidRDefault="00A43992" w:rsidP="007211E3">
            <w:pPr>
              <w:jc w:val="right"/>
              <w:rPr>
                <w:rFonts w:ascii="Arial" w:hAnsi="Arial" w:cs="Arial"/>
                <w:b/>
                <w:bCs/>
                <w:sz w:val="18"/>
                <w:szCs w:val="18"/>
              </w:rPr>
            </w:pPr>
            <w:r>
              <w:rPr>
                <w:rFonts w:ascii="Arial" w:hAnsi="Arial" w:cs="Arial"/>
                <w:b/>
                <w:bCs/>
                <w:sz w:val="18"/>
                <w:szCs w:val="18"/>
              </w:rPr>
              <w:t>(5,350)</w:t>
            </w:r>
          </w:p>
        </w:tc>
        <w:tc>
          <w:tcPr>
            <w:tcW w:w="267" w:type="dxa"/>
            <w:tcBorders>
              <w:top w:val="nil"/>
              <w:left w:val="nil"/>
              <w:bottom w:val="nil"/>
              <w:right w:val="nil"/>
            </w:tcBorders>
            <w:shd w:val="clear" w:color="FFFFFF" w:fill="FFFFFF"/>
            <w:noWrap/>
            <w:vAlign w:val="bottom"/>
            <w:hideMark/>
          </w:tcPr>
          <w:p w14:paraId="3611622E" w14:textId="77777777" w:rsidR="00A43992" w:rsidRDefault="00A43992" w:rsidP="007211E3">
            <w:pPr>
              <w:rPr>
                <w:rFonts w:ascii="Arial" w:hAnsi="Arial" w:cs="Arial"/>
                <w:b/>
                <w:bCs/>
                <w:sz w:val="18"/>
                <w:szCs w:val="18"/>
              </w:rPr>
            </w:pPr>
            <w:r>
              <w:rPr>
                <w:rFonts w:ascii="Arial" w:hAnsi="Arial" w:cs="Arial"/>
                <w:b/>
                <w:bCs/>
                <w:sz w:val="18"/>
                <w:szCs w:val="18"/>
              </w:rPr>
              <w:t> </w:t>
            </w:r>
          </w:p>
        </w:tc>
        <w:tc>
          <w:tcPr>
            <w:tcW w:w="1196" w:type="dxa"/>
            <w:tcBorders>
              <w:top w:val="nil"/>
              <w:left w:val="nil"/>
              <w:bottom w:val="nil"/>
              <w:right w:val="nil"/>
            </w:tcBorders>
            <w:shd w:val="clear" w:color="FFFFFF" w:fill="FFFFFF"/>
            <w:noWrap/>
            <w:vAlign w:val="bottom"/>
            <w:hideMark/>
          </w:tcPr>
          <w:p w14:paraId="53F04E6F" w14:textId="77777777" w:rsidR="00A43992" w:rsidRDefault="00A43992" w:rsidP="007211E3">
            <w:pPr>
              <w:jc w:val="right"/>
              <w:rPr>
                <w:rFonts w:ascii="Arial" w:hAnsi="Arial" w:cs="Arial"/>
                <w:sz w:val="18"/>
                <w:szCs w:val="18"/>
              </w:rPr>
            </w:pPr>
            <w:r>
              <w:rPr>
                <w:rFonts w:ascii="Arial" w:hAnsi="Arial" w:cs="Arial"/>
                <w:sz w:val="18"/>
                <w:szCs w:val="18"/>
              </w:rPr>
              <w:t xml:space="preserve">5,923 </w:t>
            </w:r>
          </w:p>
        </w:tc>
      </w:tr>
      <w:tr w:rsidR="00A43992" w14:paraId="1B8DE93E" w14:textId="77777777" w:rsidTr="007211E3">
        <w:trPr>
          <w:trHeight w:val="255"/>
        </w:trPr>
        <w:tc>
          <w:tcPr>
            <w:tcW w:w="6216" w:type="dxa"/>
            <w:tcBorders>
              <w:top w:val="nil"/>
              <w:left w:val="nil"/>
              <w:bottom w:val="nil"/>
              <w:right w:val="nil"/>
            </w:tcBorders>
            <w:shd w:val="clear" w:color="FFFFFF" w:fill="FFFFFF"/>
            <w:vAlign w:val="bottom"/>
            <w:hideMark/>
          </w:tcPr>
          <w:p w14:paraId="59FB5557" w14:textId="77777777" w:rsidR="00A43992" w:rsidRDefault="00A43992" w:rsidP="007211E3">
            <w:pPr>
              <w:rPr>
                <w:rFonts w:ascii="Arial" w:hAnsi="Arial" w:cs="Arial"/>
                <w:b/>
                <w:bCs/>
                <w:sz w:val="18"/>
                <w:szCs w:val="18"/>
              </w:rPr>
            </w:pPr>
            <w:r>
              <w:rPr>
                <w:rFonts w:ascii="Arial" w:hAnsi="Arial" w:cs="Arial"/>
                <w:b/>
                <w:bCs/>
                <w:sz w:val="18"/>
                <w:szCs w:val="18"/>
              </w:rPr>
              <w:t>Net cash from operating activities</w:t>
            </w:r>
          </w:p>
        </w:tc>
        <w:tc>
          <w:tcPr>
            <w:tcW w:w="1256" w:type="dxa"/>
            <w:tcBorders>
              <w:top w:val="single" w:sz="4" w:space="0" w:color="auto"/>
              <w:left w:val="nil"/>
              <w:bottom w:val="single" w:sz="4" w:space="0" w:color="auto"/>
              <w:right w:val="nil"/>
            </w:tcBorders>
            <w:shd w:val="clear" w:color="FFFFFF" w:fill="FFFFFF"/>
            <w:noWrap/>
            <w:vAlign w:val="bottom"/>
            <w:hideMark/>
          </w:tcPr>
          <w:p w14:paraId="1A05D2FC" w14:textId="77777777" w:rsidR="00A43992" w:rsidRDefault="00A43992" w:rsidP="007211E3">
            <w:pPr>
              <w:jc w:val="right"/>
              <w:rPr>
                <w:rFonts w:ascii="Arial" w:hAnsi="Arial" w:cs="Arial"/>
                <w:b/>
                <w:bCs/>
                <w:sz w:val="18"/>
                <w:szCs w:val="18"/>
              </w:rPr>
            </w:pPr>
            <w:r>
              <w:rPr>
                <w:rFonts w:ascii="Arial" w:hAnsi="Arial" w:cs="Arial"/>
                <w:b/>
                <w:bCs/>
                <w:sz w:val="18"/>
                <w:szCs w:val="18"/>
              </w:rPr>
              <w:t>146,347</w:t>
            </w:r>
          </w:p>
        </w:tc>
        <w:tc>
          <w:tcPr>
            <w:tcW w:w="267" w:type="dxa"/>
            <w:tcBorders>
              <w:top w:val="nil"/>
              <w:left w:val="nil"/>
              <w:bottom w:val="nil"/>
              <w:right w:val="nil"/>
            </w:tcBorders>
            <w:shd w:val="clear" w:color="FFFFFF" w:fill="FFFFFF"/>
            <w:noWrap/>
            <w:vAlign w:val="bottom"/>
            <w:hideMark/>
          </w:tcPr>
          <w:p w14:paraId="6C7BC1FF" w14:textId="77777777" w:rsidR="00A43992" w:rsidRDefault="00A43992" w:rsidP="007211E3">
            <w:pPr>
              <w:rPr>
                <w:rFonts w:ascii="Arial" w:hAnsi="Arial" w:cs="Arial"/>
                <w:b/>
                <w:bCs/>
                <w:sz w:val="18"/>
                <w:szCs w:val="18"/>
              </w:rPr>
            </w:pPr>
            <w:r>
              <w:rPr>
                <w:rFonts w:ascii="Arial" w:hAnsi="Arial" w:cs="Arial"/>
                <w:b/>
                <w:bCs/>
                <w:sz w:val="18"/>
                <w:szCs w:val="18"/>
              </w:rPr>
              <w:t> </w:t>
            </w:r>
          </w:p>
        </w:tc>
        <w:tc>
          <w:tcPr>
            <w:tcW w:w="1196" w:type="dxa"/>
            <w:tcBorders>
              <w:top w:val="single" w:sz="4" w:space="0" w:color="auto"/>
              <w:left w:val="nil"/>
              <w:bottom w:val="single" w:sz="4" w:space="0" w:color="auto"/>
              <w:right w:val="nil"/>
            </w:tcBorders>
            <w:shd w:val="clear" w:color="FFFFFF" w:fill="FFFFFF"/>
            <w:noWrap/>
            <w:vAlign w:val="bottom"/>
            <w:hideMark/>
          </w:tcPr>
          <w:p w14:paraId="62CE332B" w14:textId="77777777" w:rsidR="00A43992" w:rsidRDefault="00A43992" w:rsidP="007211E3">
            <w:pPr>
              <w:jc w:val="right"/>
              <w:rPr>
                <w:rFonts w:ascii="Arial" w:hAnsi="Arial" w:cs="Arial"/>
                <w:sz w:val="18"/>
                <w:szCs w:val="18"/>
              </w:rPr>
            </w:pPr>
            <w:r>
              <w:rPr>
                <w:rFonts w:ascii="Arial" w:hAnsi="Arial" w:cs="Arial"/>
                <w:sz w:val="18"/>
                <w:szCs w:val="18"/>
              </w:rPr>
              <w:t>38,895</w:t>
            </w:r>
          </w:p>
        </w:tc>
      </w:tr>
      <w:tr w:rsidR="00A43992" w14:paraId="7437A848" w14:textId="77777777" w:rsidTr="007211E3">
        <w:trPr>
          <w:trHeight w:val="255"/>
        </w:trPr>
        <w:tc>
          <w:tcPr>
            <w:tcW w:w="8935" w:type="dxa"/>
            <w:gridSpan w:val="4"/>
            <w:tcBorders>
              <w:top w:val="nil"/>
              <w:left w:val="nil"/>
              <w:bottom w:val="nil"/>
              <w:right w:val="nil"/>
            </w:tcBorders>
            <w:shd w:val="clear" w:color="FFFFFF" w:fill="FFFFFF"/>
            <w:vAlign w:val="bottom"/>
            <w:hideMark/>
          </w:tcPr>
          <w:p w14:paraId="2E39A33A" w14:textId="77777777" w:rsidR="00A43992" w:rsidRDefault="00A43992" w:rsidP="007211E3">
            <w:pPr>
              <w:rPr>
                <w:rFonts w:ascii="Arial" w:hAnsi="Arial" w:cs="Arial"/>
                <w:sz w:val="18"/>
                <w:szCs w:val="18"/>
              </w:rPr>
            </w:pPr>
            <w:r>
              <w:rPr>
                <w:rFonts w:ascii="Arial" w:hAnsi="Arial" w:cs="Arial"/>
                <w:sz w:val="18"/>
                <w:szCs w:val="18"/>
              </w:rPr>
              <w:t> </w:t>
            </w:r>
          </w:p>
        </w:tc>
      </w:tr>
    </w:tbl>
    <w:p w14:paraId="163FC58C" w14:textId="77777777" w:rsidR="00A43992" w:rsidRPr="005E5430" w:rsidRDefault="00A43992" w:rsidP="00A43992">
      <w:pPr>
        <w:rPr>
          <w:rFonts w:ascii="Arial" w:hAnsi="Arial" w:cs="Arial"/>
          <w:sz w:val="18"/>
          <w:szCs w:val="18"/>
        </w:rPr>
      </w:pPr>
      <w:bookmarkStart w:id="390" w:name="RANGE!E7:E44"/>
      <w:bookmarkStart w:id="391" w:name="RANGE!E7:H44"/>
      <w:bookmarkStart w:id="392" w:name="RANGE!E7:E43"/>
      <w:bookmarkStart w:id="393" w:name="RANGE!E7:H43"/>
      <w:bookmarkStart w:id="394" w:name="RANGE!E6:H38"/>
      <w:bookmarkStart w:id="395" w:name="RANGE!E6:E39"/>
      <w:bookmarkStart w:id="396" w:name="RANGE!E6:H39"/>
      <w:bookmarkEnd w:id="390"/>
      <w:bookmarkEnd w:id="391"/>
      <w:bookmarkEnd w:id="392"/>
      <w:bookmarkEnd w:id="393"/>
      <w:bookmarkEnd w:id="394"/>
      <w:bookmarkEnd w:id="395"/>
      <w:bookmarkEnd w:id="396"/>
    </w:p>
    <w:p w14:paraId="278A5B36" w14:textId="77777777" w:rsidR="00A43992" w:rsidRPr="005E5430" w:rsidRDefault="00A43992" w:rsidP="00A43992">
      <w:pPr>
        <w:spacing w:line="240" w:lineRule="auto"/>
        <w:rPr>
          <w:rFonts w:ascii="Arial" w:hAnsi="Arial" w:cs="Arial"/>
          <w:sz w:val="18"/>
          <w:szCs w:val="18"/>
        </w:rPr>
      </w:pPr>
      <w:r w:rsidRPr="005E5430">
        <w:rPr>
          <w:rFonts w:ascii="Arial" w:hAnsi="Arial" w:cs="Arial"/>
          <w:sz w:val="18"/>
          <w:szCs w:val="18"/>
        </w:rPr>
        <w:br w:type="page"/>
      </w:r>
    </w:p>
    <w:p w14:paraId="01D9E7CF" w14:textId="77777777" w:rsidR="00A43992" w:rsidRPr="005E5430" w:rsidRDefault="00A43992" w:rsidP="00A43992">
      <w:pPr>
        <w:rPr>
          <w:rFonts w:ascii="Arial" w:hAnsi="Arial" w:cs="Arial"/>
          <w:sz w:val="18"/>
          <w:szCs w:val="18"/>
        </w:rPr>
        <w:sectPr w:rsidR="00A43992" w:rsidRPr="005E5430" w:rsidSect="007211E3">
          <w:pgSz w:w="11906" w:h="16838" w:code="9"/>
          <w:pgMar w:top="1134" w:right="1700" w:bottom="1134" w:left="1134" w:header="958" w:footer="737" w:gutter="0"/>
          <w:cols w:space="708"/>
          <w:docGrid w:linePitch="360"/>
        </w:sectPr>
      </w:pPr>
    </w:p>
    <w:p w14:paraId="1F9EA4BA" w14:textId="77777777" w:rsidR="00A43992" w:rsidRDefault="00A43992" w:rsidP="00A43992">
      <w:pPr>
        <w:pStyle w:val="SectionHeading"/>
      </w:pPr>
      <w:bookmarkStart w:id="397" w:name="_Toc443469544"/>
      <w:bookmarkStart w:id="398" w:name="_Toc444065799"/>
      <w:bookmarkStart w:id="399" w:name="_Toc444079995"/>
      <w:bookmarkStart w:id="400" w:name="_Toc447030545"/>
      <w:bookmarkStart w:id="401" w:name="_Toc447030697"/>
      <w:bookmarkStart w:id="402" w:name="_Toc447030790"/>
      <w:bookmarkStart w:id="403" w:name="_Toc456865065"/>
      <w:bookmarkStart w:id="404" w:name="_Toc464482135"/>
      <w:r>
        <w:lastRenderedPageBreak/>
        <w:t>Governance, Employees and Relationships</w:t>
      </w:r>
      <w:bookmarkEnd w:id="397"/>
      <w:bookmarkEnd w:id="398"/>
      <w:bookmarkEnd w:id="399"/>
      <w:bookmarkEnd w:id="400"/>
      <w:bookmarkEnd w:id="401"/>
      <w:bookmarkEnd w:id="402"/>
      <w:bookmarkEnd w:id="403"/>
      <w:bookmarkEnd w:id="404"/>
    </w:p>
    <w:p w14:paraId="242233B7" w14:textId="77777777" w:rsidR="00A43992" w:rsidRDefault="00A43992" w:rsidP="00A43992">
      <w:pPr>
        <w:pStyle w:val="SectionHeadingDescription"/>
      </w:pPr>
      <w:r w:rsidRPr="00185212">
        <w:t>This section describes a range of employment and post-employment benefits provided to</w:t>
      </w:r>
      <w:r>
        <w:t xml:space="preserve"> o</w:t>
      </w:r>
      <w:r w:rsidRPr="00185212">
        <w:t xml:space="preserve">ur </w:t>
      </w:r>
      <w:r>
        <w:t>employees</w:t>
      </w:r>
      <w:r w:rsidRPr="00185212">
        <w:t xml:space="preserve"> and our </w:t>
      </w:r>
      <w:r w:rsidRPr="007204D0">
        <w:t>relationships</w:t>
      </w:r>
      <w:r w:rsidRPr="00185212">
        <w:t xml:space="preserve"> with other key people.</w:t>
      </w:r>
    </w:p>
    <w:p w14:paraId="4F26AA2D" w14:textId="77777777" w:rsidR="00A43992" w:rsidRPr="00714F4A" w:rsidRDefault="00A43992" w:rsidP="00A43992">
      <w:pPr>
        <w:pStyle w:val="ListParagraph"/>
        <w:numPr>
          <w:ilvl w:val="0"/>
          <w:numId w:val="15"/>
        </w:numPr>
        <w:shd w:val="clear" w:color="auto" w:fill="000000" w:themeFill="text1"/>
        <w:spacing w:after="0" w:line="260" w:lineRule="atLeast"/>
        <w:contextualSpacing w:val="0"/>
        <w:outlineLvl w:val="1"/>
        <w:rPr>
          <w:rFonts w:eastAsia="Times New Roman" w:cs="Arial"/>
          <w:b/>
          <w:vanish/>
          <w:color w:val="FFFFFF" w:themeColor="background1"/>
          <w:sz w:val="20"/>
          <w:szCs w:val="20"/>
        </w:rPr>
      </w:pPr>
      <w:bookmarkStart w:id="405" w:name="_Toc447116453"/>
      <w:bookmarkStart w:id="406" w:name="_Toc447542887"/>
      <w:bookmarkStart w:id="407" w:name="_Toc447787262"/>
      <w:bookmarkStart w:id="408" w:name="_Toc448415762"/>
      <w:bookmarkStart w:id="409" w:name="_Toc448500687"/>
      <w:bookmarkStart w:id="410" w:name="_Toc449452849"/>
      <w:bookmarkStart w:id="411" w:name="_Toc456185891"/>
      <w:bookmarkStart w:id="412" w:name="_Toc456185948"/>
      <w:bookmarkStart w:id="413" w:name="_Toc456256309"/>
      <w:bookmarkStart w:id="414" w:name="_Toc456865066"/>
      <w:bookmarkStart w:id="415" w:name="_Toc464481623"/>
      <w:bookmarkStart w:id="416" w:name="_Toc443469545"/>
      <w:bookmarkStart w:id="417" w:name="_Toc444065800"/>
      <w:bookmarkStart w:id="418" w:name="_Toc444079996"/>
      <w:bookmarkStart w:id="419" w:name="_Toc447030546"/>
      <w:bookmarkStart w:id="420" w:name="_Toc447030698"/>
      <w:bookmarkStart w:id="421" w:name="_Toc447030791"/>
      <w:bookmarkEnd w:id="405"/>
      <w:bookmarkEnd w:id="406"/>
      <w:bookmarkEnd w:id="407"/>
      <w:bookmarkEnd w:id="408"/>
      <w:bookmarkEnd w:id="409"/>
      <w:bookmarkEnd w:id="410"/>
      <w:bookmarkEnd w:id="411"/>
      <w:bookmarkEnd w:id="412"/>
      <w:bookmarkEnd w:id="413"/>
      <w:bookmarkEnd w:id="414"/>
      <w:bookmarkEnd w:id="415"/>
    </w:p>
    <w:p w14:paraId="195B711E" w14:textId="77777777" w:rsidR="00A43992" w:rsidRPr="007204D0" w:rsidRDefault="00A43992" w:rsidP="00A43992">
      <w:pPr>
        <w:pStyle w:val="SubHeading"/>
      </w:pPr>
      <w:bookmarkStart w:id="422" w:name="_Toc456865067"/>
      <w:r>
        <w:t>Employee Provisions</w:t>
      </w:r>
      <w:bookmarkEnd w:id="416"/>
      <w:bookmarkEnd w:id="417"/>
      <w:bookmarkEnd w:id="418"/>
      <w:bookmarkEnd w:id="419"/>
      <w:bookmarkEnd w:id="420"/>
      <w:bookmarkEnd w:id="421"/>
      <w:bookmarkEnd w:id="422"/>
    </w:p>
    <w:tbl>
      <w:tblPr>
        <w:tblW w:w="9087" w:type="dxa"/>
        <w:tblInd w:w="80" w:type="dxa"/>
        <w:tblLayout w:type="fixed"/>
        <w:tblLook w:val="04A0" w:firstRow="1" w:lastRow="0" w:firstColumn="1" w:lastColumn="0" w:noHBand="0" w:noVBand="1"/>
      </w:tblPr>
      <w:tblGrid>
        <w:gridCol w:w="6353"/>
        <w:gridCol w:w="1249"/>
        <w:gridCol w:w="236"/>
        <w:gridCol w:w="1249"/>
      </w:tblGrid>
      <w:tr w:rsidR="00A43992" w14:paraId="7405ACCF" w14:textId="77777777" w:rsidTr="007211E3">
        <w:trPr>
          <w:trHeight w:val="255"/>
        </w:trPr>
        <w:tc>
          <w:tcPr>
            <w:tcW w:w="6353" w:type="dxa"/>
            <w:tcBorders>
              <w:top w:val="nil"/>
              <w:left w:val="nil"/>
              <w:bottom w:val="nil"/>
              <w:right w:val="nil"/>
            </w:tcBorders>
            <w:shd w:val="clear" w:color="FFFFFF" w:fill="FFFFFF"/>
            <w:noWrap/>
            <w:vAlign w:val="bottom"/>
            <w:hideMark/>
          </w:tcPr>
          <w:p w14:paraId="640F4D89" w14:textId="77777777" w:rsidR="00A43992" w:rsidRDefault="00A43992" w:rsidP="007211E3">
            <w:pPr>
              <w:rPr>
                <w:rFonts w:ascii="Arial" w:hAnsi="Arial" w:cs="Arial"/>
                <w:sz w:val="18"/>
                <w:szCs w:val="18"/>
              </w:rPr>
            </w:pPr>
            <w:bookmarkStart w:id="423" w:name="Note_PROTABLE1" w:colFirst="0" w:colLast="0"/>
            <w:r>
              <w:rPr>
                <w:rFonts w:ascii="Arial" w:hAnsi="Arial" w:cs="Arial"/>
                <w:sz w:val="18"/>
                <w:szCs w:val="18"/>
              </w:rPr>
              <w:t> </w:t>
            </w:r>
          </w:p>
        </w:tc>
        <w:tc>
          <w:tcPr>
            <w:tcW w:w="1249" w:type="dxa"/>
            <w:tcBorders>
              <w:top w:val="nil"/>
              <w:left w:val="nil"/>
              <w:bottom w:val="nil"/>
              <w:right w:val="nil"/>
            </w:tcBorders>
            <w:shd w:val="clear" w:color="FFFFFF" w:fill="FFFFFF"/>
            <w:vAlign w:val="bottom"/>
            <w:hideMark/>
          </w:tcPr>
          <w:p w14:paraId="3A1E5F1B" w14:textId="77777777" w:rsidR="00A43992" w:rsidRDefault="00A43992" w:rsidP="007211E3">
            <w:pPr>
              <w:jc w:val="right"/>
              <w:rPr>
                <w:rFonts w:ascii="Arial" w:hAnsi="Arial" w:cs="Arial"/>
                <w:b/>
                <w:bCs/>
                <w:sz w:val="18"/>
                <w:szCs w:val="18"/>
              </w:rPr>
            </w:pPr>
            <w:r>
              <w:rPr>
                <w:rFonts w:ascii="Arial" w:hAnsi="Arial" w:cs="Arial"/>
                <w:b/>
                <w:bCs/>
                <w:sz w:val="18"/>
                <w:szCs w:val="18"/>
              </w:rPr>
              <w:t>2016</w:t>
            </w:r>
          </w:p>
        </w:tc>
        <w:tc>
          <w:tcPr>
            <w:tcW w:w="236" w:type="dxa"/>
            <w:tcBorders>
              <w:top w:val="nil"/>
              <w:left w:val="nil"/>
              <w:bottom w:val="nil"/>
              <w:right w:val="nil"/>
            </w:tcBorders>
            <w:shd w:val="clear" w:color="FFFFFF" w:fill="FFFFFF"/>
            <w:noWrap/>
            <w:vAlign w:val="bottom"/>
            <w:hideMark/>
          </w:tcPr>
          <w:p w14:paraId="3A335C96" w14:textId="77777777" w:rsidR="00A43992" w:rsidRDefault="00A43992" w:rsidP="007211E3">
            <w:pPr>
              <w:rPr>
                <w:rFonts w:ascii="Arial" w:hAnsi="Arial" w:cs="Arial"/>
                <w:sz w:val="18"/>
                <w:szCs w:val="18"/>
              </w:rPr>
            </w:pPr>
            <w:r>
              <w:rPr>
                <w:rFonts w:ascii="Arial" w:hAnsi="Arial" w:cs="Arial"/>
                <w:sz w:val="18"/>
                <w:szCs w:val="18"/>
              </w:rPr>
              <w:t> </w:t>
            </w:r>
          </w:p>
        </w:tc>
        <w:tc>
          <w:tcPr>
            <w:tcW w:w="1249" w:type="dxa"/>
            <w:tcBorders>
              <w:top w:val="nil"/>
              <w:left w:val="nil"/>
              <w:bottom w:val="nil"/>
              <w:right w:val="nil"/>
            </w:tcBorders>
            <w:shd w:val="clear" w:color="FFFFFF" w:fill="FFFFFF"/>
            <w:vAlign w:val="bottom"/>
            <w:hideMark/>
          </w:tcPr>
          <w:p w14:paraId="5F73AECC" w14:textId="77777777" w:rsidR="00A43992" w:rsidRDefault="00A43992" w:rsidP="007211E3">
            <w:pPr>
              <w:jc w:val="right"/>
              <w:rPr>
                <w:rFonts w:ascii="Arial" w:hAnsi="Arial" w:cs="Arial"/>
                <w:sz w:val="18"/>
                <w:szCs w:val="18"/>
              </w:rPr>
            </w:pPr>
            <w:r>
              <w:rPr>
                <w:rFonts w:ascii="Arial" w:hAnsi="Arial" w:cs="Arial"/>
                <w:sz w:val="18"/>
                <w:szCs w:val="18"/>
              </w:rPr>
              <w:t>2015</w:t>
            </w:r>
          </w:p>
        </w:tc>
      </w:tr>
      <w:bookmarkEnd w:id="423"/>
      <w:tr w:rsidR="00A43992" w14:paraId="34E38C9B" w14:textId="77777777" w:rsidTr="007211E3">
        <w:trPr>
          <w:trHeight w:val="255"/>
        </w:trPr>
        <w:tc>
          <w:tcPr>
            <w:tcW w:w="6353" w:type="dxa"/>
            <w:tcBorders>
              <w:top w:val="nil"/>
              <w:left w:val="nil"/>
              <w:bottom w:val="nil"/>
              <w:right w:val="nil"/>
            </w:tcBorders>
            <w:shd w:val="clear" w:color="FFFFFF" w:fill="FFFFFF"/>
            <w:noWrap/>
            <w:vAlign w:val="bottom"/>
            <w:hideMark/>
          </w:tcPr>
          <w:p w14:paraId="18C38633" w14:textId="77777777" w:rsidR="00A43992" w:rsidRDefault="00A43992" w:rsidP="007211E3">
            <w:pPr>
              <w:rPr>
                <w:rFonts w:ascii="Arial" w:hAnsi="Arial" w:cs="Arial"/>
                <w:sz w:val="18"/>
                <w:szCs w:val="18"/>
              </w:rPr>
            </w:pPr>
            <w:r>
              <w:rPr>
                <w:rFonts w:ascii="Arial" w:hAnsi="Arial" w:cs="Arial"/>
                <w:sz w:val="18"/>
                <w:szCs w:val="18"/>
              </w:rPr>
              <w:t> </w:t>
            </w:r>
          </w:p>
        </w:tc>
        <w:tc>
          <w:tcPr>
            <w:tcW w:w="1249" w:type="dxa"/>
            <w:tcBorders>
              <w:top w:val="nil"/>
              <w:left w:val="nil"/>
              <w:bottom w:val="nil"/>
              <w:right w:val="nil"/>
            </w:tcBorders>
            <w:shd w:val="clear" w:color="FFFFFF" w:fill="FFFFFF"/>
            <w:vAlign w:val="bottom"/>
            <w:hideMark/>
          </w:tcPr>
          <w:p w14:paraId="200015E4" w14:textId="77777777" w:rsidR="00A43992" w:rsidRDefault="00A43992" w:rsidP="007211E3">
            <w:pPr>
              <w:jc w:val="right"/>
              <w:rPr>
                <w:rFonts w:ascii="Arial" w:hAnsi="Arial" w:cs="Arial"/>
                <w:b/>
                <w:bCs/>
                <w:sz w:val="18"/>
                <w:szCs w:val="18"/>
              </w:rPr>
            </w:pPr>
            <w:r>
              <w:rPr>
                <w:rFonts w:ascii="Arial" w:hAnsi="Arial" w:cs="Arial"/>
                <w:b/>
                <w:bCs/>
                <w:sz w:val="18"/>
                <w:szCs w:val="18"/>
              </w:rPr>
              <w:t>$'000</w:t>
            </w:r>
          </w:p>
        </w:tc>
        <w:tc>
          <w:tcPr>
            <w:tcW w:w="236" w:type="dxa"/>
            <w:tcBorders>
              <w:top w:val="nil"/>
              <w:left w:val="nil"/>
              <w:bottom w:val="nil"/>
              <w:right w:val="nil"/>
            </w:tcBorders>
            <w:shd w:val="clear" w:color="FFFFFF" w:fill="FFFFFF"/>
            <w:noWrap/>
            <w:vAlign w:val="bottom"/>
            <w:hideMark/>
          </w:tcPr>
          <w:p w14:paraId="3E548A9E" w14:textId="77777777" w:rsidR="00A43992" w:rsidRDefault="00A43992" w:rsidP="007211E3">
            <w:pPr>
              <w:rPr>
                <w:rFonts w:ascii="Arial" w:hAnsi="Arial" w:cs="Arial"/>
                <w:sz w:val="18"/>
                <w:szCs w:val="18"/>
              </w:rPr>
            </w:pPr>
            <w:r>
              <w:rPr>
                <w:rFonts w:ascii="Arial" w:hAnsi="Arial" w:cs="Arial"/>
                <w:sz w:val="18"/>
                <w:szCs w:val="18"/>
              </w:rPr>
              <w:t> </w:t>
            </w:r>
          </w:p>
        </w:tc>
        <w:tc>
          <w:tcPr>
            <w:tcW w:w="1249" w:type="dxa"/>
            <w:tcBorders>
              <w:top w:val="nil"/>
              <w:left w:val="nil"/>
              <w:bottom w:val="nil"/>
              <w:right w:val="nil"/>
            </w:tcBorders>
            <w:shd w:val="clear" w:color="FFFFFF" w:fill="FFFFFF"/>
            <w:vAlign w:val="bottom"/>
            <w:hideMark/>
          </w:tcPr>
          <w:p w14:paraId="4C56B17B" w14:textId="77777777" w:rsidR="00A43992" w:rsidRDefault="00A43992" w:rsidP="007211E3">
            <w:pPr>
              <w:jc w:val="right"/>
              <w:rPr>
                <w:rFonts w:ascii="Arial" w:hAnsi="Arial" w:cs="Arial"/>
                <w:sz w:val="18"/>
                <w:szCs w:val="18"/>
              </w:rPr>
            </w:pPr>
            <w:r>
              <w:rPr>
                <w:rFonts w:ascii="Arial" w:hAnsi="Arial" w:cs="Arial"/>
                <w:sz w:val="18"/>
                <w:szCs w:val="18"/>
              </w:rPr>
              <w:t>$'000</w:t>
            </w:r>
          </w:p>
        </w:tc>
      </w:tr>
      <w:tr w:rsidR="00A43992" w14:paraId="7566B031" w14:textId="77777777" w:rsidTr="007211E3">
        <w:trPr>
          <w:trHeight w:val="255"/>
        </w:trPr>
        <w:tc>
          <w:tcPr>
            <w:tcW w:w="6353" w:type="dxa"/>
            <w:tcBorders>
              <w:top w:val="nil"/>
              <w:left w:val="nil"/>
              <w:bottom w:val="nil"/>
              <w:right w:val="nil"/>
            </w:tcBorders>
            <w:shd w:val="clear" w:color="FFFFFF" w:fill="FFFFFF"/>
            <w:noWrap/>
            <w:vAlign w:val="bottom"/>
            <w:hideMark/>
          </w:tcPr>
          <w:p w14:paraId="1895F6BE" w14:textId="77777777" w:rsidR="00A43992" w:rsidRDefault="00A43992" w:rsidP="007211E3">
            <w:pPr>
              <w:rPr>
                <w:rFonts w:ascii="Arial" w:hAnsi="Arial" w:cs="Arial"/>
                <w:b/>
                <w:bCs/>
                <w:sz w:val="18"/>
                <w:szCs w:val="18"/>
                <w:u w:val="single"/>
              </w:rPr>
            </w:pPr>
            <w:r>
              <w:rPr>
                <w:rFonts w:ascii="Arial" w:hAnsi="Arial" w:cs="Arial"/>
                <w:b/>
                <w:bCs/>
                <w:sz w:val="18"/>
                <w:szCs w:val="18"/>
                <w:u w:val="single"/>
              </w:rPr>
              <w:t>Note 4.1A: Employee provisions</w:t>
            </w:r>
          </w:p>
        </w:tc>
        <w:tc>
          <w:tcPr>
            <w:tcW w:w="1249" w:type="dxa"/>
            <w:tcBorders>
              <w:top w:val="nil"/>
              <w:left w:val="nil"/>
              <w:bottom w:val="nil"/>
              <w:right w:val="nil"/>
            </w:tcBorders>
            <w:shd w:val="clear" w:color="FFFFFF" w:fill="FFFFFF"/>
            <w:noWrap/>
            <w:vAlign w:val="bottom"/>
            <w:hideMark/>
          </w:tcPr>
          <w:p w14:paraId="4C27A818" w14:textId="77777777" w:rsidR="00A43992" w:rsidRDefault="00A43992" w:rsidP="007211E3">
            <w:pPr>
              <w:rPr>
                <w:rFonts w:ascii="Arial" w:hAnsi="Arial" w:cs="Arial"/>
                <w:b/>
                <w:bCs/>
                <w:sz w:val="18"/>
                <w:szCs w:val="18"/>
              </w:rPr>
            </w:pPr>
            <w:r>
              <w:rPr>
                <w:rFonts w:ascii="Arial" w:hAnsi="Arial" w:cs="Arial"/>
                <w:b/>
                <w:bCs/>
                <w:sz w:val="18"/>
                <w:szCs w:val="18"/>
              </w:rPr>
              <w:t> </w:t>
            </w:r>
          </w:p>
        </w:tc>
        <w:tc>
          <w:tcPr>
            <w:tcW w:w="236" w:type="dxa"/>
            <w:tcBorders>
              <w:top w:val="nil"/>
              <w:left w:val="nil"/>
              <w:bottom w:val="nil"/>
              <w:right w:val="nil"/>
            </w:tcBorders>
            <w:shd w:val="clear" w:color="FFFFFF" w:fill="FFFFFF"/>
            <w:noWrap/>
            <w:vAlign w:val="bottom"/>
            <w:hideMark/>
          </w:tcPr>
          <w:p w14:paraId="28688F17" w14:textId="77777777" w:rsidR="00A43992" w:rsidRDefault="00A43992" w:rsidP="007211E3">
            <w:pPr>
              <w:rPr>
                <w:rFonts w:ascii="Arial" w:hAnsi="Arial" w:cs="Arial"/>
                <w:sz w:val="18"/>
                <w:szCs w:val="18"/>
              </w:rPr>
            </w:pPr>
            <w:r>
              <w:rPr>
                <w:rFonts w:ascii="Arial" w:hAnsi="Arial" w:cs="Arial"/>
                <w:sz w:val="18"/>
                <w:szCs w:val="18"/>
              </w:rPr>
              <w:t> </w:t>
            </w:r>
          </w:p>
        </w:tc>
        <w:tc>
          <w:tcPr>
            <w:tcW w:w="1249" w:type="dxa"/>
            <w:tcBorders>
              <w:top w:val="nil"/>
              <w:left w:val="nil"/>
              <w:bottom w:val="nil"/>
              <w:right w:val="nil"/>
            </w:tcBorders>
            <w:shd w:val="clear" w:color="FFFFFF" w:fill="FFFFFF"/>
            <w:noWrap/>
            <w:vAlign w:val="bottom"/>
            <w:hideMark/>
          </w:tcPr>
          <w:p w14:paraId="4E462E2F" w14:textId="77777777" w:rsidR="00A43992" w:rsidRDefault="00A43992" w:rsidP="007211E3">
            <w:pPr>
              <w:rPr>
                <w:rFonts w:ascii="Arial" w:hAnsi="Arial" w:cs="Arial"/>
                <w:sz w:val="18"/>
                <w:szCs w:val="18"/>
              </w:rPr>
            </w:pPr>
            <w:r>
              <w:rPr>
                <w:rFonts w:ascii="Arial" w:hAnsi="Arial" w:cs="Arial"/>
                <w:sz w:val="18"/>
                <w:szCs w:val="18"/>
              </w:rPr>
              <w:t> </w:t>
            </w:r>
          </w:p>
        </w:tc>
      </w:tr>
      <w:tr w:rsidR="00A43992" w14:paraId="627A7B5C" w14:textId="77777777" w:rsidTr="007211E3">
        <w:trPr>
          <w:trHeight w:val="255"/>
        </w:trPr>
        <w:tc>
          <w:tcPr>
            <w:tcW w:w="6353" w:type="dxa"/>
            <w:tcBorders>
              <w:top w:val="nil"/>
              <w:left w:val="nil"/>
              <w:bottom w:val="nil"/>
              <w:right w:val="nil"/>
            </w:tcBorders>
            <w:shd w:val="clear" w:color="FFFFFF" w:fill="FFFFFF"/>
            <w:vAlign w:val="bottom"/>
            <w:hideMark/>
          </w:tcPr>
          <w:p w14:paraId="7F822FF3" w14:textId="77777777" w:rsidR="00A43992" w:rsidRDefault="00A43992" w:rsidP="007211E3">
            <w:pPr>
              <w:ind w:firstLineChars="100" w:firstLine="180"/>
              <w:rPr>
                <w:rFonts w:ascii="Arial" w:hAnsi="Arial" w:cs="Arial"/>
                <w:sz w:val="18"/>
                <w:szCs w:val="18"/>
              </w:rPr>
            </w:pPr>
            <w:r>
              <w:rPr>
                <w:rFonts w:ascii="Arial" w:hAnsi="Arial" w:cs="Arial"/>
                <w:sz w:val="18"/>
                <w:szCs w:val="18"/>
              </w:rPr>
              <w:t>Leave</w:t>
            </w:r>
          </w:p>
        </w:tc>
        <w:tc>
          <w:tcPr>
            <w:tcW w:w="1249" w:type="dxa"/>
            <w:tcBorders>
              <w:top w:val="nil"/>
              <w:left w:val="nil"/>
              <w:bottom w:val="nil"/>
              <w:right w:val="nil"/>
            </w:tcBorders>
            <w:shd w:val="clear" w:color="FFFFFF" w:fill="FFFFFF"/>
            <w:noWrap/>
            <w:vAlign w:val="bottom"/>
            <w:hideMark/>
          </w:tcPr>
          <w:p w14:paraId="407669B3" w14:textId="77777777" w:rsidR="00A43992" w:rsidRDefault="00A43992" w:rsidP="007211E3">
            <w:pPr>
              <w:jc w:val="right"/>
              <w:rPr>
                <w:rFonts w:ascii="Arial" w:hAnsi="Arial" w:cs="Arial"/>
                <w:b/>
                <w:bCs/>
                <w:sz w:val="18"/>
                <w:szCs w:val="18"/>
              </w:rPr>
            </w:pPr>
            <w:r>
              <w:rPr>
                <w:rFonts w:ascii="Arial" w:hAnsi="Arial" w:cs="Arial"/>
                <w:b/>
                <w:bCs/>
                <w:sz w:val="18"/>
                <w:szCs w:val="18"/>
              </w:rPr>
              <w:t>24,160</w:t>
            </w:r>
          </w:p>
        </w:tc>
        <w:tc>
          <w:tcPr>
            <w:tcW w:w="236" w:type="dxa"/>
            <w:tcBorders>
              <w:top w:val="nil"/>
              <w:left w:val="nil"/>
              <w:bottom w:val="nil"/>
              <w:right w:val="nil"/>
            </w:tcBorders>
            <w:shd w:val="clear" w:color="FFFFFF" w:fill="FFFFFF"/>
            <w:noWrap/>
            <w:vAlign w:val="bottom"/>
            <w:hideMark/>
          </w:tcPr>
          <w:p w14:paraId="19C1CB93" w14:textId="77777777" w:rsidR="00A43992" w:rsidRDefault="00A43992" w:rsidP="007211E3">
            <w:pPr>
              <w:rPr>
                <w:rFonts w:ascii="Arial" w:hAnsi="Arial" w:cs="Arial"/>
                <w:sz w:val="18"/>
                <w:szCs w:val="18"/>
              </w:rPr>
            </w:pPr>
            <w:r>
              <w:rPr>
                <w:rFonts w:ascii="Arial" w:hAnsi="Arial" w:cs="Arial"/>
                <w:sz w:val="18"/>
                <w:szCs w:val="18"/>
              </w:rPr>
              <w:t> </w:t>
            </w:r>
          </w:p>
        </w:tc>
        <w:tc>
          <w:tcPr>
            <w:tcW w:w="1249" w:type="dxa"/>
            <w:tcBorders>
              <w:top w:val="nil"/>
              <w:left w:val="nil"/>
              <w:bottom w:val="nil"/>
              <w:right w:val="nil"/>
            </w:tcBorders>
            <w:shd w:val="clear" w:color="FFFFFF" w:fill="FFFFFF"/>
            <w:noWrap/>
            <w:vAlign w:val="bottom"/>
            <w:hideMark/>
          </w:tcPr>
          <w:p w14:paraId="3AAB8E2F" w14:textId="77777777" w:rsidR="00A43992" w:rsidRDefault="00A43992" w:rsidP="007211E3">
            <w:pPr>
              <w:jc w:val="right"/>
              <w:rPr>
                <w:rFonts w:ascii="Arial" w:hAnsi="Arial" w:cs="Arial"/>
                <w:sz w:val="18"/>
                <w:szCs w:val="18"/>
              </w:rPr>
            </w:pPr>
            <w:r>
              <w:rPr>
                <w:rFonts w:ascii="Arial" w:hAnsi="Arial" w:cs="Arial"/>
                <w:sz w:val="18"/>
                <w:szCs w:val="18"/>
              </w:rPr>
              <w:t>15,512</w:t>
            </w:r>
          </w:p>
        </w:tc>
      </w:tr>
      <w:tr w:rsidR="00A43992" w14:paraId="227AE8D2" w14:textId="77777777" w:rsidTr="007211E3">
        <w:trPr>
          <w:trHeight w:val="255"/>
        </w:trPr>
        <w:tc>
          <w:tcPr>
            <w:tcW w:w="6353" w:type="dxa"/>
            <w:tcBorders>
              <w:top w:val="nil"/>
              <w:left w:val="nil"/>
              <w:bottom w:val="nil"/>
              <w:right w:val="nil"/>
            </w:tcBorders>
            <w:shd w:val="clear" w:color="FFFFFF" w:fill="FFFFFF"/>
            <w:vAlign w:val="bottom"/>
            <w:hideMark/>
          </w:tcPr>
          <w:p w14:paraId="0FDB73E8" w14:textId="77777777" w:rsidR="00A43992" w:rsidRDefault="00A43992" w:rsidP="007211E3">
            <w:pPr>
              <w:rPr>
                <w:rFonts w:ascii="Arial" w:hAnsi="Arial" w:cs="Arial"/>
                <w:b/>
                <w:bCs/>
                <w:sz w:val="18"/>
                <w:szCs w:val="18"/>
              </w:rPr>
            </w:pPr>
            <w:r>
              <w:rPr>
                <w:rFonts w:ascii="Arial" w:hAnsi="Arial" w:cs="Arial"/>
                <w:b/>
                <w:bCs/>
                <w:sz w:val="18"/>
                <w:szCs w:val="18"/>
              </w:rPr>
              <w:t>Total employee provisions</w:t>
            </w:r>
          </w:p>
        </w:tc>
        <w:tc>
          <w:tcPr>
            <w:tcW w:w="1249" w:type="dxa"/>
            <w:tcBorders>
              <w:top w:val="single" w:sz="4" w:space="0" w:color="auto"/>
              <w:left w:val="nil"/>
              <w:bottom w:val="single" w:sz="4" w:space="0" w:color="auto"/>
              <w:right w:val="nil"/>
            </w:tcBorders>
            <w:shd w:val="clear" w:color="FFFFFF" w:fill="FFFFFF"/>
            <w:noWrap/>
            <w:vAlign w:val="bottom"/>
            <w:hideMark/>
          </w:tcPr>
          <w:p w14:paraId="70FA4BF1" w14:textId="77777777" w:rsidR="00A43992" w:rsidRDefault="00A43992" w:rsidP="007211E3">
            <w:pPr>
              <w:jc w:val="right"/>
              <w:rPr>
                <w:rFonts w:ascii="Arial" w:hAnsi="Arial" w:cs="Arial"/>
                <w:b/>
                <w:bCs/>
                <w:sz w:val="18"/>
                <w:szCs w:val="18"/>
              </w:rPr>
            </w:pPr>
            <w:r>
              <w:rPr>
                <w:rFonts w:ascii="Arial" w:hAnsi="Arial" w:cs="Arial"/>
                <w:b/>
                <w:bCs/>
                <w:sz w:val="18"/>
                <w:szCs w:val="18"/>
              </w:rPr>
              <w:t>24,160</w:t>
            </w:r>
          </w:p>
        </w:tc>
        <w:tc>
          <w:tcPr>
            <w:tcW w:w="236" w:type="dxa"/>
            <w:tcBorders>
              <w:top w:val="nil"/>
              <w:left w:val="nil"/>
              <w:bottom w:val="nil"/>
              <w:right w:val="nil"/>
            </w:tcBorders>
            <w:shd w:val="clear" w:color="FFFFFF" w:fill="FFFFFF"/>
            <w:noWrap/>
            <w:vAlign w:val="bottom"/>
            <w:hideMark/>
          </w:tcPr>
          <w:p w14:paraId="4D405363" w14:textId="77777777" w:rsidR="00A43992" w:rsidRDefault="00A43992" w:rsidP="007211E3">
            <w:pPr>
              <w:rPr>
                <w:rFonts w:ascii="Arial" w:hAnsi="Arial" w:cs="Arial"/>
                <w:b/>
                <w:bCs/>
                <w:sz w:val="18"/>
                <w:szCs w:val="18"/>
              </w:rPr>
            </w:pPr>
            <w:r>
              <w:rPr>
                <w:rFonts w:ascii="Arial" w:hAnsi="Arial" w:cs="Arial"/>
                <w:b/>
                <w:bCs/>
                <w:sz w:val="18"/>
                <w:szCs w:val="18"/>
              </w:rPr>
              <w:t> </w:t>
            </w:r>
          </w:p>
        </w:tc>
        <w:tc>
          <w:tcPr>
            <w:tcW w:w="1249" w:type="dxa"/>
            <w:tcBorders>
              <w:top w:val="single" w:sz="4" w:space="0" w:color="auto"/>
              <w:left w:val="nil"/>
              <w:bottom w:val="single" w:sz="4" w:space="0" w:color="auto"/>
              <w:right w:val="nil"/>
            </w:tcBorders>
            <w:shd w:val="clear" w:color="FFFFFF" w:fill="FFFFFF"/>
            <w:noWrap/>
            <w:vAlign w:val="bottom"/>
            <w:hideMark/>
          </w:tcPr>
          <w:p w14:paraId="37CBDA1A" w14:textId="77777777" w:rsidR="00A43992" w:rsidRDefault="00A43992" w:rsidP="007211E3">
            <w:pPr>
              <w:jc w:val="right"/>
              <w:rPr>
                <w:rFonts w:ascii="Arial" w:hAnsi="Arial" w:cs="Arial"/>
                <w:sz w:val="18"/>
                <w:szCs w:val="18"/>
              </w:rPr>
            </w:pPr>
            <w:r>
              <w:rPr>
                <w:rFonts w:ascii="Arial" w:hAnsi="Arial" w:cs="Arial"/>
                <w:sz w:val="18"/>
                <w:szCs w:val="18"/>
              </w:rPr>
              <w:t>15,512</w:t>
            </w:r>
          </w:p>
        </w:tc>
      </w:tr>
      <w:tr w:rsidR="00A43992" w14:paraId="25DC4908" w14:textId="77777777" w:rsidTr="007211E3">
        <w:trPr>
          <w:trHeight w:val="255"/>
        </w:trPr>
        <w:tc>
          <w:tcPr>
            <w:tcW w:w="6353" w:type="dxa"/>
            <w:tcBorders>
              <w:top w:val="nil"/>
              <w:left w:val="nil"/>
              <w:bottom w:val="nil"/>
              <w:right w:val="nil"/>
            </w:tcBorders>
            <w:shd w:val="clear" w:color="FFFFFF" w:fill="FFFFFF"/>
            <w:noWrap/>
            <w:vAlign w:val="bottom"/>
            <w:hideMark/>
          </w:tcPr>
          <w:p w14:paraId="60427DCE" w14:textId="77777777" w:rsidR="00A43992" w:rsidRDefault="00A43992" w:rsidP="007211E3">
            <w:pPr>
              <w:rPr>
                <w:rFonts w:ascii="Arial" w:hAnsi="Arial" w:cs="Arial"/>
                <w:color w:val="FF0000"/>
                <w:sz w:val="18"/>
                <w:szCs w:val="18"/>
              </w:rPr>
            </w:pPr>
            <w:r>
              <w:rPr>
                <w:rFonts w:ascii="Arial" w:hAnsi="Arial" w:cs="Arial"/>
                <w:color w:val="FF0000"/>
                <w:sz w:val="18"/>
                <w:szCs w:val="18"/>
              </w:rPr>
              <w:t> </w:t>
            </w:r>
          </w:p>
        </w:tc>
        <w:tc>
          <w:tcPr>
            <w:tcW w:w="1249" w:type="dxa"/>
            <w:tcBorders>
              <w:top w:val="nil"/>
              <w:left w:val="nil"/>
              <w:bottom w:val="nil"/>
              <w:right w:val="nil"/>
            </w:tcBorders>
            <w:shd w:val="clear" w:color="FFFFFF" w:fill="FFFFFF"/>
            <w:noWrap/>
            <w:vAlign w:val="bottom"/>
            <w:hideMark/>
          </w:tcPr>
          <w:p w14:paraId="71E1268B" w14:textId="77777777" w:rsidR="00A43992" w:rsidRDefault="00A43992" w:rsidP="007211E3">
            <w:pPr>
              <w:rPr>
                <w:rFonts w:ascii="Arial" w:hAnsi="Arial" w:cs="Arial"/>
                <w:sz w:val="18"/>
                <w:szCs w:val="18"/>
              </w:rPr>
            </w:pPr>
            <w:r>
              <w:rPr>
                <w:rFonts w:ascii="Arial" w:hAnsi="Arial" w:cs="Arial"/>
                <w:sz w:val="18"/>
                <w:szCs w:val="18"/>
              </w:rPr>
              <w:t> </w:t>
            </w:r>
          </w:p>
        </w:tc>
        <w:tc>
          <w:tcPr>
            <w:tcW w:w="236" w:type="dxa"/>
            <w:tcBorders>
              <w:top w:val="nil"/>
              <w:left w:val="nil"/>
              <w:bottom w:val="nil"/>
              <w:right w:val="nil"/>
            </w:tcBorders>
            <w:shd w:val="clear" w:color="FFFFFF" w:fill="FFFFFF"/>
            <w:noWrap/>
            <w:vAlign w:val="bottom"/>
            <w:hideMark/>
          </w:tcPr>
          <w:p w14:paraId="6590931D" w14:textId="77777777" w:rsidR="00A43992" w:rsidRDefault="00A43992" w:rsidP="007211E3">
            <w:pPr>
              <w:rPr>
                <w:rFonts w:ascii="Arial" w:hAnsi="Arial" w:cs="Arial"/>
                <w:sz w:val="18"/>
                <w:szCs w:val="18"/>
              </w:rPr>
            </w:pPr>
            <w:r>
              <w:rPr>
                <w:rFonts w:ascii="Arial" w:hAnsi="Arial" w:cs="Arial"/>
                <w:sz w:val="18"/>
                <w:szCs w:val="18"/>
              </w:rPr>
              <w:t> </w:t>
            </w:r>
          </w:p>
        </w:tc>
        <w:tc>
          <w:tcPr>
            <w:tcW w:w="1249" w:type="dxa"/>
            <w:tcBorders>
              <w:top w:val="nil"/>
              <w:left w:val="nil"/>
              <w:bottom w:val="nil"/>
              <w:right w:val="nil"/>
            </w:tcBorders>
            <w:shd w:val="clear" w:color="FFFFFF" w:fill="FFFFFF"/>
            <w:noWrap/>
            <w:vAlign w:val="bottom"/>
            <w:hideMark/>
          </w:tcPr>
          <w:p w14:paraId="766899AC" w14:textId="77777777" w:rsidR="00A43992" w:rsidRDefault="00A43992" w:rsidP="007211E3">
            <w:pPr>
              <w:rPr>
                <w:rFonts w:ascii="Arial" w:hAnsi="Arial" w:cs="Arial"/>
                <w:sz w:val="18"/>
                <w:szCs w:val="18"/>
              </w:rPr>
            </w:pPr>
            <w:r>
              <w:rPr>
                <w:rFonts w:ascii="Arial" w:hAnsi="Arial" w:cs="Arial"/>
                <w:sz w:val="18"/>
                <w:szCs w:val="18"/>
              </w:rPr>
              <w:t> </w:t>
            </w:r>
          </w:p>
        </w:tc>
      </w:tr>
      <w:tr w:rsidR="00A43992" w14:paraId="611CB1FA" w14:textId="77777777" w:rsidTr="007211E3">
        <w:trPr>
          <w:trHeight w:val="255"/>
        </w:trPr>
        <w:tc>
          <w:tcPr>
            <w:tcW w:w="6353" w:type="dxa"/>
            <w:tcBorders>
              <w:top w:val="nil"/>
              <w:left w:val="nil"/>
              <w:bottom w:val="nil"/>
              <w:right w:val="nil"/>
            </w:tcBorders>
            <w:shd w:val="clear" w:color="FFFFFF" w:fill="FFFFFF"/>
            <w:vAlign w:val="bottom"/>
            <w:hideMark/>
          </w:tcPr>
          <w:p w14:paraId="0EEA80F7" w14:textId="77777777" w:rsidR="00A43992" w:rsidRDefault="00A43992" w:rsidP="007211E3">
            <w:pPr>
              <w:rPr>
                <w:rFonts w:ascii="Arial" w:hAnsi="Arial" w:cs="Arial"/>
                <w:sz w:val="18"/>
                <w:szCs w:val="18"/>
              </w:rPr>
            </w:pPr>
            <w:r>
              <w:rPr>
                <w:rFonts w:ascii="Arial" w:hAnsi="Arial" w:cs="Arial"/>
                <w:sz w:val="18"/>
                <w:szCs w:val="18"/>
              </w:rPr>
              <w:t>Employee provisions expected to be settled</w:t>
            </w:r>
          </w:p>
        </w:tc>
        <w:tc>
          <w:tcPr>
            <w:tcW w:w="1249" w:type="dxa"/>
            <w:tcBorders>
              <w:top w:val="nil"/>
              <w:left w:val="nil"/>
              <w:bottom w:val="nil"/>
              <w:right w:val="nil"/>
            </w:tcBorders>
            <w:shd w:val="clear" w:color="FFFFFF" w:fill="FFFFFF"/>
            <w:noWrap/>
            <w:vAlign w:val="bottom"/>
            <w:hideMark/>
          </w:tcPr>
          <w:p w14:paraId="55623B07" w14:textId="77777777" w:rsidR="00A43992" w:rsidRDefault="00A43992" w:rsidP="007211E3">
            <w:pPr>
              <w:rPr>
                <w:rFonts w:ascii="Arial" w:hAnsi="Arial" w:cs="Arial"/>
                <w:sz w:val="18"/>
                <w:szCs w:val="18"/>
              </w:rPr>
            </w:pPr>
            <w:r>
              <w:rPr>
                <w:rFonts w:ascii="Arial" w:hAnsi="Arial" w:cs="Arial"/>
                <w:sz w:val="18"/>
                <w:szCs w:val="18"/>
              </w:rPr>
              <w:t> </w:t>
            </w:r>
          </w:p>
        </w:tc>
        <w:tc>
          <w:tcPr>
            <w:tcW w:w="236" w:type="dxa"/>
            <w:tcBorders>
              <w:top w:val="nil"/>
              <w:left w:val="nil"/>
              <w:bottom w:val="nil"/>
              <w:right w:val="nil"/>
            </w:tcBorders>
            <w:shd w:val="clear" w:color="FFFFFF" w:fill="FFFFFF"/>
            <w:noWrap/>
            <w:vAlign w:val="bottom"/>
            <w:hideMark/>
          </w:tcPr>
          <w:p w14:paraId="347F5755" w14:textId="77777777" w:rsidR="00A43992" w:rsidRDefault="00A43992" w:rsidP="007211E3">
            <w:pPr>
              <w:rPr>
                <w:rFonts w:ascii="Arial" w:hAnsi="Arial" w:cs="Arial"/>
                <w:sz w:val="18"/>
                <w:szCs w:val="18"/>
              </w:rPr>
            </w:pPr>
            <w:r>
              <w:rPr>
                <w:rFonts w:ascii="Arial" w:hAnsi="Arial" w:cs="Arial"/>
                <w:sz w:val="18"/>
                <w:szCs w:val="18"/>
              </w:rPr>
              <w:t> </w:t>
            </w:r>
          </w:p>
        </w:tc>
        <w:tc>
          <w:tcPr>
            <w:tcW w:w="1249" w:type="dxa"/>
            <w:tcBorders>
              <w:top w:val="nil"/>
              <w:left w:val="nil"/>
              <w:bottom w:val="nil"/>
              <w:right w:val="nil"/>
            </w:tcBorders>
            <w:shd w:val="clear" w:color="FFFFFF" w:fill="FFFFFF"/>
            <w:noWrap/>
            <w:vAlign w:val="bottom"/>
            <w:hideMark/>
          </w:tcPr>
          <w:p w14:paraId="14461EEA" w14:textId="77777777" w:rsidR="00A43992" w:rsidRDefault="00A43992" w:rsidP="007211E3">
            <w:pPr>
              <w:rPr>
                <w:rFonts w:ascii="Arial" w:hAnsi="Arial" w:cs="Arial"/>
                <w:sz w:val="18"/>
                <w:szCs w:val="18"/>
              </w:rPr>
            </w:pPr>
            <w:r>
              <w:rPr>
                <w:rFonts w:ascii="Arial" w:hAnsi="Arial" w:cs="Arial"/>
                <w:sz w:val="18"/>
                <w:szCs w:val="18"/>
              </w:rPr>
              <w:t> </w:t>
            </w:r>
          </w:p>
        </w:tc>
      </w:tr>
      <w:tr w:rsidR="00A43992" w14:paraId="7652FC71" w14:textId="77777777" w:rsidTr="007211E3">
        <w:trPr>
          <w:trHeight w:val="255"/>
        </w:trPr>
        <w:tc>
          <w:tcPr>
            <w:tcW w:w="6353" w:type="dxa"/>
            <w:tcBorders>
              <w:top w:val="nil"/>
              <w:left w:val="nil"/>
              <w:bottom w:val="nil"/>
              <w:right w:val="nil"/>
            </w:tcBorders>
            <w:shd w:val="clear" w:color="FFFFFF" w:fill="FFFFFF"/>
            <w:noWrap/>
            <w:vAlign w:val="bottom"/>
            <w:hideMark/>
          </w:tcPr>
          <w:p w14:paraId="24E49BCA" w14:textId="77777777" w:rsidR="00A43992" w:rsidRDefault="00A43992" w:rsidP="007211E3">
            <w:pPr>
              <w:ind w:firstLineChars="100" w:firstLine="180"/>
              <w:rPr>
                <w:rFonts w:ascii="Arial" w:hAnsi="Arial" w:cs="Arial"/>
                <w:sz w:val="18"/>
                <w:szCs w:val="18"/>
              </w:rPr>
            </w:pPr>
            <w:r>
              <w:rPr>
                <w:rFonts w:ascii="Arial" w:hAnsi="Arial" w:cs="Arial"/>
                <w:sz w:val="18"/>
                <w:szCs w:val="18"/>
              </w:rPr>
              <w:t>No more than 12 months</w:t>
            </w:r>
          </w:p>
        </w:tc>
        <w:tc>
          <w:tcPr>
            <w:tcW w:w="1249" w:type="dxa"/>
            <w:tcBorders>
              <w:top w:val="nil"/>
              <w:left w:val="nil"/>
              <w:bottom w:val="nil"/>
              <w:right w:val="nil"/>
            </w:tcBorders>
            <w:shd w:val="clear" w:color="FFFFFF" w:fill="FFFFFF"/>
            <w:noWrap/>
            <w:vAlign w:val="bottom"/>
            <w:hideMark/>
          </w:tcPr>
          <w:p w14:paraId="7139514C" w14:textId="77777777" w:rsidR="00A43992" w:rsidRDefault="00A43992" w:rsidP="007211E3">
            <w:pPr>
              <w:jc w:val="right"/>
              <w:rPr>
                <w:rFonts w:ascii="Arial" w:hAnsi="Arial" w:cs="Arial"/>
                <w:b/>
                <w:bCs/>
                <w:sz w:val="18"/>
                <w:szCs w:val="18"/>
              </w:rPr>
            </w:pPr>
            <w:r>
              <w:rPr>
                <w:rFonts w:ascii="Arial" w:hAnsi="Arial" w:cs="Arial"/>
                <w:b/>
                <w:bCs/>
                <w:sz w:val="18"/>
                <w:szCs w:val="18"/>
              </w:rPr>
              <w:t>7,957</w:t>
            </w:r>
          </w:p>
        </w:tc>
        <w:tc>
          <w:tcPr>
            <w:tcW w:w="236" w:type="dxa"/>
            <w:tcBorders>
              <w:top w:val="nil"/>
              <w:left w:val="nil"/>
              <w:bottom w:val="nil"/>
              <w:right w:val="nil"/>
            </w:tcBorders>
            <w:shd w:val="clear" w:color="FFFFFF" w:fill="FFFFFF"/>
            <w:noWrap/>
            <w:vAlign w:val="bottom"/>
            <w:hideMark/>
          </w:tcPr>
          <w:p w14:paraId="3EF0C44D" w14:textId="77777777" w:rsidR="00A43992" w:rsidRDefault="00A43992" w:rsidP="007211E3">
            <w:pPr>
              <w:rPr>
                <w:rFonts w:ascii="Arial" w:hAnsi="Arial" w:cs="Arial"/>
                <w:sz w:val="18"/>
                <w:szCs w:val="18"/>
              </w:rPr>
            </w:pPr>
            <w:r>
              <w:rPr>
                <w:rFonts w:ascii="Arial" w:hAnsi="Arial" w:cs="Arial"/>
                <w:sz w:val="18"/>
                <w:szCs w:val="18"/>
              </w:rPr>
              <w:t> </w:t>
            </w:r>
          </w:p>
        </w:tc>
        <w:tc>
          <w:tcPr>
            <w:tcW w:w="1249" w:type="dxa"/>
            <w:tcBorders>
              <w:top w:val="nil"/>
              <w:left w:val="nil"/>
              <w:bottom w:val="nil"/>
              <w:right w:val="nil"/>
            </w:tcBorders>
            <w:shd w:val="clear" w:color="FFFFFF" w:fill="FFFFFF"/>
            <w:noWrap/>
            <w:vAlign w:val="bottom"/>
            <w:hideMark/>
          </w:tcPr>
          <w:p w14:paraId="35A782D5" w14:textId="77777777" w:rsidR="00A43992" w:rsidRDefault="00A43992" w:rsidP="007211E3">
            <w:pPr>
              <w:jc w:val="right"/>
              <w:rPr>
                <w:rFonts w:ascii="Arial" w:hAnsi="Arial" w:cs="Arial"/>
                <w:sz w:val="18"/>
                <w:szCs w:val="18"/>
              </w:rPr>
            </w:pPr>
            <w:r>
              <w:rPr>
                <w:rFonts w:ascii="Arial" w:hAnsi="Arial" w:cs="Arial"/>
                <w:sz w:val="18"/>
                <w:szCs w:val="18"/>
              </w:rPr>
              <w:t xml:space="preserve">4,955 </w:t>
            </w:r>
          </w:p>
        </w:tc>
      </w:tr>
      <w:tr w:rsidR="00A43992" w14:paraId="18340097" w14:textId="77777777" w:rsidTr="007211E3">
        <w:trPr>
          <w:trHeight w:val="255"/>
        </w:trPr>
        <w:tc>
          <w:tcPr>
            <w:tcW w:w="6353" w:type="dxa"/>
            <w:tcBorders>
              <w:top w:val="nil"/>
              <w:left w:val="nil"/>
              <w:bottom w:val="nil"/>
              <w:right w:val="nil"/>
            </w:tcBorders>
            <w:shd w:val="clear" w:color="FFFFFF" w:fill="FFFFFF"/>
            <w:noWrap/>
            <w:vAlign w:val="bottom"/>
            <w:hideMark/>
          </w:tcPr>
          <w:p w14:paraId="68AB7DCC" w14:textId="77777777" w:rsidR="00A43992" w:rsidRDefault="00A43992" w:rsidP="007211E3">
            <w:pPr>
              <w:ind w:firstLineChars="100" w:firstLine="180"/>
              <w:rPr>
                <w:rFonts w:ascii="Arial" w:hAnsi="Arial" w:cs="Arial"/>
                <w:sz w:val="18"/>
                <w:szCs w:val="18"/>
              </w:rPr>
            </w:pPr>
            <w:r>
              <w:rPr>
                <w:rFonts w:ascii="Arial" w:hAnsi="Arial" w:cs="Arial"/>
                <w:sz w:val="18"/>
                <w:szCs w:val="18"/>
              </w:rPr>
              <w:t>More than 12 months</w:t>
            </w:r>
          </w:p>
        </w:tc>
        <w:tc>
          <w:tcPr>
            <w:tcW w:w="1249" w:type="dxa"/>
            <w:tcBorders>
              <w:top w:val="nil"/>
              <w:left w:val="nil"/>
              <w:bottom w:val="nil"/>
              <w:right w:val="nil"/>
            </w:tcBorders>
            <w:shd w:val="clear" w:color="FFFFFF" w:fill="FFFFFF"/>
            <w:noWrap/>
            <w:vAlign w:val="bottom"/>
            <w:hideMark/>
          </w:tcPr>
          <w:p w14:paraId="1605F9F7" w14:textId="77777777" w:rsidR="00A43992" w:rsidRDefault="00A43992" w:rsidP="007211E3">
            <w:pPr>
              <w:jc w:val="right"/>
              <w:rPr>
                <w:rFonts w:ascii="Arial" w:hAnsi="Arial" w:cs="Arial"/>
                <w:b/>
                <w:bCs/>
                <w:sz w:val="18"/>
                <w:szCs w:val="18"/>
              </w:rPr>
            </w:pPr>
            <w:r>
              <w:rPr>
                <w:rFonts w:ascii="Arial" w:hAnsi="Arial" w:cs="Arial"/>
                <w:b/>
                <w:bCs/>
                <w:sz w:val="18"/>
                <w:szCs w:val="18"/>
              </w:rPr>
              <w:t>16,203</w:t>
            </w:r>
          </w:p>
        </w:tc>
        <w:tc>
          <w:tcPr>
            <w:tcW w:w="236" w:type="dxa"/>
            <w:tcBorders>
              <w:top w:val="nil"/>
              <w:left w:val="nil"/>
              <w:bottom w:val="nil"/>
              <w:right w:val="nil"/>
            </w:tcBorders>
            <w:shd w:val="clear" w:color="FFFFFF" w:fill="FFFFFF"/>
            <w:noWrap/>
            <w:vAlign w:val="bottom"/>
            <w:hideMark/>
          </w:tcPr>
          <w:p w14:paraId="7E53400F" w14:textId="77777777" w:rsidR="00A43992" w:rsidRDefault="00A43992" w:rsidP="007211E3">
            <w:pPr>
              <w:rPr>
                <w:rFonts w:ascii="Arial" w:hAnsi="Arial" w:cs="Arial"/>
                <w:sz w:val="18"/>
                <w:szCs w:val="18"/>
              </w:rPr>
            </w:pPr>
            <w:r>
              <w:rPr>
                <w:rFonts w:ascii="Arial" w:hAnsi="Arial" w:cs="Arial"/>
                <w:sz w:val="18"/>
                <w:szCs w:val="18"/>
              </w:rPr>
              <w:t> </w:t>
            </w:r>
          </w:p>
        </w:tc>
        <w:tc>
          <w:tcPr>
            <w:tcW w:w="1249" w:type="dxa"/>
            <w:tcBorders>
              <w:top w:val="nil"/>
              <w:left w:val="nil"/>
              <w:bottom w:val="nil"/>
              <w:right w:val="nil"/>
            </w:tcBorders>
            <w:shd w:val="clear" w:color="FFFFFF" w:fill="FFFFFF"/>
            <w:noWrap/>
            <w:vAlign w:val="bottom"/>
            <w:hideMark/>
          </w:tcPr>
          <w:p w14:paraId="5ACD7CA7" w14:textId="77777777" w:rsidR="00A43992" w:rsidRDefault="00A43992" w:rsidP="007211E3">
            <w:pPr>
              <w:jc w:val="right"/>
              <w:rPr>
                <w:rFonts w:ascii="Arial" w:hAnsi="Arial" w:cs="Arial"/>
                <w:sz w:val="18"/>
                <w:szCs w:val="18"/>
              </w:rPr>
            </w:pPr>
            <w:r>
              <w:rPr>
                <w:rFonts w:ascii="Arial" w:hAnsi="Arial" w:cs="Arial"/>
                <w:sz w:val="18"/>
                <w:szCs w:val="18"/>
              </w:rPr>
              <w:t xml:space="preserve">10,557 </w:t>
            </w:r>
          </w:p>
        </w:tc>
      </w:tr>
      <w:tr w:rsidR="00A43992" w14:paraId="74876C48" w14:textId="77777777" w:rsidTr="007211E3">
        <w:trPr>
          <w:trHeight w:val="255"/>
        </w:trPr>
        <w:tc>
          <w:tcPr>
            <w:tcW w:w="6353" w:type="dxa"/>
            <w:tcBorders>
              <w:top w:val="nil"/>
              <w:left w:val="nil"/>
              <w:bottom w:val="nil"/>
              <w:right w:val="nil"/>
            </w:tcBorders>
            <w:shd w:val="clear" w:color="FFFFFF" w:fill="FFFFFF"/>
            <w:vAlign w:val="bottom"/>
            <w:hideMark/>
          </w:tcPr>
          <w:p w14:paraId="1E07663E" w14:textId="77777777" w:rsidR="00A43992" w:rsidRDefault="00A43992" w:rsidP="007211E3">
            <w:pPr>
              <w:rPr>
                <w:rFonts w:ascii="Arial" w:hAnsi="Arial" w:cs="Arial"/>
                <w:b/>
                <w:bCs/>
                <w:sz w:val="18"/>
                <w:szCs w:val="18"/>
              </w:rPr>
            </w:pPr>
            <w:r>
              <w:rPr>
                <w:rFonts w:ascii="Arial" w:hAnsi="Arial" w:cs="Arial"/>
                <w:b/>
                <w:bCs/>
                <w:sz w:val="18"/>
                <w:szCs w:val="18"/>
              </w:rPr>
              <w:t>Total employee provisions</w:t>
            </w:r>
          </w:p>
        </w:tc>
        <w:tc>
          <w:tcPr>
            <w:tcW w:w="1249" w:type="dxa"/>
            <w:tcBorders>
              <w:top w:val="single" w:sz="4" w:space="0" w:color="auto"/>
              <w:left w:val="nil"/>
              <w:bottom w:val="single" w:sz="4" w:space="0" w:color="auto"/>
              <w:right w:val="nil"/>
            </w:tcBorders>
            <w:shd w:val="clear" w:color="FFFFFF" w:fill="FFFFFF"/>
            <w:noWrap/>
            <w:vAlign w:val="bottom"/>
            <w:hideMark/>
          </w:tcPr>
          <w:p w14:paraId="1CEA13A5" w14:textId="77777777" w:rsidR="00A43992" w:rsidRDefault="00A43992" w:rsidP="007211E3">
            <w:pPr>
              <w:jc w:val="right"/>
              <w:rPr>
                <w:rFonts w:ascii="Arial" w:hAnsi="Arial" w:cs="Arial"/>
                <w:b/>
                <w:bCs/>
                <w:sz w:val="18"/>
                <w:szCs w:val="18"/>
              </w:rPr>
            </w:pPr>
            <w:r>
              <w:rPr>
                <w:rFonts w:ascii="Arial" w:hAnsi="Arial" w:cs="Arial"/>
                <w:b/>
                <w:bCs/>
                <w:sz w:val="18"/>
                <w:szCs w:val="18"/>
              </w:rPr>
              <w:t>24,160</w:t>
            </w:r>
          </w:p>
        </w:tc>
        <w:tc>
          <w:tcPr>
            <w:tcW w:w="236" w:type="dxa"/>
            <w:tcBorders>
              <w:top w:val="nil"/>
              <w:left w:val="nil"/>
              <w:bottom w:val="nil"/>
              <w:right w:val="nil"/>
            </w:tcBorders>
            <w:shd w:val="clear" w:color="FFFFFF" w:fill="FFFFFF"/>
            <w:noWrap/>
            <w:vAlign w:val="bottom"/>
            <w:hideMark/>
          </w:tcPr>
          <w:p w14:paraId="5B00607B" w14:textId="77777777" w:rsidR="00A43992" w:rsidRDefault="00A43992" w:rsidP="007211E3">
            <w:pPr>
              <w:rPr>
                <w:rFonts w:ascii="Arial" w:hAnsi="Arial" w:cs="Arial"/>
                <w:b/>
                <w:bCs/>
                <w:sz w:val="18"/>
                <w:szCs w:val="18"/>
              </w:rPr>
            </w:pPr>
            <w:r>
              <w:rPr>
                <w:rFonts w:ascii="Arial" w:hAnsi="Arial" w:cs="Arial"/>
                <w:b/>
                <w:bCs/>
                <w:sz w:val="18"/>
                <w:szCs w:val="18"/>
              </w:rPr>
              <w:t> </w:t>
            </w:r>
          </w:p>
        </w:tc>
        <w:tc>
          <w:tcPr>
            <w:tcW w:w="1249" w:type="dxa"/>
            <w:tcBorders>
              <w:top w:val="single" w:sz="4" w:space="0" w:color="auto"/>
              <w:left w:val="nil"/>
              <w:bottom w:val="single" w:sz="4" w:space="0" w:color="auto"/>
              <w:right w:val="nil"/>
            </w:tcBorders>
            <w:shd w:val="clear" w:color="FFFFFF" w:fill="FFFFFF"/>
            <w:noWrap/>
            <w:vAlign w:val="bottom"/>
            <w:hideMark/>
          </w:tcPr>
          <w:p w14:paraId="388229B9" w14:textId="77777777" w:rsidR="00A43992" w:rsidRDefault="00A43992" w:rsidP="007211E3">
            <w:pPr>
              <w:jc w:val="right"/>
              <w:rPr>
                <w:rFonts w:ascii="Arial" w:hAnsi="Arial" w:cs="Arial"/>
                <w:sz w:val="18"/>
                <w:szCs w:val="18"/>
              </w:rPr>
            </w:pPr>
            <w:r>
              <w:rPr>
                <w:rFonts w:ascii="Arial" w:hAnsi="Arial" w:cs="Arial"/>
                <w:sz w:val="18"/>
                <w:szCs w:val="18"/>
              </w:rPr>
              <w:t>15,512</w:t>
            </w:r>
          </w:p>
        </w:tc>
      </w:tr>
      <w:tr w:rsidR="00A43992" w14:paraId="7BAC3014" w14:textId="77777777" w:rsidTr="007211E3">
        <w:trPr>
          <w:trHeight w:val="255"/>
        </w:trPr>
        <w:tc>
          <w:tcPr>
            <w:tcW w:w="6353" w:type="dxa"/>
            <w:tcBorders>
              <w:top w:val="nil"/>
              <w:left w:val="nil"/>
              <w:bottom w:val="nil"/>
              <w:right w:val="nil"/>
            </w:tcBorders>
            <w:shd w:val="clear" w:color="FFFFFF" w:fill="FFFFFF"/>
            <w:vAlign w:val="bottom"/>
            <w:hideMark/>
          </w:tcPr>
          <w:p w14:paraId="0A51EA57" w14:textId="77777777" w:rsidR="00A43992" w:rsidRDefault="00A43992" w:rsidP="007211E3">
            <w:pPr>
              <w:rPr>
                <w:rFonts w:ascii="Arial" w:hAnsi="Arial" w:cs="Arial"/>
                <w:b/>
                <w:bCs/>
                <w:sz w:val="18"/>
                <w:szCs w:val="18"/>
              </w:rPr>
            </w:pPr>
            <w:r>
              <w:rPr>
                <w:rFonts w:ascii="Arial" w:hAnsi="Arial" w:cs="Arial"/>
                <w:b/>
                <w:bCs/>
                <w:sz w:val="18"/>
                <w:szCs w:val="18"/>
              </w:rPr>
              <w:t> </w:t>
            </w:r>
          </w:p>
        </w:tc>
        <w:tc>
          <w:tcPr>
            <w:tcW w:w="1249" w:type="dxa"/>
            <w:tcBorders>
              <w:top w:val="nil"/>
              <w:left w:val="nil"/>
              <w:bottom w:val="nil"/>
              <w:right w:val="nil"/>
            </w:tcBorders>
            <w:shd w:val="clear" w:color="FFFFFF" w:fill="FFFFFF"/>
            <w:noWrap/>
            <w:vAlign w:val="bottom"/>
            <w:hideMark/>
          </w:tcPr>
          <w:p w14:paraId="0397B98A" w14:textId="77777777" w:rsidR="00A43992" w:rsidRDefault="00A43992" w:rsidP="007211E3">
            <w:pPr>
              <w:jc w:val="right"/>
              <w:rPr>
                <w:rFonts w:ascii="Arial" w:hAnsi="Arial" w:cs="Arial"/>
                <w:b/>
                <w:bCs/>
                <w:sz w:val="18"/>
                <w:szCs w:val="18"/>
              </w:rPr>
            </w:pPr>
            <w:r>
              <w:rPr>
                <w:rFonts w:ascii="Arial" w:hAnsi="Arial" w:cs="Arial"/>
                <w:b/>
                <w:bCs/>
                <w:sz w:val="18"/>
                <w:szCs w:val="18"/>
              </w:rPr>
              <w:t> </w:t>
            </w:r>
          </w:p>
        </w:tc>
        <w:tc>
          <w:tcPr>
            <w:tcW w:w="236" w:type="dxa"/>
            <w:tcBorders>
              <w:top w:val="nil"/>
              <w:left w:val="nil"/>
              <w:bottom w:val="nil"/>
              <w:right w:val="nil"/>
            </w:tcBorders>
            <w:shd w:val="clear" w:color="FFFFFF" w:fill="FFFFFF"/>
            <w:noWrap/>
            <w:vAlign w:val="bottom"/>
            <w:hideMark/>
          </w:tcPr>
          <w:p w14:paraId="6EB5A3DE" w14:textId="77777777" w:rsidR="00A43992" w:rsidRDefault="00A43992" w:rsidP="007211E3">
            <w:pPr>
              <w:rPr>
                <w:rFonts w:ascii="Arial" w:hAnsi="Arial" w:cs="Arial"/>
                <w:b/>
                <w:bCs/>
                <w:sz w:val="18"/>
                <w:szCs w:val="18"/>
              </w:rPr>
            </w:pPr>
            <w:r>
              <w:rPr>
                <w:rFonts w:ascii="Arial" w:hAnsi="Arial" w:cs="Arial"/>
                <w:b/>
                <w:bCs/>
                <w:sz w:val="18"/>
                <w:szCs w:val="18"/>
              </w:rPr>
              <w:t> </w:t>
            </w:r>
          </w:p>
        </w:tc>
        <w:tc>
          <w:tcPr>
            <w:tcW w:w="1249" w:type="dxa"/>
            <w:tcBorders>
              <w:top w:val="nil"/>
              <w:left w:val="nil"/>
              <w:bottom w:val="nil"/>
              <w:right w:val="nil"/>
            </w:tcBorders>
            <w:shd w:val="clear" w:color="FFFFFF" w:fill="FFFFFF"/>
            <w:noWrap/>
            <w:vAlign w:val="bottom"/>
            <w:hideMark/>
          </w:tcPr>
          <w:p w14:paraId="495C7974" w14:textId="77777777" w:rsidR="00A43992" w:rsidRDefault="00A43992" w:rsidP="007211E3">
            <w:pPr>
              <w:jc w:val="right"/>
              <w:rPr>
                <w:rFonts w:ascii="Arial" w:hAnsi="Arial" w:cs="Arial"/>
                <w:sz w:val="18"/>
                <w:szCs w:val="18"/>
              </w:rPr>
            </w:pPr>
            <w:r>
              <w:rPr>
                <w:rFonts w:ascii="Arial" w:hAnsi="Arial" w:cs="Arial"/>
                <w:sz w:val="18"/>
                <w:szCs w:val="18"/>
              </w:rPr>
              <w:t> </w:t>
            </w:r>
          </w:p>
        </w:tc>
      </w:tr>
    </w:tbl>
    <w:p w14:paraId="17BD6069" w14:textId="77777777" w:rsidR="00A43992" w:rsidRPr="006F0E92" w:rsidRDefault="00A43992" w:rsidP="00A43992">
      <w:pPr>
        <w:pBdr>
          <w:top w:val="single" w:sz="4" w:space="1" w:color="6B2976"/>
          <w:left w:val="single" w:sz="4" w:space="4" w:color="6B2976"/>
          <w:bottom w:val="single" w:sz="4" w:space="1" w:color="6B2976"/>
          <w:right w:val="single" w:sz="4" w:space="4" w:color="6B2976"/>
        </w:pBdr>
        <w:spacing w:line="120" w:lineRule="atLeast"/>
        <w:ind w:right="607"/>
        <w:rPr>
          <w:rFonts w:ascii="Arial" w:hAnsi="Arial" w:cs="Arial"/>
          <w:sz w:val="18"/>
          <w:szCs w:val="18"/>
        </w:rPr>
      </w:pPr>
      <w:bookmarkStart w:id="424" w:name="_Toc443469546"/>
      <w:bookmarkStart w:id="425" w:name="_Toc444065801"/>
      <w:bookmarkStart w:id="426" w:name="_Toc444079997"/>
      <w:r w:rsidRPr="006F0E92">
        <w:rPr>
          <w:rFonts w:ascii="Arial" w:hAnsi="Arial" w:cs="Arial"/>
          <w:b/>
          <w:bCs/>
          <w:sz w:val="18"/>
          <w:szCs w:val="18"/>
        </w:rPr>
        <w:t>Accounting Policy</w:t>
      </w:r>
    </w:p>
    <w:p w14:paraId="57285A69" w14:textId="77777777" w:rsidR="00A43992" w:rsidRPr="006F0E92" w:rsidRDefault="00A43992" w:rsidP="00A43992">
      <w:pPr>
        <w:pBdr>
          <w:top w:val="single" w:sz="4" w:space="1" w:color="6B2976"/>
          <w:left w:val="single" w:sz="4" w:space="4" w:color="6B2976"/>
          <w:bottom w:val="single" w:sz="4" w:space="1" w:color="6B2976"/>
          <w:right w:val="single" w:sz="4" w:space="4" w:color="6B2976"/>
        </w:pBdr>
        <w:spacing w:line="120" w:lineRule="atLeast"/>
        <w:ind w:right="607"/>
        <w:rPr>
          <w:rFonts w:ascii="Arial" w:hAnsi="Arial" w:cs="Arial"/>
          <w:sz w:val="18"/>
          <w:szCs w:val="18"/>
        </w:rPr>
      </w:pPr>
      <w:r w:rsidRPr="006F0E92">
        <w:rPr>
          <w:rFonts w:ascii="Arial" w:hAnsi="Arial" w:cs="Arial"/>
          <w:sz w:val="18"/>
          <w:szCs w:val="18"/>
        </w:rPr>
        <w:t xml:space="preserve">Liabilities for ‘short-term employee benefits’ (as defined in AASB 119 </w:t>
      </w:r>
      <w:r w:rsidRPr="006F0E92">
        <w:rPr>
          <w:rFonts w:ascii="Arial" w:hAnsi="Arial" w:cs="Arial"/>
          <w:i/>
          <w:sz w:val="18"/>
          <w:szCs w:val="18"/>
        </w:rPr>
        <w:t>Employee Benefits</w:t>
      </w:r>
      <w:r w:rsidRPr="006F0E92">
        <w:rPr>
          <w:rFonts w:ascii="Arial" w:hAnsi="Arial" w:cs="Arial"/>
          <w:sz w:val="18"/>
          <w:szCs w:val="18"/>
        </w:rPr>
        <w:t>) and termination benefits expected within twelve months of the end of</w:t>
      </w:r>
      <w:r>
        <w:rPr>
          <w:rFonts w:ascii="Arial" w:hAnsi="Arial" w:cs="Arial"/>
          <w:sz w:val="18"/>
          <w:szCs w:val="18"/>
        </w:rPr>
        <w:t xml:space="preserve"> the</w:t>
      </w:r>
      <w:r w:rsidRPr="006F0E92">
        <w:rPr>
          <w:rFonts w:ascii="Arial" w:hAnsi="Arial" w:cs="Arial"/>
          <w:sz w:val="18"/>
          <w:szCs w:val="18"/>
        </w:rPr>
        <w:t xml:space="preserve"> reporting period are measured at their nominal amounts. The nominal amount is calculated with regard to the rates expected to be paid on settlement of the liability.</w:t>
      </w:r>
      <w:r w:rsidRPr="006F0E92">
        <w:rPr>
          <w:rFonts w:ascii="Arial" w:hAnsi="Arial" w:cs="Arial"/>
          <w:sz w:val="18"/>
          <w:szCs w:val="18"/>
        </w:rPr>
        <w:tab/>
      </w:r>
    </w:p>
    <w:p w14:paraId="422145D0" w14:textId="77777777" w:rsidR="00A43992" w:rsidRPr="006F0E92" w:rsidRDefault="00A43992" w:rsidP="00A43992">
      <w:pPr>
        <w:pBdr>
          <w:top w:val="single" w:sz="4" w:space="1" w:color="6B2976"/>
          <w:left w:val="single" w:sz="4" w:space="4" w:color="6B2976"/>
          <w:bottom w:val="single" w:sz="4" w:space="1" w:color="6B2976"/>
          <w:right w:val="single" w:sz="4" w:space="4" w:color="6B2976"/>
        </w:pBdr>
        <w:spacing w:line="120" w:lineRule="atLeast"/>
        <w:ind w:right="607"/>
        <w:outlineLvl w:val="0"/>
        <w:rPr>
          <w:rFonts w:ascii="Arial" w:hAnsi="Arial" w:cs="Arial"/>
          <w:i/>
          <w:iCs/>
          <w:sz w:val="18"/>
          <w:szCs w:val="18"/>
          <w:u w:val="single"/>
        </w:rPr>
      </w:pPr>
      <w:r w:rsidRPr="006F0E92">
        <w:rPr>
          <w:rFonts w:ascii="Arial" w:hAnsi="Arial" w:cs="Arial"/>
          <w:i/>
          <w:iCs/>
          <w:sz w:val="18"/>
          <w:szCs w:val="18"/>
          <w:u w:val="single"/>
        </w:rPr>
        <w:t>Leave</w:t>
      </w:r>
    </w:p>
    <w:p w14:paraId="118003F9" w14:textId="77777777" w:rsidR="00A43992" w:rsidRPr="006F0E92" w:rsidRDefault="00A43992" w:rsidP="00A43992">
      <w:pPr>
        <w:pBdr>
          <w:top w:val="single" w:sz="4" w:space="1" w:color="6B2976"/>
          <w:left w:val="single" w:sz="4" w:space="4" w:color="6B2976"/>
          <w:bottom w:val="single" w:sz="4" w:space="1" w:color="6B2976"/>
          <w:right w:val="single" w:sz="4" w:space="4" w:color="6B2976"/>
        </w:pBdr>
        <w:spacing w:line="120" w:lineRule="atLeast"/>
        <w:ind w:right="607"/>
        <w:rPr>
          <w:rFonts w:ascii="Arial" w:hAnsi="Arial" w:cs="Arial"/>
          <w:sz w:val="18"/>
          <w:szCs w:val="18"/>
        </w:rPr>
      </w:pPr>
      <w:r w:rsidRPr="006F0E92">
        <w:rPr>
          <w:rFonts w:ascii="Arial" w:hAnsi="Arial" w:cs="Arial"/>
          <w:sz w:val="18"/>
          <w:szCs w:val="18"/>
        </w:rPr>
        <w:t>The liability for employee benefits includes provision for annual leave and long service leave.  No provision has been made for sick leave as all sick leave is non-vesting and the average sick leave taken in future years by employees of the Agency is estimated to be less than the annual entitlement for sick leave.</w:t>
      </w:r>
      <w:r w:rsidRPr="006F0E92">
        <w:rPr>
          <w:rFonts w:ascii="Arial" w:hAnsi="Arial" w:cs="Arial"/>
          <w:sz w:val="18"/>
          <w:szCs w:val="18"/>
        </w:rPr>
        <w:tab/>
      </w:r>
    </w:p>
    <w:p w14:paraId="77251EE7" w14:textId="77777777" w:rsidR="00A43992" w:rsidRPr="006F0E92" w:rsidRDefault="00A43992" w:rsidP="00A43992">
      <w:pPr>
        <w:pBdr>
          <w:top w:val="single" w:sz="4" w:space="1" w:color="6B2976"/>
          <w:left w:val="single" w:sz="4" w:space="4" w:color="6B2976"/>
          <w:bottom w:val="single" w:sz="4" w:space="1" w:color="6B2976"/>
          <w:right w:val="single" w:sz="4" w:space="4" w:color="6B2976"/>
        </w:pBdr>
        <w:spacing w:line="120" w:lineRule="atLeast"/>
        <w:ind w:right="607"/>
        <w:rPr>
          <w:rFonts w:ascii="Arial" w:hAnsi="Arial" w:cs="Arial"/>
          <w:sz w:val="18"/>
          <w:szCs w:val="18"/>
        </w:rPr>
      </w:pPr>
      <w:r w:rsidRPr="006F0E92">
        <w:rPr>
          <w:rFonts w:ascii="Arial" w:hAnsi="Arial" w:cs="Arial"/>
          <w:sz w:val="18"/>
          <w:szCs w:val="18"/>
        </w:rPr>
        <w:t>The leave liabilities are calculated on the basis of employees’ remuneration at the estimated salary rates that will be applied at the time the leave is taken, including the Agency’s employer superannuation contribution rates to the extent that the leave is likely to be taken during service rather than paid out on termination.</w:t>
      </w:r>
    </w:p>
    <w:p w14:paraId="661F6DA4" w14:textId="77777777" w:rsidR="00A43992" w:rsidRPr="006F0E92" w:rsidRDefault="00A43992" w:rsidP="00A43992">
      <w:pPr>
        <w:pBdr>
          <w:top w:val="single" w:sz="4" w:space="1" w:color="6B2976"/>
          <w:left w:val="single" w:sz="4" w:space="4" w:color="6B2976"/>
          <w:bottom w:val="single" w:sz="4" w:space="1" w:color="6B2976"/>
          <w:right w:val="single" w:sz="4" w:space="4" w:color="6B2976"/>
        </w:pBdr>
        <w:spacing w:line="120" w:lineRule="atLeast"/>
        <w:ind w:right="607"/>
        <w:rPr>
          <w:rFonts w:ascii="Arial" w:hAnsi="Arial" w:cs="Arial"/>
          <w:sz w:val="18"/>
          <w:szCs w:val="18"/>
        </w:rPr>
      </w:pPr>
      <w:r w:rsidRPr="006F0E92">
        <w:rPr>
          <w:rFonts w:ascii="Arial" w:hAnsi="Arial" w:cs="Arial"/>
          <w:sz w:val="18"/>
          <w:szCs w:val="18"/>
        </w:rPr>
        <w:t>The liability for long service leave has been determined by reference to the work of an actuary as at 30 June 201</w:t>
      </w:r>
      <w:r>
        <w:rPr>
          <w:rFonts w:ascii="Arial" w:hAnsi="Arial" w:cs="Arial"/>
          <w:sz w:val="18"/>
          <w:szCs w:val="18"/>
        </w:rPr>
        <w:t>6</w:t>
      </w:r>
      <w:r w:rsidRPr="006F0E92">
        <w:rPr>
          <w:rFonts w:ascii="Arial" w:hAnsi="Arial" w:cs="Arial"/>
          <w:sz w:val="18"/>
          <w:szCs w:val="18"/>
        </w:rPr>
        <w:t>. The estimate of the present value of the liability for long service leave takes into account attrition rates and pay increases through promotion and inflation.</w:t>
      </w:r>
      <w:r w:rsidRPr="006F0E92">
        <w:rPr>
          <w:rFonts w:ascii="Arial" w:hAnsi="Arial" w:cs="Arial"/>
          <w:sz w:val="18"/>
          <w:szCs w:val="18"/>
        </w:rPr>
        <w:tab/>
      </w:r>
    </w:p>
    <w:p w14:paraId="5EBE11CE" w14:textId="77777777" w:rsidR="00A43992" w:rsidRPr="006F0E92" w:rsidRDefault="00A43992" w:rsidP="00A43992">
      <w:pPr>
        <w:pBdr>
          <w:top w:val="single" w:sz="4" w:space="1" w:color="6B2976"/>
          <w:left w:val="single" w:sz="4" w:space="4" w:color="6B2976"/>
          <w:bottom w:val="single" w:sz="4" w:space="1" w:color="6B2976"/>
          <w:right w:val="single" w:sz="4" w:space="4" w:color="6B2976"/>
        </w:pBdr>
        <w:spacing w:line="120" w:lineRule="atLeast"/>
        <w:ind w:right="607"/>
        <w:outlineLvl w:val="0"/>
        <w:rPr>
          <w:rFonts w:ascii="Arial" w:hAnsi="Arial" w:cs="Arial"/>
          <w:i/>
          <w:iCs/>
          <w:sz w:val="18"/>
          <w:szCs w:val="18"/>
          <w:u w:val="single"/>
        </w:rPr>
      </w:pPr>
      <w:r w:rsidRPr="006F0E92">
        <w:rPr>
          <w:rFonts w:ascii="Arial" w:hAnsi="Arial" w:cs="Arial"/>
          <w:i/>
          <w:iCs/>
          <w:sz w:val="18"/>
          <w:szCs w:val="18"/>
          <w:u w:val="single"/>
        </w:rPr>
        <w:t>Superannuation</w:t>
      </w:r>
    </w:p>
    <w:p w14:paraId="3CBDF4E3" w14:textId="77777777" w:rsidR="00A43992" w:rsidRPr="006F0E92" w:rsidRDefault="00A43992" w:rsidP="00A43992">
      <w:pPr>
        <w:pBdr>
          <w:top w:val="single" w:sz="4" w:space="1" w:color="6B2976"/>
          <w:left w:val="single" w:sz="4" w:space="4" w:color="6B2976"/>
          <w:bottom w:val="single" w:sz="4" w:space="1" w:color="6B2976"/>
          <w:right w:val="single" w:sz="4" w:space="4" w:color="6B2976"/>
        </w:pBdr>
        <w:spacing w:line="120" w:lineRule="atLeast"/>
        <w:ind w:right="607"/>
        <w:rPr>
          <w:rFonts w:ascii="Arial" w:hAnsi="Arial" w:cs="Arial"/>
          <w:sz w:val="18"/>
          <w:szCs w:val="18"/>
        </w:rPr>
      </w:pPr>
      <w:r w:rsidRPr="006F0E92">
        <w:rPr>
          <w:rFonts w:ascii="Arial" w:hAnsi="Arial" w:cs="Arial"/>
          <w:sz w:val="18"/>
          <w:szCs w:val="18"/>
        </w:rPr>
        <w:t>Agency’s staff are members of the Commonwealth Superannuation Scheme (CSS), the Public Sector Superannuation Scheme (PSS)</w:t>
      </w:r>
      <w:r>
        <w:rPr>
          <w:rFonts w:ascii="Arial" w:hAnsi="Arial" w:cs="Arial"/>
          <w:sz w:val="18"/>
          <w:szCs w:val="18"/>
        </w:rPr>
        <w:t>,</w:t>
      </w:r>
      <w:r w:rsidRPr="006F0E92">
        <w:rPr>
          <w:rFonts w:ascii="Arial" w:hAnsi="Arial" w:cs="Arial"/>
          <w:sz w:val="18"/>
          <w:szCs w:val="18"/>
        </w:rPr>
        <w:t xml:space="preserve"> the PSS accumulation plan (</w:t>
      </w:r>
      <w:proofErr w:type="spellStart"/>
      <w:r w:rsidRPr="006F0E92">
        <w:rPr>
          <w:rFonts w:ascii="Arial" w:hAnsi="Arial" w:cs="Arial"/>
          <w:sz w:val="18"/>
          <w:szCs w:val="18"/>
        </w:rPr>
        <w:t>PSSap</w:t>
      </w:r>
      <w:proofErr w:type="spellEnd"/>
      <w:r w:rsidRPr="006F0E92">
        <w:rPr>
          <w:rFonts w:ascii="Arial" w:hAnsi="Arial" w:cs="Arial"/>
          <w:sz w:val="18"/>
          <w:szCs w:val="18"/>
        </w:rPr>
        <w:t>)</w:t>
      </w:r>
      <w:r>
        <w:rPr>
          <w:rFonts w:ascii="Arial" w:hAnsi="Arial" w:cs="Arial"/>
          <w:sz w:val="18"/>
          <w:szCs w:val="18"/>
        </w:rPr>
        <w:t xml:space="preserve"> or other superannuation funds held outside the Australian Government</w:t>
      </w:r>
      <w:r w:rsidRPr="006F0E92">
        <w:rPr>
          <w:rFonts w:ascii="Arial" w:hAnsi="Arial" w:cs="Arial"/>
          <w:sz w:val="18"/>
          <w:szCs w:val="18"/>
        </w:rPr>
        <w:t xml:space="preserve">. The CSS and PSS are defined benefit schemes for the Australian Government.  The </w:t>
      </w:r>
      <w:proofErr w:type="spellStart"/>
      <w:r w:rsidRPr="006F0E92">
        <w:rPr>
          <w:rFonts w:ascii="Arial" w:hAnsi="Arial" w:cs="Arial"/>
          <w:sz w:val="18"/>
          <w:szCs w:val="18"/>
        </w:rPr>
        <w:t>PSSap</w:t>
      </w:r>
      <w:proofErr w:type="spellEnd"/>
      <w:r w:rsidRPr="006F0E92">
        <w:rPr>
          <w:rFonts w:ascii="Arial" w:hAnsi="Arial" w:cs="Arial"/>
          <w:sz w:val="18"/>
          <w:szCs w:val="18"/>
        </w:rPr>
        <w:t xml:space="preserve"> is a defined contribution scheme.</w:t>
      </w:r>
      <w:r w:rsidRPr="006F0E92">
        <w:rPr>
          <w:rFonts w:ascii="Arial" w:hAnsi="Arial" w:cs="Arial"/>
          <w:sz w:val="18"/>
          <w:szCs w:val="18"/>
        </w:rPr>
        <w:tab/>
      </w:r>
    </w:p>
    <w:p w14:paraId="5E687544" w14:textId="77777777" w:rsidR="00A43992" w:rsidRPr="006F0E92" w:rsidRDefault="00A43992" w:rsidP="00A43992">
      <w:pPr>
        <w:pBdr>
          <w:top w:val="single" w:sz="4" w:space="1" w:color="6B2976"/>
          <w:left w:val="single" w:sz="4" w:space="4" w:color="6B2976"/>
          <w:bottom w:val="single" w:sz="4" w:space="1" w:color="6B2976"/>
          <w:right w:val="single" w:sz="4" w:space="4" w:color="6B2976"/>
        </w:pBdr>
        <w:spacing w:line="120" w:lineRule="atLeast"/>
        <w:ind w:right="607"/>
        <w:rPr>
          <w:rFonts w:ascii="Arial" w:hAnsi="Arial" w:cs="Arial"/>
          <w:sz w:val="18"/>
          <w:szCs w:val="18"/>
        </w:rPr>
      </w:pPr>
      <w:r w:rsidRPr="006F0E92">
        <w:rPr>
          <w:rFonts w:ascii="Arial" w:hAnsi="Arial" w:cs="Arial"/>
          <w:sz w:val="18"/>
          <w:szCs w:val="18"/>
        </w:rPr>
        <w:t xml:space="preserve">The liability for defined benefits is </w:t>
      </w:r>
      <w:proofErr w:type="spellStart"/>
      <w:r w:rsidRPr="006F0E92">
        <w:rPr>
          <w:rFonts w:ascii="Arial" w:hAnsi="Arial" w:cs="Arial"/>
          <w:sz w:val="18"/>
          <w:szCs w:val="18"/>
        </w:rPr>
        <w:t>recognised</w:t>
      </w:r>
      <w:proofErr w:type="spellEnd"/>
      <w:r w:rsidRPr="006F0E92">
        <w:rPr>
          <w:rFonts w:ascii="Arial" w:hAnsi="Arial" w:cs="Arial"/>
          <w:sz w:val="18"/>
          <w:szCs w:val="18"/>
        </w:rPr>
        <w:t xml:space="preserve"> in the financial statements of the Australian Government and is settled by the Australian Government in due course. This liability is reported in the Department of Finance administered schedules and notes.</w:t>
      </w:r>
      <w:r w:rsidRPr="006F0E92">
        <w:rPr>
          <w:rFonts w:ascii="Arial" w:hAnsi="Arial" w:cs="Arial"/>
          <w:sz w:val="18"/>
          <w:szCs w:val="18"/>
        </w:rPr>
        <w:tab/>
      </w:r>
    </w:p>
    <w:p w14:paraId="68679282" w14:textId="77777777" w:rsidR="00A43992" w:rsidRPr="006F0E92" w:rsidRDefault="00A43992" w:rsidP="00A43992">
      <w:pPr>
        <w:pBdr>
          <w:top w:val="single" w:sz="4" w:space="1" w:color="6B2976"/>
          <w:left w:val="single" w:sz="4" w:space="4" w:color="6B2976"/>
          <w:bottom w:val="single" w:sz="4" w:space="1" w:color="6B2976"/>
          <w:right w:val="single" w:sz="4" w:space="4" w:color="6B2976"/>
        </w:pBdr>
        <w:spacing w:line="120" w:lineRule="atLeast"/>
        <w:ind w:right="607"/>
        <w:rPr>
          <w:rFonts w:ascii="Arial" w:hAnsi="Arial" w:cs="Arial"/>
          <w:sz w:val="18"/>
          <w:szCs w:val="18"/>
        </w:rPr>
      </w:pPr>
      <w:r w:rsidRPr="006F0E92">
        <w:rPr>
          <w:rFonts w:ascii="Arial" w:hAnsi="Arial" w:cs="Arial"/>
          <w:sz w:val="18"/>
          <w:szCs w:val="18"/>
        </w:rPr>
        <w:t>The Agency makes employer contributions to the employees' superannuation scheme at rates determined by an actuary to be sufficient to meet the current cost to the Government. The Agency accounts for the contributions as if they were contributions to defined contribution plans.</w:t>
      </w:r>
      <w:r w:rsidRPr="006F0E92">
        <w:rPr>
          <w:rFonts w:ascii="Arial" w:hAnsi="Arial" w:cs="Arial"/>
          <w:sz w:val="18"/>
          <w:szCs w:val="18"/>
        </w:rPr>
        <w:tab/>
      </w:r>
    </w:p>
    <w:p w14:paraId="686C7923" w14:textId="77777777" w:rsidR="00A43992" w:rsidRPr="006F0E92" w:rsidRDefault="00A43992" w:rsidP="00A43992">
      <w:pPr>
        <w:pBdr>
          <w:top w:val="single" w:sz="4" w:space="1" w:color="6B2976"/>
          <w:left w:val="single" w:sz="4" w:space="4" w:color="6B2976"/>
          <w:bottom w:val="single" w:sz="4" w:space="1" w:color="6B2976"/>
          <w:right w:val="single" w:sz="4" w:space="4" w:color="6B2976"/>
        </w:pBdr>
        <w:spacing w:line="120" w:lineRule="atLeast"/>
        <w:ind w:right="607"/>
        <w:rPr>
          <w:rFonts w:ascii="Arial" w:hAnsi="Arial" w:cs="Arial"/>
          <w:sz w:val="18"/>
          <w:szCs w:val="18"/>
        </w:rPr>
      </w:pPr>
      <w:r w:rsidRPr="006F0E92">
        <w:rPr>
          <w:rFonts w:ascii="Arial" w:hAnsi="Arial" w:cs="Arial"/>
          <w:sz w:val="18"/>
          <w:szCs w:val="18"/>
        </w:rPr>
        <w:t xml:space="preserve">The liability for superannuation </w:t>
      </w:r>
      <w:proofErr w:type="spellStart"/>
      <w:r w:rsidRPr="006F0E92">
        <w:rPr>
          <w:rFonts w:ascii="Arial" w:hAnsi="Arial" w:cs="Arial"/>
          <w:sz w:val="18"/>
          <w:szCs w:val="18"/>
        </w:rPr>
        <w:t>recognised</w:t>
      </w:r>
      <w:proofErr w:type="spellEnd"/>
      <w:r w:rsidRPr="006F0E92">
        <w:rPr>
          <w:rFonts w:ascii="Arial" w:hAnsi="Arial" w:cs="Arial"/>
          <w:sz w:val="18"/>
          <w:szCs w:val="18"/>
        </w:rPr>
        <w:t xml:space="preserve"> as at the balance date represents outstanding superannuation contributions at the end of the period. </w:t>
      </w:r>
    </w:p>
    <w:p w14:paraId="247033D8" w14:textId="77777777" w:rsidR="00A43992" w:rsidRDefault="00A43992" w:rsidP="00A43992">
      <w:pPr>
        <w:pStyle w:val="ContinuedNotesHeading-Level1"/>
      </w:pPr>
      <w:r>
        <w:lastRenderedPageBreak/>
        <w:br w:type="page"/>
      </w:r>
    </w:p>
    <w:p w14:paraId="7F81B02B" w14:textId="77777777" w:rsidR="00A43992" w:rsidRDefault="00A43992" w:rsidP="00A43992">
      <w:pPr>
        <w:pStyle w:val="ContinuedNotesHeading-Level1"/>
      </w:pPr>
    </w:p>
    <w:p w14:paraId="2D50657F" w14:textId="77777777" w:rsidR="00A43992" w:rsidRPr="007204D0" w:rsidRDefault="00A43992" w:rsidP="00A43992">
      <w:pPr>
        <w:pStyle w:val="SubHeading"/>
      </w:pPr>
      <w:bookmarkStart w:id="427" w:name="_Toc447030547"/>
      <w:bookmarkStart w:id="428" w:name="_Toc447030699"/>
      <w:bookmarkStart w:id="429" w:name="_Toc447030792"/>
      <w:bookmarkStart w:id="430" w:name="_Toc456865068"/>
      <w:r w:rsidRPr="007204D0">
        <w:t>Senior Management Personnel Remuneration</w:t>
      </w:r>
      <w:bookmarkStart w:id="431" w:name="RANGE!D7:G32"/>
      <w:bookmarkStart w:id="432" w:name="RANGE!D22:J30"/>
      <w:bookmarkStart w:id="433" w:name="RANGE!D21:J29"/>
      <w:bookmarkEnd w:id="424"/>
      <w:bookmarkEnd w:id="425"/>
      <w:bookmarkEnd w:id="426"/>
      <w:bookmarkEnd w:id="427"/>
      <w:bookmarkEnd w:id="428"/>
      <w:bookmarkEnd w:id="429"/>
      <w:bookmarkEnd w:id="430"/>
      <w:bookmarkEnd w:id="431"/>
      <w:bookmarkEnd w:id="432"/>
      <w:bookmarkEnd w:id="433"/>
    </w:p>
    <w:tbl>
      <w:tblPr>
        <w:tblW w:w="9087" w:type="dxa"/>
        <w:tblInd w:w="80" w:type="dxa"/>
        <w:tblLayout w:type="fixed"/>
        <w:tblLook w:val="04A0" w:firstRow="1" w:lastRow="0" w:firstColumn="1" w:lastColumn="0" w:noHBand="0" w:noVBand="1"/>
      </w:tblPr>
      <w:tblGrid>
        <w:gridCol w:w="6353"/>
        <w:gridCol w:w="1249"/>
        <w:gridCol w:w="236"/>
        <w:gridCol w:w="1249"/>
      </w:tblGrid>
      <w:tr w:rsidR="00A43992" w14:paraId="46C50ECD" w14:textId="77777777" w:rsidTr="007211E3">
        <w:trPr>
          <w:trHeight w:val="255"/>
        </w:trPr>
        <w:tc>
          <w:tcPr>
            <w:tcW w:w="6353" w:type="dxa"/>
            <w:tcBorders>
              <w:top w:val="nil"/>
              <w:left w:val="nil"/>
              <w:bottom w:val="nil"/>
              <w:right w:val="nil"/>
            </w:tcBorders>
            <w:shd w:val="clear" w:color="FFFFFF" w:fill="FFFFFF"/>
            <w:noWrap/>
            <w:vAlign w:val="bottom"/>
            <w:hideMark/>
          </w:tcPr>
          <w:p w14:paraId="005286FE" w14:textId="77777777" w:rsidR="00A43992" w:rsidRDefault="00A43992" w:rsidP="007211E3">
            <w:pPr>
              <w:rPr>
                <w:rFonts w:ascii="Arial" w:hAnsi="Arial" w:cs="Arial"/>
                <w:b/>
                <w:bCs/>
                <w:sz w:val="18"/>
                <w:szCs w:val="18"/>
              </w:rPr>
            </w:pPr>
            <w:bookmarkStart w:id="434" w:name="Note_ERETABLE1" w:colFirst="0" w:colLast="0"/>
            <w:r>
              <w:rPr>
                <w:rFonts w:ascii="Arial" w:hAnsi="Arial" w:cs="Arial"/>
                <w:b/>
                <w:bCs/>
                <w:sz w:val="18"/>
                <w:szCs w:val="18"/>
              </w:rPr>
              <w:t> </w:t>
            </w:r>
          </w:p>
        </w:tc>
        <w:tc>
          <w:tcPr>
            <w:tcW w:w="1249" w:type="dxa"/>
            <w:tcBorders>
              <w:top w:val="nil"/>
              <w:left w:val="nil"/>
              <w:bottom w:val="nil"/>
              <w:right w:val="nil"/>
            </w:tcBorders>
            <w:shd w:val="clear" w:color="FFFFFF" w:fill="FFFFFF"/>
            <w:vAlign w:val="bottom"/>
            <w:hideMark/>
          </w:tcPr>
          <w:p w14:paraId="7911672E" w14:textId="77777777" w:rsidR="00A43992" w:rsidRDefault="00A43992" w:rsidP="007211E3">
            <w:pPr>
              <w:jc w:val="right"/>
              <w:rPr>
                <w:rFonts w:ascii="Arial" w:hAnsi="Arial" w:cs="Arial"/>
                <w:b/>
                <w:bCs/>
                <w:sz w:val="18"/>
                <w:szCs w:val="18"/>
              </w:rPr>
            </w:pPr>
            <w:r>
              <w:rPr>
                <w:rFonts w:ascii="Arial" w:hAnsi="Arial" w:cs="Arial"/>
                <w:b/>
                <w:bCs/>
                <w:sz w:val="18"/>
                <w:szCs w:val="18"/>
              </w:rPr>
              <w:t>2016</w:t>
            </w:r>
          </w:p>
        </w:tc>
        <w:tc>
          <w:tcPr>
            <w:tcW w:w="236" w:type="dxa"/>
            <w:tcBorders>
              <w:top w:val="nil"/>
              <w:left w:val="nil"/>
              <w:bottom w:val="nil"/>
              <w:right w:val="nil"/>
            </w:tcBorders>
            <w:shd w:val="clear" w:color="FFFFFF" w:fill="FFFFFF"/>
            <w:noWrap/>
            <w:vAlign w:val="bottom"/>
            <w:hideMark/>
          </w:tcPr>
          <w:p w14:paraId="2BB056A9" w14:textId="77777777" w:rsidR="00A43992" w:rsidRDefault="00A43992" w:rsidP="007211E3">
            <w:pPr>
              <w:rPr>
                <w:rFonts w:ascii="Arial" w:hAnsi="Arial" w:cs="Arial"/>
                <w:sz w:val="18"/>
                <w:szCs w:val="18"/>
              </w:rPr>
            </w:pPr>
            <w:r>
              <w:rPr>
                <w:rFonts w:ascii="Arial" w:hAnsi="Arial" w:cs="Arial"/>
                <w:sz w:val="18"/>
                <w:szCs w:val="18"/>
              </w:rPr>
              <w:t> </w:t>
            </w:r>
          </w:p>
        </w:tc>
        <w:tc>
          <w:tcPr>
            <w:tcW w:w="1249" w:type="dxa"/>
            <w:tcBorders>
              <w:top w:val="nil"/>
              <w:left w:val="nil"/>
              <w:bottom w:val="nil"/>
              <w:right w:val="nil"/>
            </w:tcBorders>
            <w:shd w:val="clear" w:color="FFFFFF" w:fill="FFFFFF"/>
            <w:vAlign w:val="bottom"/>
            <w:hideMark/>
          </w:tcPr>
          <w:p w14:paraId="26F95881" w14:textId="77777777" w:rsidR="00A43992" w:rsidRDefault="00A43992" w:rsidP="007211E3">
            <w:pPr>
              <w:jc w:val="right"/>
              <w:rPr>
                <w:rFonts w:ascii="Arial" w:hAnsi="Arial" w:cs="Arial"/>
                <w:sz w:val="18"/>
                <w:szCs w:val="18"/>
              </w:rPr>
            </w:pPr>
            <w:r>
              <w:rPr>
                <w:rFonts w:ascii="Arial" w:hAnsi="Arial" w:cs="Arial"/>
                <w:sz w:val="18"/>
                <w:szCs w:val="18"/>
              </w:rPr>
              <w:t>2015</w:t>
            </w:r>
          </w:p>
        </w:tc>
      </w:tr>
      <w:bookmarkEnd w:id="434"/>
      <w:tr w:rsidR="00A43992" w14:paraId="753A7A6F" w14:textId="77777777" w:rsidTr="007211E3">
        <w:trPr>
          <w:trHeight w:val="255"/>
        </w:trPr>
        <w:tc>
          <w:tcPr>
            <w:tcW w:w="6353" w:type="dxa"/>
            <w:tcBorders>
              <w:top w:val="nil"/>
              <w:left w:val="nil"/>
              <w:bottom w:val="nil"/>
              <w:right w:val="nil"/>
            </w:tcBorders>
            <w:shd w:val="clear" w:color="FFFFFF" w:fill="FFFFFF"/>
            <w:noWrap/>
            <w:vAlign w:val="bottom"/>
            <w:hideMark/>
          </w:tcPr>
          <w:p w14:paraId="10D5A252" w14:textId="77777777" w:rsidR="00A43992" w:rsidRDefault="00A43992" w:rsidP="007211E3">
            <w:pPr>
              <w:rPr>
                <w:rFonts w:ascii="Arial" w:hAnsi="Arial" w:cs="Arial"/>
                <w:sz w:val="18"/>
                <w:szCs w:val="18"/>
              </w:rPr>
            </w:pPr>
            <w:r>
              <w:rPr>
                <w:rFonts w:ascii="Arial" w:hAnsi="Arial" w:cs="Arial"/>
                <w:sz w:val="18"/>
                <w:szCs w:val="18"/>
              </w:rPr>
              <w:t> </w:t>
            </w:r>
          </w:p>
        </w:tc>
        <w:tc>
          <w:tcPr>
            <w:tcW w:w="1249" w:type="dxa"/>
            <w:tcBorders>
              <w:top w:val="nil"/>
              <w:left w:val="nil"/>
              <w:bottom w:val="nil"/>
              <w:right w:val="nil"/>
            </w:tcBorders>
            <w:shd w:val="clear" w:color="FFFFFF" w:fill="FFFFFF"/>
            <w:vAlign w:val="bottom"/>
            <w:hideMark/>
          </w:tcPr>
          <w:p w14:paraId="6EC0E114" w14:textId="77777777" w:rsidR="00A43992" w:rsidRDefault="00A43992" w:rsidP="007211E3">
            <w:pPr>
              <w:jc w:val="right"/>
              <w:rPr>
                <w:rFonts w:ascii="Arial" w:hAnsi="Arial" w:cs="Arial"/>
                <w:b/>
                <w:bCs/>
                <w:sz w:val="18"/>
                <w:szCs w:val="18"/>
              </w:rPr>
            </w:pPr>
            <w:r>
              <w:rPr>
                <w:rFonts w:ascii="Arial" w:hAnsi="Arial" w:cs="Arial"/>
                <w:b/>
                <w:bCs/>
                <w:sz w:val="18"/>
                <w:szCs w:val="18"/>
              </w:rPr>
              <w:t>$'000</w:t>
            </w:r>
          </w:p>
        </w:tc>
        <w:tc>
          <w:tcPr>
            <w:tcW w:w="236" w:type="dxa"/>
            <w:tcBorders>
              <w:top w:val="nil"/>
              <w:left w:val="nil"/>
              <w:bottom w:val="nil"/>
              <w:right w:val="nil"/>
            </w:tcBorders>
            <w:shd w:val="clear" w:color="FFFFFF" w:fill="FFFFFF"/>
            <w:noWrap/>
            <w:vAlign w:val="bottom"/>
            <w:hideMark/>
          </w:tcPr>
          <w:p w14:paraId="7887AC6E" w14:textId="77777777" w:rsidR="00A43992" w:rsidRDefault="00A43992" w:rsidP="007211E3">
            <w:pPr>
              <w:rPr>
                <w:rFonts w:ascii="Arial" w:hAnsi="Arial" w:cs="Arial"/>
                <w:sz w:val="18"/>
                <w:szCs w:val="18"/>
              </w:rPr>
            </w:pPr>
            <w:r>
              <w:rPr>
                <w:rFonts w:ascii="Arial" w:hAnsi="Arial" w:cs="Arial"/>
                <w:sz w:val="18"/>
                <w:szCs w:val="18"/>
              </w:rPr>
              <w:t> </w:t>
            </w:r>
          </w:p>
        </w:tc>
        <w:tc>
          <w:tcPr>
            <w:tcW w:w="1249" w:type="dxa"/>
            <w:tcBorders>
              <w:top w:val="nil"/>
              <w:left w:val="nil"/>
              <w:bottom w:val="nil"/>
              <w:right w:val="nil"/>
            </w:tcBorders>
            <w:shd w:val="clear" w:color="FFFFFF" w:fill="FFFFFF"/>
            <w:vAlign w:val="bottom"/>
            <w:hideMark/>
          </w:tcPr>
          <w:p w14:paraId="07EEF505" w14:textId="77777777" w:rsidR="00A43992" w:rsidRDefault="00A43992" w:rsidP="007211E3">
            <w:pPr>
              <w:jc w:val="right"/>
              <w:rPr>
                <w:rFonts w:ascii="Arial" w:hAnsi="Arial" w:cs="Arial"/>
                <w:sz w:val="18"/>
                <w:szCs w:val="18"/>
              </w:rPr>
            </w:pPr>
            <w:r>
              <w:rPr>
                <w:rFonts w:ascii="Arial" w:hAnsi="Arial" w:cs="Arial"/>
                <w:sz w:val="18"/>
                <w:szCs w:val="18"/>
              </w:rPr>
              <w:t>$'000</w:t>
            </w:r>
          </w:p>
        </w:tc>
      </w:tr>
      <w:tr w:rsidR="00A43992" w14:paraId="189C20C5" w14:textId="77777777" w:rsidTr="007211E3">
        <w:trPr>
          <w:trHeight w:val="255"/>
        </w:trPr>
        <w:tc>
          <w:tcPr>
            <w:tcW w:w="6353" w:type="dxa"/>
            <w:tcBorders>
              <w:top w:val="nil"/>
              <w:left w:val="nil"/>
              <w:bottom w:val="nil"/>
              <w:right w:val="nil"/>
            </w:tcBorders>
            <w:shd w:val="clear" w:color="FFFFFF" w:fill="FFFFFF"/>
            <w:vAlign w:val="bottom"/>
            <w:hideMark/>
          </w:tcPr>
          <w:p w14:paraId="5F77E850" w14:textId="77777777" w:rsidR="00A43992" w:rsidRDefault="00A43992" w:rsidP="007211E3">
            <w:pPr>
              <w:rPr>
                <w:rFonts w:ascii="Arial" w:hAnsi="Arial" w:cs="Arial"/>
                <w:b/>
                <w:bCs/>
                <w:sz w:val="18"/>
                <w:szCs w:val="18"/>
              </w:rPr>
            </w:pPr>
            <w:r>
              <w:rPr>
                <w:rFonts w:ascii="Arial" w:hAnsi="Arial" w:cs="Arial"/>
                <w:b/>
                <w:bCs/>
                <w:sz w:val="18"/>
                <w:szCs w:val="18"/>
              </w:rPr>
              <w:t>Short-term employee benefits</w:t>
            </w:r>
          </w:p>
        </w:tc>
        <w:tc>
          <w:tcPr>
            <w:tcW w:w="1249" w:type="dxa"/>
            <w:tcBorders>
              <w:top w:val="nil"/>
              <w:left w:val="nil"/>
              <w:bottom w:val="nil"/>
              <w:right w:val="nil"/>
            </w:tcBorders>
            <w:shd w:val="clear" w:color="FFFFFF" w:fill="FFFFFF"/>
            <w:noWrap/>
            <w:vAlign w:val="bottom"/>
            <w:hideMark/>
          </w:tcPr>
          <w:p w14:paraId="161825CC" w14:textId="77777777" w:rsidR="00A43992" w:rsidRDefault="00A43992" w:rsidP="007211E3">
            <w:pPr>
              <w:rPr>
                <w:rFonts w:ascii="Arial" w:hAnsi="Arial" w:cs="Arial"/>
                <w:b/>
                <w:bCs/>
                <w:sz w:val="18"/>
                <w:szCs w:val="18"/>
              </w:rPr>
            </w:pPr>
            <w:r>
              <w:rPr>
                <w:rFonts w:ascii="Arial" w:hAnsi="Arial" w:cs="Arial"/>
                <w:b/>
                <w:bCs/>
                <w:sz w:val="18"/>
                <w:szCs w:val="18"/>
              </w:rPr>
              <w:t> </w:t>
            </w:r>
          </w:p>
        </w:tc>
        <w:tc>
          <w:tcPr>
            <w:tcW w:w="236" w:type="dxa"/>
            <w:tcBorders>
              <w:top w:val="nil"/>
              <w:left w:val="nil"/>
              <w:bottom w:val="nil"/>
              <w:right w:val="nil"/>
            </w:tcBorders>
            <w:shd w:val="clear" w:color="FFFFFF" w:fill="FFFFFF"/>
            <w:noWrap/>
            <w:vAlign w:val="bottom"/>
            <w:hideMark/>
          </w:tcPr>
          <w:p w14:paraId="376EC9B1" w14:textId="77777777" w:rsidR="00A43992" w:rsidRDefault="00A43992" w:rsidP="007211E3">
            <w:pPr>
              <w:rPr>
                <w:rFonts w:ascii="Arial" w:hAnsi="Arial" w:cs="Arial"/>
                <w:b/>
                <w:bCs/>
                <w:sz w:val="18"/>
                <w:szCs w:val="18"/>
              </w:rPr>
            </w:pPr>
            <w:r>
              <w:rPr>
                <w:rFonts w:ascii="Arial" w:hAnsi="Arial" w:cs="Arial"/>
                <w:b/>
                <w:bCs/>
                <w:sz w:val="18"/>
                <w:szCs w:val="18"/>
              </w:rPr>
              <w:t> </w:t>
            </w:r>
          </w:p>
        </w:tc>
        <w:tc>
          <w:tcPr>
            <w:tcW w:w="1249" w:type="dxa"/>
            <w:tcBorders>
              <w:top w:val="nil"/>
              <w:left w:val="nil"/>
              <w:bottom w:val="nil"/>
              <w:right w:val="nil"/>
            </w:tcBorders>
            <w:shd w:val="clear" w:color="FFFFFF" w:fill="FFFFFF"/>
            <w:noWrap/>
            <w:vAlign w:val="bottom"/>
            <w:hideMark/>
          </w:tcPr>
          <w:p w14:paraId="303C6930" w14:textId="77777777" w:rsidR="00A43992" w:rsidRDefault="00A43992" w:rsidP="007211E3">
            <w:pPr>
              <w:rPr>
                <w:rFonts w:ascii="Arial" w:hAnsi="Arial" w:cs="Arial"/>
                <w:sz w:val="18"/>
                <w:szCs w:val="18"/>
              </w:rPr>
            </w:pPr>
            <w:r>
              <w:rPr>
                <w:rFonts w:ascii="Arial" w:hAnsi="Arial" w:cs="Arial"/>
                <w:sz w:val="18"/>
                <w:szCs w:val="18"/>
              </w:rPr>
              <w:t> </w:t>
            </w:r>
          </w:p>
        </w:tc>
      </w:tr>
      <w:tr w:rsidR="00A43992" w14:paraId="25FAB11B" w14:textId="77777777" w:rsidTr="007211E3">
        <w:trPr>
          <w:trHeight w:val="255"/>
        </w:trPr>
        <w:tc>
          <w:tcPr>
            <w:tcW w:w="6353" w:type="dxa"/>
            <w:tcBorders>
              <w:top w:val="nil"/>
              <w:left w:val="nil"/>
              <w:bottom w:val="nil"/>
              <w:right w:val="nil"/>
            </w:tcBorders>
            <w:shd w:val="clear" w:color="FFFFFF" w:fill="FFFFFF"/>
            <w:noWrap/>
            <w:vAlign w:val="bottom"/>
            <w:hideMark/>
          </w:tcPr>
          <w:p w14:paraId="38A1E03C" w14:textId="77777777" w:rsidR="00A43992" w:rsidRDefault="00A43992" w:rsidP="007211E3">
            <w:pPr>
              <w:ind w:firstLineChars="100" w:firstLine="180"/>
              <w:rPr>
                <w:rFonts w:ascii="Arial" w:hAnsi="Arial" w:cs="Arial"/>
                <w:sz w:val="18"/>
                <w:szCs w:val="18"/>
              </w:rPr>
            </w:pPr>
            <w:r>
              <w:rPr>
                <w:rFonts w:ascii="Arial" w:hAnsi="Arial" w:cs="Arial"/>
                <w:sz w:val="18"/>
                <w:szCs w:val="18"/>
              </w:rPr>
              <w:t>Salary</w:t>
            </w:r>
          </w:p>
        </w:tc>
        <w:tc>
          <w:tcPr>
            <w:tcW w:w="1249" w:type="dxa"/>
            <w:tcBorders>
              <w:top w:val="nil"/>
              <w:left w:val="nil"/>
              <w:bottom w:val="nil"/>
              <w:right w:val="nil"/>
            </w:tcBorders>
            <w:shd w:val="clear" w:color="FFFFFF" w:fill="FFFFFF"/>
            <w:noWrap/>
            <w:vAlign w:val="bottom"/>
            <w:hideMark/>
          </w:tcPr>
          <w:p w14:paraId="35244041" w14:textId="77777777" w:rsidR="00A43992" w:rsidRPr="00267088" w:rsidRDefault="00A43992" w:rsidP="007211E3">
            <w:pPr>
              <w:jc w:val="right"/>
              <w:rPr>
                <w:rFonts w:ascii="Arial" w:hAnsi="Arial" w:cs="Arial"/>
                <w:b/>
                <w:bCs/>
                <w:sz w:val="18"/>
                <w:szCs w:val="18"/>
              </w:rPr>
            </w:pPr>
            <w:r w:rsidRPr="00267088">
              <w:rPr>
                <w:rFonts w:ascii="Arial" w:hAnsi="Arial" w:cs="Arial"/>
                <w:b/>
                <w:bCs/>
                <w:sz w:val="18"/>
                <w:szCs w:val="18"/>
              </w:rPr>
              <w:t>9,535</w:t>
            </w:r>
          </w:p>
        </w:tc>
        <w:tc>
          <w:tcPr>
            <w:tcW w:w="236" w:type="dxa"/>
            <w:tcBorders>
              <w:top w:val="nil"/>
              <w:left w:val="nil"/>
              <w:bottom w:val="nil"/>
              <w:right w:val="nil"/>
            </w:tcBorders>
            <w:shd w:val="clear" w:color="FFFFFF" w:fill="FFFFFF"/>
            <w:noWrap/>
            <w:vAlign w:val="bottom"/>
            <w:hideMark/>
          </w:tcPr>
          <w:p w14:paraId="4AC1CB04" w14:textId="77777777" w:rsidR="00A43992" w:rsidRDefault="00A43992" w:rsidP="007211E3">
            <w:pPr>
              <w:rPr>
                <w:rFonts w:ascii="Arial" w:hAnsi="Arial" w:cs="Arial"/>
                <w:b/>
                <w:bCs/>
                <w:color w:val="00B050"/>
                <w:sz w:val="18"/>
                <w:szCs w:val="18"/>
              </w:rPr>
            </w:pPr>
            <w:r>
              <w:rPr>
                <w:rFonts w:ascii="Arial" w:hAnsi="Arial" w:cs="Arial"/>
                <w:b/>
                <w:bCs/>
                <w:color w:val="00B050"/>
                <w:sz w:val="18"/>
                <w:szCs w:val="18"/>
              </w:rPr>
              <w:t> </w:t>
            </w:r>
          </w:p>
        </w:tc>
        <w:tc>
          <w:tcPr>
            <w:tcW w:w="1249" w:type="dxa"/>
            <w:tcBorders>
              <w:top w:val="nil"/>
              <w:left w:val="nil"/>
              <w:bottom w:val="nil"/>
              <w:right w:val="nil"/>
            </w:tcBorders>
            <w:shd w:val="clear" w:color="FFFFFF" w:fill="FFFFFF"/>
            <w:noWrap/>
            <w:vAlign w:val="bottom"/>
            <w:hideMark/>
          </w:tcPr>
          <w:p w14:paraId="07962449" w14:textId="77777777" w:rsidR="00A43992" w:rsidRDefault="00A43992" w:rsidP="007211E3">
            <w:pPr>
              <w:jc w:val="right"/>
              <w:rPr>
                <w:rFonts w:ascii="Arial" w:hAnsi="Arial" w:cs="Arial"/>
                <w:sz w:val="18"/>
                <w:szCs w:val="18"/>
              </w:rPr>
            </w:pPr>
            <w:r>
              <w:rPr>
                <w:rFonts w:ascii="Arial" w:hAnsi="Arial" w:cs="Arial"/>
                <w:sz w:val="18"/>
                <w:szCs w:val="18"/>
              </w:rPr>
              <w:t>7,240</w:t>
            </w:r>
          </w:p>
        </w:tc>
      </w:tr>
      <w:tr w:rsidR="00A43992" w14:paraId="6F2984AF" w14:textId="77777777" w:rsidTr="007211E3">
        <w:trPr>
          <w:trHeight w:val="270"/>
        </w:trPr>
        <w:tc>
          <w:tcPr>
            <w:tcW w:w="6353" w:type="dxa"/>
            <w:tcBorders>
              <w:top w:val="nil"/>
              <w:left w:val="nil"/>
              <w:bottom w:val="nil"/>
              <w:right w:val="nil"/>
            </w:tcBorders>
            <w:shd w:val="clear" w:color="FFFFFF" w:fill="FFFFFF"/>
            <w:noWrap/>
            <w:vAlign w:val="bottom"/>
            <w:hideMark/>
          </w:tcPr>
          <w:p w14:paraId="1D690F35" w14:textId="77777777" w:rsidR="00A43992" w:rsidRDefault="00A43992" w:rsidP="007211E3">
            <w:pPr>
              <w:ind w:firstLineChars="100" w:firstLine="180"/>
              <w:rPr>
                <w:rFonts w:ascii="Arial" w:hAnsi="Arial" w:cs="Arial"/>
                <w:sz w:val="18"/>
                <w:szCs w:val="18"/>
              </w:rPr>
            </w:pPr>
            <w:r>
              <w:rPr>
                <w:rFonts w:ascii="Arial" w:hAnsi="Arial" w:cs="Arial"/>
                <w:sz w:val="18"/>
                <w:szCs w:val="18"/>
              </w:rPr>
              <w:t>Other allowances</w:t>
            </w:r>
            <w:r>
              <w:rPr>
                <w:rFonts w:ascii="Arial" w:hAnsi="Arial" w:cs="Arial"/>
                <w:sz w:val="18"/>
                <w:szCs w:val="18"/>
                <w:vertAlign w:val="superscript"/>
              </w:rPr>
              <w:t>1</w:t>
            </w:r>
          </w:p>
        </w:tc>
        <w:tc>
          <w:tcPr>
            <w:tcW w:w="1249" w:type="dxa"/>
            <w:tcBorders>
              <w:top w:val="nil"/>
              <w:left w:val="nil"/>
              <w:bottom w:val="nil"/>
              <w:right w:val="nil"/>
            </w:tcBorders>
            <w:shd w:val="clear" w:color="FFFFFF" w:fill="FFFFFF"/>
            <w:noWrap/>
            <w:vAlign w:val="bottom"/>
            <w:hideMark/>
          </w:tcPr>
          <w:p w14:paraId="62793925" w14:textId="77777777" w:rsidR="00A43992" w:rsidRPr="00267088" w:rsidRDefault="00A43992" w:rsidP="007211E3">
            <w:pPr>
              <w:jc w:val="right"/>
              <w:rPr>
                <w:rFonts w:ascii="Arial" w:hAnsi="Arial" w:cs="Arial"/>
                <w:b/>
                <w:bCs/>
                <w:sz w:val="18"/>
                <w:szCs w:val="18"/>
              </w:rPr>
            </w:pPr>
            <w:r w:rsidRPr="00267088">
              <w:rPr>
                <w:rFonts w:ascii="Arial" w:hAnsi="Arial" w:cs="Arial"/>
                <w:b/>
                <w:bCs/>
                <w:sz w:val="18"/>
                <w:szCs w:val="18"/>
              </w:rPr>
              <w:t>1,285</w:t>
            </w:r>
          </w:p>
        </w:tc>
        <w:tc>
          <w:tcPr>
            <w:tcW w:w="236" w:type="dxa"/>
            <w:tcBorders>
              <w:top w:val="nil"/>
              <w:left w:val="nil"/>
              <w:bottom w:val="nil"/>
              <w:right w:val="nil"/>
            </w:tcBorders>
            <w:shd w:val="clear" w:color="FFFFFF" w:fill="FFFFFF"/>
            <w:noWrap/>
            <w:vAlign w:val="bottom"/>
            <w:hideMark/>
          </w:tcPr>
          <w:p w14:paraId="5F9238ED" w14:textId="77777777" w:rsidR="00A43992" w:rsidRDefault="00A43992" w:rsidP="007211E3">
            <w:pPr>
              <w:rPr>
                <w:rFonts w:ascii="Arial" w:hAnsi="Arial" w:cs="Arial"/>
                <w:b/>
                <w:bCs/>
                <w:color w:val="00B050"/>
                <w:sz w:val="18"/>
                <w:szCs w:val="18"/>
              </w:rPr>
            </w:pPr>
            <w:r>
              <w:rPr>
                <w:rFonts w:ascii="Arial" w:hAnsi="Arial" w:cs="Arial"/>
                <w:b/>
                <w:bCs/>
                <w:color w:val="00B050"/>
                <w:sz w:val="18"/>
                <w:szCs w:val="18"/>
              </w:rPr>
              <w:t> </w:t>
            </w:r>
          </w:p>
        </w:tc>
        <w:tc>
          <w:tcPr>
            <w:tcW w:w="1249" w:type="dxa"/>
            <w:tcBorders>
              <w:top w:val="nil"/>
              <w:left w:val="nil"/>
              <w:bottom w:val="nil"/>
              <w:right w:val="nil"/>
            </w:tcBorders>
            <w:shd w:val="clear" w:color="FFFFFF" w:fill="FFFFFF"/>
            <w:noWrap/>
            <w:vAlign w:val="bottom"/>
            <w:hideMark/>
          </w:tcPr>
          <w:p w14:paraId="079EB8F0" w14:textId="77777777" w:rsidR="00A43992" w:rsidRDefault="00A43992" w:rsidP="007211E3">
            <w:pPr>
              <w:jc w:val="right"/>
              <w:rPr>
                <w:rFonts w:ascii="Arial" w:hAnsi="Arial" w:cs="Arial"/>
                <w:sz w:val="18"/>
                <w:szCs w:val="18"/>
              </w:rPr>
            </w:pPr>
            <w:r>
              <w:rPr>
                <w:rFonts w:ascii="Arial" w:hAnsi="Arial" w:cs="Arial"/>
                <w:sz w:val="18"/>
                <w:szCs w:val="18"/>
              </w:rPr>
              <w:t>638</w:t>
            </w:r>
          </w:p>
        </w:tc>
      </w:tr>
      <w:tr w:rsidR="00A43992" w14:paraId="62602323" w14:textId="77777777" w:rsidTr="007211E3">
        <w:trPr>
          <w:trHeight w:val="255"/>
        </w:trPr>
        <w:tc>
          <w:tcPr>
            <w:tcW w:w="6353" w:type="dxa"/>
            <w:tcBorders>
              <w:top w:val="nil"/>
              <w:left w:val="nil"/>
              <w:bottom w:val="nil"/>
              <w:right w:val="nil"/>
            </w:tcBorders>
            <w:shd w:val="clear" w:color="FFFFFF" w:fill="FFFFFF"/>
            <w:vAlign w:val="bottom"/>
            <w:hideMark/>
          </w:tcPr>
          <w:p w14:paraId="26D421F1" w14:textId="77777777" w:rsidR="00A43992" w:rsidRDefault="00A43992" w:rsidP="007211E3">
            <w:pPr>
              <w:rPr>
                <w:rFonts w:ascii="Arial" w:hAnsi="Arial" w:cs="Arial"/>
                <w:b/>
                <w:bCs/>
                <w:sz w:val="18"/>
                <w:szCs w:val="18"/>
              </w:rPr>
            </w:pPr>
            <w:r>
              <w:rPr>
                <w:rFonts w:ascii="Arial" w:hAnsi="Arial" w:cs="Arial"/>
                <w:b/>
                <w:bCs/>
                <w:sz w:val="18"/>
                <w:szCs w:val="18"/>
              </w:rPr>
              <w:t>Total short-term employee benefits</w:t>
            </w:r>
          </w:p>
        </w:tc>
        <w:tc>
          <w:tcPr>
            <w:tcW w:w="1249" w:type="dxa"/>
            <w:tcBorders>
              <w:top w:val="single" w:sz="4" w:space="0" w:color="auto"/>
              <w:left w:val="nil"/>
              <w:bottom w:val="single" w:sz="4" w:space="0" w:color="auto"/>
              <w:right w:val="nil"/>
            </w:tcBorders>
            <w:shd w:val="clear" w:color="FFFFFF" w:fill="FFFFFF"/>
            <w:noWrap/>
            <w:vAlign w:val="bottom"/>
            <w:hideMark/>
          </w:tcPr>
          <w:p w14:paraId="3326D179" w14:textId="77777777" w:rsidR="00A43992" w:rsidRPr="00267088" w:rsidRDefault="00A43992" w:rsidP="007211E3">
            <w:pPr>
              <w:jc w:val="right"/>
              <w:rPr>
                <w:rFonts w:ascii="Arial" w:hAnsi="Arial" w:cs="Arial"/>
                <w:b/>
                <w:bCs/>
                <w:sz w:val="18"/>
                <w:szCs w:val="18"/>
              </w:rPr>
            </w:pPr>
            <w:r w:rsidRPr="00267088">
              <w:rPr>
                <w:rFonts w:ascii="Arial" w:hAnsi="Arial" w:cs="Arial"/>
                <w:b/>
                <w:bCs/>
                <w:sz w:val="18"/>
                <w:szCs w:val="18"/>
              </w:rPr>
              <w:t>10,820</w:t>
            </w:r>
          </w:p>
        </w:tc>
        <w:tc>
          <w:tcPr>
            <w:tcW w:w="236" w:type="dxa"/>
            <w:tcBorders>
              <w:top w:val="nil"/>
              <w:left w:val="nil"/>
              <w:bottom w:val="nil"/>
              <w:right w:val="nil"/>
            </w:tcBorders>
            <w:shd w:val="clear" w:color="FFFFFF" w:fill="FFFFFF"/>
            <w:noWrap/>
            <w:vAlign w:val="bottom"/>
            <w:hideMark/>
          </w:tcPr>
          <w:p w14:paraId="733EEE43" w14:textId="77777777" w:rsidR="00A43992" w:rsidRDefault="00A43992" w:rsidP="007211E3">
            <w:pPr>
              <w:rPr>
                <w:rFonts w:ascii="Arial" w:hAnsi="Arial" w:cs="Arial"/>
                <w:b/>
                <w:bCs/>
                <w:sz w:val="18"/>
                <w:szCs w:val="18"/>
              </w:rPr>
            </w:pPr>
            <w:r>
              <w:rPr>
                <w:rFonts w:ascii="Arial" w:hAnsi="Arial" w:cs="Arial"/>
                <w:b/>
                <w:bCs/>
                <w:sz w:val="18"/>
                <w:szCs w:val="18"/>
              </w:rPr>
              <w:t> </w:t>
            </w:r>
          </w:p>
        </w:tc>
        <w:tc>
          <w:tcPr>
            <w:tcW w:w="1249" w:type="dxa"/>
            <w:tcBorders>
              <w:top w:val="single" w:sz="4" w:space="0" w:color="auto"/>
              <w:left w:val="nil"/>
              <w:bottom w:val="single" w:sz="4" w:space="0" w:color="auto"/>
              <w:right w:val="nil"/>
            </w:tcBorders>
            <w:shd w:val="clear" w:color="FFFFFF" w:fill="FFFFFF"/>
            <w:noWrap/>
            <w:vAlign w:val="bottom"/>
            <w:hideMark/>
          </w:tcPr>
          <w:p w14:paraId="50478257" w14:textId="77777777" w:rsidR="00A43992" w:rsidRDefault="00A43992" w:rsidP="007211E3">
            <w:pPr>
              <w:jc w:val="right"/>
              <w:rPr>
                <w:rFonts w:ascii="Arial" w:hAnsi="Arial" w:cs="Arial"/>
                <w:sz w:val="18"/>
                <w:szCs w:val="18"/>
              </w:rPr>
            </w:pPr>
            <w:r>
              <w:rPr>
                <w:rFonts w:ascii="Arial" w:hAnsi="Arial" w:cs="Arial"/>
                <w:sz w:val="18"/>
                <w:szCs w:val="18"/>
              </w:rPr>
              <w:t>7,878</w:t>
            </w:r>
          </w:p>
        </w:tc>
      </w:tr>
      <w:tr w:rsidR="00A43992" w14:paraId="79CECC81" w14:textId="77777777" w:rsidTr="007211E3">
        <w:trPr>
          <w:trHeight w:val="255"/>
        </w:trPr>
        <w:tc>
          <w:tcPr>
            <w:tcW w:w="6353" w:type="dxa"/>
            <w:tcBorders>
              <w:top w:val="nil"/>
              <w:left w:val="nil"/>
              <w:bottom w:val="nil"/>
              <w:right w:val="nil"/>
            </w:tcBorders>
            <w:shd w:val="clear" w:color="FFFFFF" w:fill="FFFFFF"/>
            <w:noWrap/>
            <w:vAlign w:val="bottom"/>
            <w:hideMark/>
          </w:tcPr>
          <w:p w14:paraId="1D30E642" w14:textId="77777777" w:rsidR="00A43992" w:rsidRDefault="00A43992" w:rsidP="007211E3">
            <w:pPr>
              <w:rPr>
                <w:rFonts w:ascii="Arial" w:hAnsi="Arial" w:cs="Arial"/>
                <w:sz w:val="18"/>
                <w:szCs w:val="18"/>
              </w:rPr>
            </w:pPr>
            <w:r>
              <w:rPr>
                <w:rFonts w:ascii="Arial" w:hAnsi="Arial" w:cs="Arial"/>
                <w:sz w:val="18"/>
                <w:szCs w:val="18"/>
              </w:rPr>
              <w:t> </w:t>
            </w:r>
          </w:p>
        </w:tc>
        <w:tc>
          <w:tcPr>
            <w:tcW w:w="1249" w:type="dxa"/>
            <w:tcBorders>
              <w:top w:val="nil"/>
              <w:left w:val="nil"/>
              <w:bottom w:val="nil"/>
              <w:right w:val="nil"/>
            </w:tcBorders>
            <w:shd w:val="clear" w:color="FFFFFF" w:fill="FFFFFF"/>
            <w:noWrap/>
            <w:vAlign w:val="bottom"/>
            <w:hideMark/>
          </w:tcPr>
          <w:p w14:paraId="77FE4512" w14:textId="77777777" w:rsidR="00A43992" w:rsidRPr="00267088" w:rsidRDefault="00A43992" w:rsidP="007211E3">
            <w:pPr>
              <w:rPr>
                <w:rFonts w:ascii="Arial" w:hAnsi="Arial" w:cs="Arial"/>
                <w:b/>
                <w:bCs/>
                <w:sz w:val="18"/>
                <w:szCs w:val="18"/>
              </w:rPr>
            </w:pPr>
            <w:r w:rsidRPr="00267088">
              <w:rPr>
                <w:rFonts w:ascii="Arial" w:hAnsi="Arial" w:cs="Arial"/>
                <w:b/>
                <w:bCs/>
                <w:sz w:val="18"/>
                <w:szCs w:val="18"/>
              </w:rPr>
              <w:t> </w:t>
            </w:r>
          </w:p>
        </w:tc>
        <w:tc>
          <w:tcPr>
            <w:tcW w:w="236" w:type="dxa"/>
            <w:tcBorders>
              <w:top w:val="nil"/>
              <w:left w:val="nil"/>
              <w:bottom w:val="nil"/>
              <w:right w:val="nil"/>
            </w:tcBorders>
            <w:shd w:val="clear" w:color="FFFFFF" w:fill="FFFFFF"/>
            <w:noWrap/>
            <w:vAlign w:val="bottom"/>
            <w:hideMark/>
          </w:tcPr>
          <w:p w14:paraId="70ACAE3C" w14:textId="77777777" w:rsidR="00A43992" w:rsidRDefault="00A43992" w:rsidP="007211E3">
            <w:pPr>
              <w:rPr>
                <w:rFonts w:ascii="Arial" w:hAnsi="Arial" w:cs="Arial"/>
                <w:b/>
                <w:bCs/>
                <w:sz w:val="18"/>
                <w:szCs w:val="18"/>
              </w:rPr>
            </w:pPr>
            <w:r>
              <w:rPr>
                <w:rFonts w:ascii="Arial" w:hAnsi="Arial" w:cs="Arial"/>
                <w:b/>
                <w:bCs/>
                <w:sz w:val="18"/>
                <w:szCs w:val="18"/>
              </w:rPr>
              <w:t> </w:t>
            </w:r>
          </w:p>
        </w:tc>
        <w:tc>
          <w:tcPr>
            <w:tcW w:w="1249" w:type="dxa"/>
            <w:tcBorders>
              <w:top w:val="nil"/>
              <w:left w:val="nil"/>
              <w:bottom w:val="nil"/>
              <w:right w:val="nil"/>
            </w:tcBorders>
            <w:shd w:val="clear" w:color="FFFFFF" w:fill="FFFFFF"/>
            <w:noWrap/>
            <w:vAlign w:val="bottom"/>
            <w:hideMark/>
          </w:tcPr>
          <w:p w14:paraId="2BA526D0" w14:textId="77777777" w:rsidR="00A43992" w:rsidRDefault="00A43992" w:rsidP="007211E3">
            <w:pPr>
              <w:rPr>
                <w:rFonts w:ascii="Arial" w:hAnsi="Arial" w:cs="Arial"/>
                <w:sz w:val="18"/>
                <w:szCs w:val="18"/>
              </w:rPr>
            </w:pPr>
            <w:r>
              <w:rPr>
                <w:rFonts w:ascii="Arial" w:hAnsi="Arial" w:cs="Arial"/>
                <w:sz w:val="18"/>
                <w:szCs w:val="18"/>
              </w:rPr>
              <w:t> </w:t>
            </w:r>
          </w:p>
        </w:tc>
      </w:tr>
      <w:tr w:rsidR="00A43992" w14:paraId="5DEFE45F" w14:textId="77777777" w:rsidTr="007211E3">
        <w:trPr>
          <w:trHeight w:val="255"/>
        </w:trPr>
        <w:tc>
          <w:tcPr>
            <w:tcW w:w="6353" w:type="dxa"/>
            <w:tcBorders>
              <w:top w:val="nil"/>
              <w:left w:val="nil"/>
              <w:bottom w:val="nil"/>
              <w:right w:val="nil"/>
            </w:tcBorders>
            <w:shd w:val="clear" w:color="FFFFFF" w:fill="FFFFFF"/>
            <w:vAlign w:val="bottom"/>
            <w:hideMark/>
          </w:tcPr>
          <w:p w14:paraId="0D8873FE" w14:textId="77777777" w:rsidR="00A43992" w:rsidRDefault="00A43992" w:rsidP="007211E3">
            <w:pPr>
              <w:rPr>
                <w:rFonts w:ascii="Arial" w:hAnsi="Arial" w:cs="Arial"/>
                <w:b/>
                <w:bCs/>
                <w:sz w:val="18"/>
                <w:szCs w:val="18"/>
              </w:rPr>
            </w:pPr>
            <w:r>
              <w:rPr>
                <w:rFonts w:ascii="Arial" w:hAnsi="Arial" w:cs="Arial"/>
                <w:b/>
                <w:bCs/>
                <w:sz w:val="18"/>
                <w:szCs w:val="18"/>
              </w:rPr>
              <w:t>Post-employment benefits</w:t>
            </w:r>
          </w:p>
        </w:tc>
        <w:tc>
          <w:tcPr>
            <w:tcW w:w="1249" w:type="dxa"/>
            <w:tcBorders>
              <w:top w:val="nil"/>
              <w:left w:val="nil"/>
              <w:bottom w:val="nil"/>
              <w:right w:val="nil"/>
            </w:tcBorders>
            <w:shd w:val="clear" w:color="FFFFFF" w:fill="FFFFFF"/>
            <w:noWrap/>
            <w:vAlign w:val="bottom"/>
            <w:hideMark/>
          </w:tcPr>
          <w:p w14:paraId="46D685F4" w14:textId="77777777" w:rsidR="00A43992" w:rsidRPr="00267088" w:rsidRDefault="00A43992" w:rsidP="007211E3">
            <w:pPr>
              <w:rPr>
                <w:rFonts w:ascii="Arial" w:hAnsi="Arial" w:cs="Arial"/>
                <w:sz w:val="18"/>
                <w:szCs w:val="18"/>
              </w:rPr>
            </w:pPr>
            <w:r w:rsidRPr="00267088">
              <w:rPr>
                <w:rFonts w:ascii="Arial" w:hAnsi="Arial" w:cs="Arial"/>
                <w:sz w:val="18"/>
                <w:szCs w:val="18"/>
              </w:rPr>
              <w:t> </w:t>
            </w:r>
          </w:p>
        </w:tc>
        <w:tc>
          <w:tcPr>
            <w:tcW w:w="236" w:type="dxa"/>
            <w:tcBorders>
              <w:top w:val="nil"/>
              <w:left w:val="nil"/>
              <w:bottom w:val="nil"/>
              <w:right w:val="nil"/>
            </w:tcBorders>
            <w:shd w:val="clear" w:color="FFFFFF" w:fill="FFFFFF"/>
            <w:noWrap/>
            <w:vAlign w:val="bottom"/>
            <w:hideMark/>
          </w:tcPr>
          <w:p w14:paraId="2EDDC1B3" w14:textId="77777777" w:rsidR="00A43992" w:rsidRDefault="00A43992" w:rsidP="007211E3">
            <w:pPr>
              <w:rPr>
                <w:rFonts w:ascii="Arial" w:hAnsi="Arial" w:cs="Arial"/>
                <w:sz w:val="18"/>
                <w:szCs w:val="18"/>
              </w:rPr>
            </w:pPr>
            <w:r>
              <w:rPr>
                <w:rFonts w:ascii="Arial" w:hAnsi="Arial" w:cs="Arial"/>
                <w:sz w:val="18"/>
                <w:szCs w:val="18"/>
              </w:rPr>
              <w:t> </w:t>
            </w:r>
          </w:p>
        </w:tc>
        <w:tc>
          <w:tcPr>
            <w:tcW w:w="1249" w:type="dxa"/>
            <w:tcBorders>
              <w:top w:val="nil"/>
              <w:left w:val="nil"/>
              <w:bottom w:val="nil"/>
              <w:right w:val="nil"/>
            </w:tcBorders>
            <w:shd w:val="clear" w:color="FFFFFF" w:fill="FFFFFF"/>
            <w:noWrap/>
            <w:vAlign w:val="bottom"/>
            <w:hideMark/>
          </w:tcPr>
          <w:p w14:paraId="0C5CC4A0" w14:textId="77777777" w:rsidR="00A43992" w:rsidRDefault="00A43992" w:rsidP="007211E3">
            <w:pPr>
              <w:rPr>
                <w:rFonts w:ascii="Arial" w:hAnsi="Arial" w:cs="Arial"/>
                <w:sz w:val="18"/>
                <w:szCs w:val="18"/>
              </w:rPr>
            </w:pPr>
            <w:r>
              <w:rPr>
                <w:rFonts w:ascii="Arial" w:hAnsi="Arial" w:cs="Arial"/>
                <w:sz w:val="18"/>
                <w:szCs w:val="18"/>
              </w:rPr>
              <w:t> </w:t>
            </w:r>
          </w:p>
        </w:tc>
      </w:tr>
      <w:tr w:rsidR="00A43992" w14:paraId="659373FB" w14:textId="77777777" w:rsidTr="007211E3">
        <w:trPr>
          <w:trHeight w:val="255"/>
        </w:trPr>
        <w:tc>
          <w:tcPr>
            <w:tcW w:w="6353" w:type="dxa"/>
            <w:tcBorders>
              <w:top w:val="nil"/>
              <w:left w:val="nil"/>
              <w:bottom w:val="nil"/>
              <w:right w:val="nil"/>
            </w:tcBorders>
            <w:shd w:val="clear" w:color="FFFFFF" w:fill="FFFFFF"/>
            <w:noWrap/>
            <w:vAlign w:val="bottom"/>
            <w:hideMark/>
          </w:tcPr>
          <w:p w14:paraId="5718FDD5" w14:textId="77777777" w:rsidR="00A43992" w:rsidRDefault="00A43992" w:rsidP="007211E3">
            <w:pPr>
              <w:ind w:firstLineChars="100" w:firstLine="180"/>
              <w:rPr>
                <w:rFonts w:ascii="Arial" w:hAnsi="Arial" w:cs="Arial"/>
                <w:sz w:val="18"/>
                <w:szCs w:val="18"/>
              </w:rPr>
            </w:pPr>
            <w:r>
              <w:rPr>
                <w:rFonts w:ascii="Arial" w:hAnsi="Arial" w:cs="Arial"/>
                <w:sz w:val="18"/>
                <w:szCs w:val="18"/>
              </w:rPr>
              <w:t>Superannuation</w:t>
            </w:r>
          </w:p>
        </w:tc>
        <w:tc>
          <w:tcPr>
            <w:tcW w:w="1249" w:type="dxa"/>
            <w:tcBorders>
              <w:top w:val="nil"/>
              <w:left w:val="nil"/>
              <w:bottom w:val="nil"/>
              <w:right w:val="nil"/>
            </w:tcBorders>
            <w:shd w:val="clear" w:color="FFFFFF" w:fill="FFFFFF"/>
            <w:noWrap/>
            <w:vAlign w:val="bottom"/>
            <w:hideMark/>
          </w:tcPr>
          <w:p w14:paraId="74CEAEBD" w14:textId="77777777" w:rsidR="00A43992" w:rsidRPr="00267088" w:rsidRDefault="00A43992" w:rsidP="007211E3">
            <w:pPr>
              <w:jc w:val="right"/>
              <w:rPr>
                <w:rFonts w:ascii="Arial" w:hAnsi="Arial" w:cs="Arial"/>
                <w:b/>
                <w:bCs/>
                <w:sz w:val="18"/>
                <w:szCs w:val="18"/>
              </w:rPr>
            </w:pPr>
            <w:r w:rsidRPr="00267088">
              <w:rPr>
                <w:rFonts w:ascii="Arial" w:hAnsi="Arial" w:cs="Arial"/>
                <w:b/>
                <w:bCs/>
                <w:sz w:val="18"/>
                <w:szCs w:val="18"/>
              </w:rPr>
              <w:t>1,329</w:t>
            </w:r>
          </w:p>
        </w:tc>
        <w:tc>
          <w:tcPr>
            <w:tcW w:w="236" w:type="dxa"/>
            <w:tcBorders>
              <w:top w:val="nil"/>
              <w:left w:val="nil"/>
              <w:bottom w:val="nil"/>
              <w:right w:val="nil"/>
            </w:tcBorders>
            <w:shd w:val="clear" w:color="FFFFFF" w:fill="FFFFFF"/>
            <w:noWrap/>
            <w:vAlign w:val="bottom"/>
            <w:hideMark/>
          </w:tcPr>
          <w:p w14:paraId="38128B1C" w14:textId="77777777" w:rsidR="00A43992" w:rsidRDefault="00A43992" w:rsidP="007211E3">
            <w:pPr>
              <w:rPr>
                <w:rFonts w:ascii="Arial" w:hAnsi="Arial" w:cs="Arial"/>
                <w:b/>
                <w:bCs/>
                <w:sz w:val="18"/>
                <w:szCs w:val="18"/>
              </w:rPr>
            </w:pPr>
            <w:r>
              <w:rPr>
                <w:rFonts w:ascii="Arial" w:hAnsi="Arial" w:cs="Arial"/>
                <w:b/>
                <w:bCs/>
                <w:sz w:val="18"/>
                <w:szCs w:val="18"/>
              </w:rPr>
              <w:t> </w:t>
            </w:r>
          </w:p>
        </w:tc>
        <w:tc>
          <w:tcPr>
            <w:tcW w:w="1249" w:type="dxa"/>
            <w:tcBorders>
              <w:top w:val="nil"/>
              <w:left w:val="nil"/>
              <w:bottom w:val="nil"/>
              <w:right w:val="nil"/>
            </w:tcBorders>
            <w:shd w:val="clear" w:color="FFFFFF" w:fill="FFFFFF"/>
            <w:noWrap/>
            <w:vAlign w:val="bottom"/>
            <w:hideMark/>
          </w:tcPr>
          <w:p w14:paraId="3A6F9427" w14:textId="77777777" w:rsidR="00A43992" w:rsidRDefault="00A43992" w:rsidP="007211E3">
            <w:pPr>
              <w:jc w:val="right"/>
              <w:rPr>
                <w:rFonts w:ascii="Arial" w:hAnsi="Arial" w:cs="Arial"/>
                <w:sz w:val="18"/>
                <w:szCs w:val="18"/>
              </w:rPr>
            </w:pPr>
            <w:r>
              <w:rPr>
                <w:rFonts w:ascii="Arial" w:hAnsi="Arial" w:cs="Arial"/>
                <w:sz w:val="18"/>
                <w:szCs w:val="18"/>
              </w:rPr>
              <w:t>851</w:t>
            </w:r>
          </w:p>
        </w:tc>
      </w:tr>
      <w:tr w:rsidR="00A43992" w14:paraId="461C9E62" w14:textId="77777777" w:rsidTr="007211E3">
        <w:trPr>
          <w:trHeight w:val="255"/>
        </w:trPr>
        <w:tc>
          <w:tcPr>
            <w:tcW w:w="6353" w:type="dxa"/>
            <w:tcBorders>
              <w:top w:val="nil"/>
              <w:left w:val="nil"/>
              <w:bottom w:val="nil"/>
              <w:right w:val="nil"/>
            </w:tcBorders>
            <w:shd w:val="clear" w:color="FFFFFF" w:fill="FFFFFF"/>
            <w:vAlign w:val="bottom"/>
            <w:hideMark/>
          </w:tcPr>
          <w:p w14:paraId="64D55FE3" w14:textId="77777777" w:rsidR="00A43992" w:rsidRDefault="00A43992" w:rsidP="007211E3">
            <w:pPr>
              <w:rPr>
                <w:rFonts w:ascii="Arial" w:hAnsi="Arial" w:cs="Arial"/>
                <w:b/>
                <w:bCs/>
                <w:sz w:val="18"/>
                <w:szCs w:val="18"/>
              </w:rPr>
            </w:pPr>
            <w:r>
              <w:rPr>
                <w:rFonts w:ascii="Arial" w:hAnsi="Arial" w:cs="Arial"/>
                <w:b/>
                <w:bCs/>
                <w:sz w:val="18"/>
                <w:szCs w:val="18"/>
              </w:rPr>
              <w:t>Total post-employment benefits</w:t>
            </w:r>
          </w:p>
        </w:tc>
        <w:tc>
          <w:tcPr>
            <w:tcW w:w="1249" w:type="dxa"/>
            <w:tcBorders>
              <w:top w:val="single" w:sz="4" w:space="0" w:color="auto"/>
              <w:left w:val="nil"/>
              <w:bottom w:val="single" w:sz="4" w:space="0" w:color="auto"/>
              <w:right w:val="nil"/>
            </w:tcBorders>
            <w:shd w:val="clear" w:color="FFFFFF" w:fill="FFFFFF"/>
            <w:noWrap/>
            <w:vAlign w:val="bottom"/>
            <w:hideMark/>
          </w:tcPr>
          <w:p w14:paraId="68CC8365" w14:textId="77777777" w:rsidR="00A43992" w:rsidRPr="00267088" w:rsidRDefault="00A43992" w:rsidP="007211E3">
            <w:pPr>
              <w:jc w:val="right"/>
              <w:rPr>
                <w:rFonts w:ascii="Arial" w:hAnsi="Arial" w:cs="Arial"/>
                <w:b/>
                <w:bCs/>
                <w:sz w:val="18"/>
                <w:szCs w:val="18"/>
              </w:rPr>
            </w:pPr>
            <w:r w:rsidRPr="00267088">
              <w:rPr>
                <w:rFonts w:ascii="Arial" w:hAnsi="Arial" w:cs="Arial"/>
                <w:b/>
                <w:bCs/>
                <w:sz w:val="18"/>
                <w:szCs w:val="18"/>
              </w:rPr>
              <w:t>1,329</w:t>
            </w:r>
          </w:p>
        </w:tc>
        <w:tc>
          <w:tcPr>
            <w:tcW w:w="236" w:type="dxa"/>
            <w:tcBorders>
              <w:top w:val="nil"/>
              <w:left w:val="nil"/>
              <w:bottom w:val="nil"/>
              <w:right w:val="nil"/>
            </w:tcBorders>
            <w:shd w:val="clear" w:color="FFFFFF" w:fill="FFFFFF"/>
            <w:noWrap/>
            <w:vAlign w:val="bottom"/>
            <w:hideMark/>
          </w:tcPr>
          <w:p w14:paraId="08D9A42B" w14:textId="77777777" w:rsidR="00A43992" w:rsidRDefault="00A43992" w:rsidP="007211E3">
            <w:pPr>
              <w:rPr>
                <w:rFonts w:ascii="Arial" w:hAnsi="Arial" w:cs="Arial"/>
                <w:b/>
                <w:bCs/>
                <w:sz w:val="18"/>
                <w:szCs w:val="18"/>
              </w:rPr>
            </w:pPr>
            <w:r>
              <w:rPr>
                <w:rFonts w:ascii="Arial" w:hAnsi="Arial" w:cs="Arial"/>
                <w:b/>
                <w:bCs/>
                <w:sz w:val="18"/>
                <w:szCs w:val="18"/>
              </w:rPr>
              <w:t> </w:t>
            </w:r>
          </w:p>
        </w:tc>
        <w:tc>
          <w:tcPr>
            <w:tcW w:w="1249" w:type="dxa"/>
            <w:tcBorders>
              <w:top w:val="single" w:sz="4" w:space="0" w:color="auto"/>
              <w:left w:val="nil"/>
              <w:bottom w:val="single" w:sz="4" w:space="0" w:color="auto"/>
              <w:right w:val="nil"/>
            </w:tcBorders>
            <w:shd w:val="clear" w:color="FFFFFF" w:fill="FFFFFF"/>
            <w:noWrap/>
            <w:vAlign w:val="bottom"/>
            <w:hideMark/>
          </w:tcPr>
          <w:p w14:paraId="207BBD5F" w14:textId="77777777" w:rsidR="00A43992" w:rsidRDefault="00A43992" w:rsidP="007211E3">
            <w:pPr>
              <w:jc w:val="right"/>
              <w:rPr>
                <w:rFonts w:ascii="Arial" w:hAnsi="Arial" w:cs="Arial"/>
                <w:sz w:val="18"/>
                <w:szCs w:val="18"/>
              </w:rPr>
            </w:pPr>
            <w:r>
              <w:rPr>
                <w:rFonts w:ascii="Arial" w:hAnsi="Arial" w:cs="Arial"/>
                <w:sz w:val="18"/>
                <w:szCs w:val="18"/>
              </w:rPr>
              <w:t>851</w:t>
            </w:r>
          </w:p>
        </w:tc>
      </w:tr>
      <w:tr w:rsidR="00A43992" w14:paraId="5BE83491" w14:textId="77777777" w:rsidTr="007211E3">
        <w:trPr>
          <w:trHeight w:val="255"/>
        </w:trPr>
        <w:tc>
          <w:tcPr>
            <w:tcW w:w="6353" w:type="dxa"/>
            <w:tcBorders>
              <w:top w:val="nil"/>
              <w:left w:val="nil"/>
              <w:bottom w:val="nil"/>
              <w:right w:val="nil"/>
            </w:tcBorders>
            <w:shd w:val="clear" w:color="FFFFFF" w:fill="FFFFFF"/>
            <w:noWrap/>
            <w:vAlign w:val="bottom"/>
            <w:hideMark/>
          </w:tcPr>
          <w:p w14:paraId="52F4EA45" w14:textId="77777777" w:rsidR="00A43992" w:rsidRDefault="00A43992" w:rsidP="007211E3">
            <w:pPr>
              <w:rPr>
                <w:rFonts w:ascii="Arial" w:hAnsi="Arial" w:cs="Arial"/>
                <w:sz w:val="18"/>
                <w:szCs w:val="18"/>
              </w:rPr>
            </w:pPr>
            <w:r>
              <w:rPr>
                <w:rFonts w:ascii="Arial" w:hAnsi="Arial" w:cs="Arial"/>
                <w:sz w:val="18"/>
                <w:szCs w:val="18"/>
              </w:rPr>
              <w:t> </w:t>
            </w:r>
          </w:p>
        </w:tc>
        <w:tc>
          <w:tcPr>
            <w:tcW w:w="1249" w:type="dxa"/>
            <w:tcBorders>
              <w:top w:val="nil"/>
              <w:left w:val="nil"/>
              <w:bottom w:val="nil"/>
              <w:right w:val="nil"/>
            </w:tcBorders>
            <w:shd w:val="clear" w:color="FFFFFF" w:fill="FFFFFF"/>
            <w:noWrap/>
            <w:vAlign w:val="bottom"/>
            <w:hideMark/>
          </w:tcPr>
          <w:p w14:paraId="18CC3CA6" w14:textId="77777777" w:rsidR="00A43992" w:rsidRPr="00267088" w:rsidRDefault="00A43992" w:rsidP="007211E3">
            <w:pPr>
              <w:rPr>
                <w:rFonts w:ascii="Arial" w:hAnsi="Arial" w:cs="Arial"/>
                <w:b/>
                <w:bCs/>
                <w:sz w:val="18"/>
                <w:szCs w:val="18"/>
              </w:rPr>
            </w:pPr>
            <w:r w:rsidRPr="00267088">
              <w:rPr>
                <w:rFonts w:ascii="Arial" w:hAnsi="Arial" w:cs="Arial"/>
                <w:b/>
                <w:bCs/>
                <w:sz w:val="18"/>
                <w:szCs w:val="18"/>
              </w:rPr>
              <w:t> </w:t>
            </w:r>
          </w:p>
        </w:tc>
        <w:tc>
          <w:tcPr>
            <w:tcW w:w="236" w:type="dxa"/>
            <w:tcBorders>
              <w:top w:val="nil"/>
              <w:left w:val="nil"/>
              <w:bottom w:val="nil"/>
              <w:right w:val="nil"/>
            </w:tcBorders>
            <w:shd w:val="clear" w:color="FFFFFF" w:fill="FFFFFF"/>
            <w:noWrap/>
            <w:vAlign w:val="bottom"/>
            <w:hideMark/>
          </w:tcPr>
          <w:p w14:paraId="6E3F6F23" w14:textId="77777777" w:rsidR="00A43992" w:rsidRDefault="00A43992" w:rsidP="007211E3">
            <w:pPr>
              <w:rPr>
                <w:rFonts w:ascii="Arial" w:hAnsi="Arial" w:cs="Arial"/>
                <w:b/>
                <w:bCs/>
                <w:sz w:val="18"/>
                <w:szCs w:val="18"/>
              </w:rPr>
            </w:pPr>
            <w:r>
              <w:rPr>
                <w:rFonts w:ascii="Arial" w:hAnsi="Arial" w:cs="Arial"/>
                <w:b/>
                <w:bCs/>
                <w:sz w:val="18"/>
                <w:szCs w:val="18"/>
              </w:rPr>
              <w:t> </w:t>
            </w:r>
          </w:p>
        </w:tc>
        <w:tc>
          <w:tcPr>
            <w:tcW w:w="1249" w:type="dxa"/>
            <w:tcBorders>
              <w:top w:val="nil"/>
              <w:left w:val="nil"/>
              <w:bottom w:val="nil"/>
              <w:right w:val="nil"/>
            </w:tcBorders>
            <w:shd w:val="clear" w:color="FFFFFF" w:fill="FFFFFF"/>
            <w:noWrap/>
            <w:vAlign w:val="bottom"/>
            <w:hideMark/>
          </w:tcPr>
          <w:p w14:paraId="129792D2" w14:textId="77777777" w:rsidR="00A43992" w:rsidRDefault="00A43992" w:rsidP="007211E3">
            <w:pPr>
              <w:rPr>
                <w:rFonts w:ascii="Arial" w:hAnsi="Arial" w:cs="Arial"/>
                <w:sz w:val="18"/>
                <w:szCs w:val="18"/>
              </w:rPr>
            </w:pPr>
            <w:r>
              <w:rPr>
                <w:rFonts w:ascii="Arial" w:hAnsi="Arial" w:cs="Arial"/>
                <w:sz w:val="18"/>
                <w:szCs w:val="18"/>
              </w:rPr>
              <w:t> </w:t>
            </w:r>
          </w:p>
        </w:tc>
      </w:tr>
      <w:tr w:rsidR="00A43992" w14:paraId="31EEC6B8" w14:textId="77777777" w:rsidTr="007211E3">
        <w:trPr>
          <w:trHeight w:val="255"/>
        </w:trPr>
        <w:tc>
          <w:tcPr>
            <w:tcW w:w="6353" w:type="dxa"/>
            <w:tcBorders>
              <w:top w:val="nil"/>
              <w:left w:val="nil"/>
              <w:bottom w:val="nil"/>
              <w:right w:val="nil"/>
            </w:tcBorders>
            <w:shd w:val="clear" w:color="FFFFFF" w:fill="FFFFFF"/>
            <w:vAlign w:val="bottom"/>
            <w:hideMark/>
          </w:tcPr>
          <w:p w14:paraId="763573F1" w14:textId="77777777" w:rsidR="00A43992" w:rsidRDefault="00A43992" w:rsidP="007211E3">
            <w:pPr>
              <w:rPr>
                <w:rFonts w:ascii="Arial" w:hAnsi="Arial" w:cs="Arial"/>
                <w:b/>
                <w:bCs/>
                <w:sz w:val="18"/>
                <w:szCs w:val="18"/>
              </w:rPr>
            </w:pPr>
            <w:r>
              <w:rPr>
                <w:rFonts w:ascii="Arial" w:hAnsi="Arial" w:cs="Arial"/>
                <w:b/>
                <w:bCs/>
                <w:sz w:val="18"/>
                <w:szCs w:val="18"/>
              </w:rPr>
              <w:t>Other long-term employee benefits</w:t>
            </w:r>
          </w:p>
        </w:tc>
        <w:tc>
          <w:tcPr>
            <w:tcW w:w="1249" w:type="dxa"/>
            <w:tcBorders>
              <w:top w:val="nil"/>
              <w:left w:val="nil"/>
              <w:bottom w:val="nil"/>
              <w:right w:val="nil"/>
            </w:tcBorders>
            <w:shd w:val="clear" w:color="FFFFFF" w:fill="FFFFFF"/>
            <w:noWrap/>
            <w:vAlign w:val="bottom"/>
            <w:hideMark/>
          </w:tcPr>
          <w:p w14:paraId="7BADD983" w14:textId="77777777" w:rsidR="00A43992" w:rsidRPr="00267088" w:rsidRDefault="00A43992" w:rsidP="007211E3">
            <w:pPr>
              <w:rPr>
                <w:rFonts w:ascii="Arial" w:hAnsi="Arial" w:cs="Arial"/>
                <w:b/>
                <w:bCs/>
                <w:sz w:val="18"/>
                <w:szCs w:val="18"/>
              </w:rPr>
            </w:pPr>
            <w:r w:rsidRPr="00267088">
              <w:rPr>
                <w:rFonts w:ascii="Arial" w:hAnsi="Arial" w:cs="Arial"/>
                <w:b/>
                <w:bCs/>
                <w:sz w:val="18"/>
                <w:szCs w:val="18"/>
              </w:rPr>
              <w:t> </w:t>
            </w:r>
          </w:p>
        </w:tc>
        <w:tc>
          <w:tcPr>
            <w:tcW w:w="236" w:type="dxa"/>
            <w:tcBorders>
              <w:top w:val="nil"/>
              <w:left w:val="nil"/>
              <w:bottom w:val="nil"/>
              <w:right w:val="nil"/>
            </w:tcBorders>
            <w:shd w:val="clear" w:color="FFFFFF" w:fill="FFFFFF"/>
            <w:noWrap/>
            <w:vAlign w:val="bottom"/>
            <w:hideMark/>
          </w:tcPr>
          <w:p w14:paraId="577E6542" w14:textId="77777777" w:rsidR="00A43992" w:rsidRDefault="00A43992" w:rsidP="007211E3">
            <w:pPr>
              <w:rPr>
                <w:rFonts w:ascii="Arial" w:hAnsi="Arial" w:cs="Arial"/>
                <w:sz w:val="18"/>
                <w:szCs w:val="18"/>
              </w:rPr>
            </w:pPr>
            <w:r>
              <w:rPr>
                <w:rFonts w:ascii="Arial" w:hAnsi="Arial" w:cs="Arial"/>
                <w:sz w:val="18"/>
                <w:szCs w:val="18"/>
              </w:rPr>
              <w:t> </w:t>
            </w:r>
          </w:p>
        </w:tc>
        <w:tc>
          <w:tcPr>
            <w:tcW w:w="1249" w:type="dxa"/>
            <w:tcBorders>
              <w:top w:val="nil"/>
              <w:left w:val="nil"/>
              <w:bottom w:val="nil"/>
              <w:right w:val="nil"/>
            </w:tcBorders>
            <w:shd w:val="clear" w:color="FFFFFF" w:fill="FFFFFF"/>
            <w:noWrap/>
            <w:vAlign w:val="bottom"/>
            <w:hideMark/>
          </w:tcPr>
          <w:p w14:paraId="26FF79C2" w14:textId="77777777" w:rsidR="00A43992" w:rsidRDefault="00A43992" w:rsidP="007211E3">
            <w:pPr>
              <w:rPr>
                <w:rFonts w:ascii="Arial" w:hAnsi="Arial" w:cs="Arial"/>
                <w:sz w:val="18"/>
                <w:szCs w:val="18"/>
              </w:rPr>
            </w:pPr>
            <w:r>
              <w:rPr>
                <w:rFonts w:ascii="Arial" w:hAnsi="Arial" w:cs="Arial"/>
                <w:sz w:val="18"/>
                <w:szCs w:val="18"/>
              </w:rPr>
              <w:t> </w:t>
            </w:r>
          </w:p>
        </w:tc>
      </w:tr>
      <w:tr w:rsidR="00A43992" w14:paraId="55394135" w14:textId="77777777" w:rsidTr="007211E3">
        <w:trPr>
          <w:trHeight w:val="255"/>
        </w:trPr>
        <w:tc>
          <w:tcPr>
            <w:tcW w:w="6353" w:type="dxa"/>
            <w:tcBorders>
              <w:top w:val="nil"/>
              <w:left w:val="nil"/>
              <w:bottom w:val="nil"/>
              <w:right w:val="nil"/>
            </w:tcBorders>
            <w:shd w:val="clear" w:color="FFFFFF" w:fill="FFFFFF"/>
            <w:noWrap/>
            <w:vAlign w:val="bottom"/>
            <w:hideMark/>
          </w:tcPr>
          <w:p w14:paraId="304A4002" w14:textId="77777777" w:rsidR="00A43992" w:rsidRDefault="00A43992" w:rsidP="007211E3">
            <w:pPr>
              <w:ind w:firstLineChars="100" w:firstLine="180"/>
              <w:rPr>
                <w:rFonts w:ascii="Arial" w:hAnsi="Arial" w:cs="Arial"/>
                <w:sz w:val="18"/>
                <w:szCs w:val="18"/>
              </w:rPr>
            </w:pPr>
            <w:r>
              <w:rPr>
                <w:rFonts w:ascii="Arial" w:hAnsi="Arial" w:cs="Arial"/>
                <w:sz w:val="18"/>
                <w:szCs w:val="18"/>
              </w:rPr>
              <w:t>Annual leave accrued</w:t>
            </w:r>
          </w:p>
        </w:tc>
        <w:tc>
          <w:tcPr>
            <w:tcW w:w="1249" w:type="dxa"/>
            <w:tcBorders>
              <w:top w:val="nil"/>
              <w:left w:val="nil"/>
              <w:bottom w:val="nil"/>
              <w:right w:val="nil"/>
            </w:tcBorders>
            <w:shd w:val="clear" w:color="FFFFFF" w:fill="FFFFFF"/>
            <w:noWrap/>
            <w:vAlign w:val="bottom"/>
            <w:hideMark/>
          </w:tcPr>
          <w:p w14:paraId="2B866B4A" w14:textId="77777777" w:rsidR="00A43992" w:rsidRPr="00267088" w:rsidRDefault="00A43992" w:rsidP="007211E3">
            <w:pPr>
              <w:jc w:val="right"/>
              <w:rPr>
                <w:rFonts w:ascii="Arial" w:hAnsi="Arial" w:cs="Arial"/>
                <w:b/>
                <w:bCs/>
                <w:sz w:val="18"/>
                <w:szCs w:val="18"/>
              </w:rPr>
            </w:pPr>
            <w:r w:rsidRPr="00267088">
              <w:rPr>
                <w:rFonts w:ascii="Arial" w:hAnsi="Arial" w:cs="Arial"/>
                <w:b/>
                <w:bCs/>
                <w:sz w:val="18"/>
                <w:szCs w:val="18"/>
              </w:rPr>
              <w:t>884</w:t>
            </w:r>
          </w:p>
        </w:tc>
        <w:tc>
          <w:tcPr>
            <w:tcW w:w="236" w:type="dxa"/>
            <w:tcBorders>
              <w:top w:val="nil"/>
              <w:left w:val="nil"/>
              <w:bottom w:val="nil"/>
              <w:right w:val="nil"/>
            </w:tcBorders>
            <w:shd w:val="clear" w:color="FFFFFF" w:fill="FFFFFF"/>
            <w:noWrap/>
            <w:vAlign w:val="bottom"/>
            <w:hideMark/>
          </w:tcPr>
          <w:p w14:paraId="5ECEB233" w14:textId="77777777" w:rsidR="00A43992" w:rsidRDefault="00A43992" w:rsidP="007211E3">
            <w:pPr>
              <w:rPr>
                <w:rFonts w:ascii="Arial" w:hAnsi="Arial" w:cs="Arial"/>
                <w:b/>
                <w:bCs/>
                <w:sz w:val="18"/>
                <w:szCs w:val="18"/>
              </w:rPr>
            </w:pPr>
            <w:r>
              <w:rPr>
                <w:rFonts w:ascii="Arial" w:hAnsi="Arial" w:cs="Arial"/>
                <w:b/>
                <w:bCs/>
                <w:sz w:val="18"/>
                <w:szCs w:val="18"/>
              </w:rPr>
              <w:t> </w:t>
            </w:r>
          </w:p>
        </w:tc>
        <w:tc>
          <w:tcPr>
            <w:tcW w:w="1249" w:type="dxa"/>
            <w:tcBorders>
              <w:top w:val="nil"/>
              <w:left w:val="nil"/>
              <w:bottom w:val="nil"/>
              <w:right w:val="nil"/>
            </w:tcBorders>
            <w:shd w:val="clear" w:color="FFFFFF" w:fill="FFFFFF"/>
            <w:noWrap/>
            <w:vAlign w:val="bottom"/>
            <w:hideMark/>
          </w:tcPr>
          <w:p w14:paraId="3A9730D5" w14:textId="77777777" w:rsidR="00A43992" w:rsidRDefault="00A43992" w:rsidP="007211E3">
            <w:pPr>
              <w:jc w:val="right"/>
              <w:rPr>
                <w:rFonts w:ascii="Arial" w:hAnsi="Arial" w:cs="Arial"/>
                <w:sz w:val="18"/>
                <w:szCs w:val="18"/>
              </w:rPr>
            </w:pPr>
            <w:r>
              <w:rPr>
                <w:rFonts w:ascii="Arial" w:hAnsi="Arial" w:cs="Arial"/>
                <w:sz w:val="18"/>
                <w:szCs w:val="18"/>
              </w:rPr>
              <w:t>552</w:t>
            </w:r>
          </w:p>
        </w:tc>
      </w:tr>
      <w:tr w:rsidR="00A43992" w14:paraId="6A612AE0" w14:textId="77777777" w:rsidTr="007211E3">
        <w:trPr>
          <w:trHeight w:val="255"/>
        </w:trPr>
        <w:tc>
          <w:tcPr>
            <w:tcW w:w="6353" w:type="dxa"/>
            <w:tcBorders>
              <w:top w:val="nil"/>
              <w:left w:val="nil"/>
              <w:bottom w:val="nil"/>
              <w:right w:val="nil"/>
            </w:tcBorders>
            <w:shd w:val="clear" w:color="FFFFFF" w:fill="FFFFFF"/>
            <w:noWrap/>
            <w:vAlign w:val="bottom"/>
            <w:hideMark/>
          </w:tcPr>
          <w:p w14:paraId="10876254" w14:textId="77777777" w:rsidR="00A43992" w:rsidRDefault="00A43992" w:rsidP="007211E3">
            <w:pPr>
              <w:ind w:firstLineChars="100" w:firstLine="180"/>
              <w:rPr>
                <w:rFonts w:ascii="Arial" w:hAnsi="Arial" w:cs="Arial"/>
                <w:sz w:val="18"/>
                <w:szCs w:val="18"/>
              </w:rPr>
            </w:pPr>
            <w:r>
              <w:rPr>
                <w:rFonts w:ascii="Arial" w:hAnsi="Arial" w:cs="Arial"/>
                <w:sz w:val="18"/>
                <w:szCs w:val="18"/>
              </w:rPr>
              <w:t>Long-service leave accrued</w:t>
            </w:r>
          </w:p>
        </w:tc>
        <w:tc>
          <w:tcPr>
            <w:tcW w:w="1249" w:type="dxa"/>
            <w:tcBorders>
              <w:top w:val="nil"/>
              <w:left w:val="nil"/>
              <w:bottom w:val="nil"/>
              <w:right w:val="nil"/>
            </w:tcBorders>
            <w:shd w:val="clear" w:color="FFFFFF" w:fill="FFFFFF"/>
            <w:noWrap/>
            <w:vAlign w:val="bottom"/>
            <w:hideMark/>
          </w:tcPr>
          <w:p w14:paraId="34D3DC5A" w14:textId="77777777" w:rsidR="00A43992" w:rsidRPr="00267088" w:rsidRDefault="00A43992" w:rsidP="007211E3">
            <w:pPr>
              <w:jc w:val="right"/>
              <w:rPr>
                <w:rFonts w:ascii="Arial" w:hAnsi="Arial" w:cs="Arial"/>
                <w:b/>
                <w:bCs/>
                <w:sz w:val="18"/>
                <w:szCs w:val="18"/>
              </w:rPr>
            </w:pPr>
            <w:r w:rsidRPr="00267088">
              <w:rPr>
                <w:rFonts w:ascii="Arial" w:hAnsi="Arial" w:cs="Arial"/>
                <w:b/>
                <w:bCs/>
                <w:sz w:val="18"/>
                <w:szCs w:val="18"/>
              </w:rPr>
              <w:t>194</w:t>
            </w:r>
          </w:p>
        </w:tc>
        <w:tc>
          <w:tcPr>
            <w:tcW w:w="236" w:type="dxa"/>
            <w:tcBorders>
              <w:top w:val="nil"/>
              <w:left w:val="nil"/>
              <w:bottom w:val="nil"/>
              <w:right w:val="nil"/>
            </w:tcBorders>
            <w:shd w:val="clear" w:color="FFFFFF" w:fill="FFFFFF"/>
            <w:noWrap/>
            <w:vAlign w:val="bottom"/>
            <w:hideMark/>
          </w:tcPr>
          <w:p w14:paraId="3EB92623" w14:textId="77777777" w:rsidR="00A43992" w:rsidRDefault="00A43992" w:rsidP="007211E3">
            <w:pPr>
              <w:rPr>
                <w:rFonts w:ascii="Arial" w:hAnsi="Arial" w:cs="Arial"/>
                <w:b/>
                <w:bCs/>
                <w:sz w:val="18"/>
                <w:szCs w:val="18"/>
              </w:rPr>
            </w:pPr>
            <w:r>
              <w:rPr>
                <w:rFonts w:ascii="Arial" w:hAnsi="Arial" w:cs="Arial"/>
                <w:b/>
                <w:bCs/>
                <w:sz w:val="18"/>
                <w:szCs w:val="18"/>
              </w:rPr>
              <w:t> </w:t>
            </w:r>
          </w:p>
        </w:tc>
        <w:tc>
          <w:tcPr>
            <w:tcW w:w="1249" w:type="dxa"/>
            <w:tcBorders>
              <w:top w:val="nil"/>
              <w:left w:val="nil"/>
              <w:bottom w:val="nil"/>
              <w:right w:val="nil"/>
            </w:tcBorders>
            <w:shd w:val="clear" w:color="FFFFFF" w:fill="FFFFFF"/>
            <w:noWrap/>
            <w:vAlign w:val="bottom"/>
            <w:hideMark/>
          </w:tcPr>
          <w:p w14:paraId="5FF8E474" w14:textId="77777777" w:rsidR="00A43992" w:rsidRDefault="00A43992" w:rsidP="007211E3">
            <w:pPr>
              <w:jc w:val="right"/>
              <w:rPr>
                <w:rFonts w:ascii="Arial" w:hAnsi="Arial" w:cs="Arial"/>
                <w:sz w:val="18"/>
                <w:szCs w:val="18"/>
              </w:rPr>
            </w:pPr>
            <w:r>
              <w:rPr>
                <w:rFonts w:ascii="Arial" w:hAnsi="Arial" w:cs="Arial"/>
                <w:sz w:val="18"/>
                <w:szCs w:val="18"/>
              </w:rPr>
              <w:t>172</w:t>
            </w:r>
          </w:p>
        </w:tc>
      </w:tr>
      <w:tr w:rsidR="00A43992" w14:paraId="3FF8C7A9" w14:textId="77777777" w:rsidTr="007211E3">
        <w:trPr>
          <w:trHeight w:val="255"/>
        </w:trPr>
        <w:tc>
          <w:tcPr>
            <w:tcW w:w="6353" w:type="dxa"/>
            <w:tcBorders>
              <w:top w:val="nil"/>
              <w:left w:val="nil"/>
              <w:bottom w:val="nil"/>
              <w:right w:val="nil"/>
            </w:tcBorders>
            <w:shd w:val="clear" w:color="FFFFFF" w:fill="FFFFFF"/>
            <w:vAlign w:val="bottom"/>
            <w:hideMark/>
          </w:tcPr>
          <w:p w14:paraId="2CB6D36E" w14:textId="77777777" w:rsidR="00A43992" w:rsidRDefault="00A43992" w:rsidP="007211E3">
            <w:pPr>
              <w:rPr>
                <w:rFonts w:ascii="Arial" w:hAnsi="Arial" w:cs="Arial"/>
                <w:b/>
                <w:bCs/>
                <w:sz w:val="18"/>
                <w:szCs w:val="18"/>
              </w:rPr>
            </w:pPr>
            <w:r>
              <w:rPr>
                <w:rFonts w:ascii="Arial" w:hAnsi="Arial" w:cs="Arial"/>
                <w:b/>
                <w:bCs/>
                <w:sz w:val="18"/>
                <w:szCs w:val="18"/>
              </w:rPr>
              <w:t>Total other long-term employee benefits</w:t>
            </w:r>
          </w:p>
        </w:tc>
        <w:tc>
          <w:tcPr>
            <w:tcW w:w="1249" w:type="dxa"/>
            <w:tcBorders>
              <w:top w:val="single" w:sz="4" w:space="0" w:color="auto"/>
              <w:left w:val="nil"/>
              <w:bottom w:val="single" w:sz="4" w:space="0" w:color="auto"/>
              <w:right w:val="nil"/>
            </w:tcBorders>
            <w:shd w:val="clear" w:color="FFFFFF" w:fill="FFFFFF"/>
            <w:noWrap/>
            <w:vAlign w:val="bottom"/>
            <w:hideMark/>
          </w:tcPr>
          <w:p w14:paraId="7CD9E6B1" w14:textId="77777777" w:rsidR="00A43992" w:rsidRPr="00267088" w:rsidRDefault="00A43992" w:rsidP="007211E3">
            <w:pPr>
              <w:jc w:val="right"/>
              <w:rPr>
                <w:rFonts w:ascii="Arial" w:hAnsi="Arial" w:cs="Arial"/>
                <w:b/>
                <w:bCs/>
                <w:sz w:val="18"/>
                <w:szCs w:val="18"/>
              </w:rPr>
            </w:pPr>
            <w:r w:rsidRPr="00267088">
              <w:rPr>
                <w:rFonts w:ascii="Arial" w:hAnsi="Arial" w:cs="Arial"/>
                <w:b/>
                <w:bCs/>
                <w:sz w:val="18"/>
                <w:szCs w:val="18"/>
              </w:rPr>
              <w:t>1,078</w:t>
            </w:r>
          </w:p>
        </w:tc>
        <w:tc>
          <w:tcPr>
            <w:tcW w:w="236" w:type="dxa"/>
            <w:tcBorders>
              <w:top w:val="nil"/>
              <w:left w:val="nil"/>
              <w:bottom w:val="nil"/>
              <w:right w:val="nil"/>
            </w:tcBorders>
            <w:shd w:val="clear" w:color="FFFFFF" w:fill="FFFFFF"/>
            <w:noWrap/>
            <w:vAlign w:val="bottom"/>
            <w:hideMark/>
          </w:tcPr>
          <w:p w14:paraId="4E741C4C" w14:textId="77777777" w:rsidR="00A43992" w:rsidRDefault="00A43992" w:rsidP="007211E3">
            <w:pPr>
              <w:rPr>
                <w:rFonts w:ascii="Arial" w:hAnsi="Arial" w:cs="Arial"/>
                <w:b/>
                <w:bCs/>
                <w:sz w:val="18"/>
                <w:szCs w:val="18"/>
              </w:rPr>
            </w:pPr>
            <w:r>
              <w:rPr>
                <w:rFonts w:ascii="Arial" w:hAnsi="Arial" w:cs="Arial"/>
                <w:b/>
                <w:bCs/>
                <w:sz w:val="18"/>
                <w:szCs w:val="18"/>
              </w:rPr>
              <w:t> </w:t>
            </w:r>
          </w:p>
        </w:tc>
        <w:tc>
          <w:tcPr>
            <w:tcW w:w="1249" w:type="dxa"/>
            <w:tcBorders>
              <w:top w:val="single" w:sz="4" w:space="0" w:color="auto"/>
              <w:left w:val="nil"/>
              <w:bottom w:val="single" w:sz="4" w:space="0" w:color="auto"/>
              <w:right w:val="nil"/>
            </w:tcBorders>
            <w:shd w:val="clear" w:color="FFFFFF" w:fill="FFFFFF"/>
            <w:noWrap/>
            <w:vAlign w:val="bottom"/>
            <w:hideMark/>
          </w:tcPr>
          <w:p w14:paraId="576E5D29" w14:textId="77777777" w:rsidR="00A43992" w:rsidRDefault="00A43992" w:rsidP="007211E3">
            <w:pPr>
              <w:jc w:val="right"/>
              <w:rPr>
                <w:rFonts w:ascii="Arial" w:hAnsi="Arial" w:cs="Arial"/>
                <w:sz w:val="18"/>
                <w:szCs w:val="18"/>
              </w:rPr>
            </w:pPr>
            <w:r>
              <w:rPr>
                <w:rFonts w:ascii="Arial" w:hAnsi="Arial" w:cs="Arial"/>
                <w:sz w:val="18"/>
                <w:szCs w:val="18"/>
              </w:rPr>
              <w:t>724</w:t>
            </w:r>
          </w:p>
        </w:tc>
      </w:tr>
      <w:tr w:rsidR="00A43992" w14:paraId="7EBF8B03" w14:textId="77777777" w:rsidTr="007211E3">
        <w:trPr>
          <w:trHeight w:val="255"/>
        </w:trPr>
        <w:tc>
          <w:tcPr>
            <w:tcW w:w="6353" w:type="dxa"/>
            <w:tcBorders>
              <w:top w:val="nil"/>
              <w:left w:val="nil"/>
              <w:bottom w:val="nil"/>
              <w:right w:val="nil"/>
            </w:tcBorders>
            <w:shd w:val="clear" w:color="FFFFFF" w:fill="FFFFFF"/>
            <w:noWrap/>
            <w:vAlign w:val="bottom"/>
            <w:hideMark/>
          </w:tcPr>
          <w:p w14:paraId="46106919" w14:textId="77777777" w:rsidR="00A43992" w:rsidRDefault="00A43992" w:rsidP="007211E3">
            <w:pPr>
              <w:rPr>
                <w:rFonts w:ascii="Arial" w:hAnsi="Arial" w:cs="Arial"/>
                <w:sz w:val="18"/>
                <w:szCs w:val="18"/>
              </w:rPr>
            </w:pPr>
            <w:r>
              <w:rPr>
                <w:rFonts w:ascii="Arial" w:hAnsi="Arial" w:cs="Arial"/>
                <w:sz w:val="18"/>
                <w:szCs w:val="18"/>
              </w:rPr>
              <w:t> </w:t>
            </w:r>
          </w:p>
        </w:tc>
        <w:tc>
          <w:tcPr>
            <w:tcW w:w="1249" w:type="dxa"/>
            <w:tcBorders>
              <w:top w:val="nil"/>
              <w:left w:val="nil"/>
              <w:bottom w:val="nil"/>
              <w:right w:val="nil"/>
            </w:tcBorders>
            <w:shd w:val="clear" w:color="FFFFFF" w:fill="FFFFFF"/>
            <w:noWrap/>
            <w:vAlign w:val="bottom"/>
            <w:hideMark/>
          </w:tcPr>
          <w:p w14:paraId="7E9CC197" w14:textId="77777777" w:rsidR="00A43992" w:rsidRPr="00267088" w:rsidRDefault="00A43992" w:rsidP="007211E3">
            <w:pPr>
              <w:rPr>
                <w:rFonts w:ascii="Arial" w:hAnsi="Arial" w:cs="Arial"/>
                <w:sz w:val="18"/>
                <w:szCs w:val="18"/>
              </w:rPr>
            </w:pPr>
            <w:r w:rsidRPr="00267088">
              <w:rPr>
                <w:rFonts w:ascii="Arial" w:hAnsi="Arial" w:cs="Arial"/>
                <w:sz w:val="18"/>
                <w:szCs w:val="18"/>
              </w:rPr>
              <w:t> </w:t>
            </w:r>
          </w:p>
        </w:tc>
        <w:tc>
          <w:tcPr>
            <w:tcW w:w="236" w:type="dxa"/>
            <w:tcBorders>
              <w:top w:val="nil"/>
              <w:left w:val="nil"/>
              <w:bottom w:val="nil"/>
              <w:right w:val="nil"/>
            </w:tcBorders>
            <w:shd w:val="clear" w:color="FFFFFF" w:fill="FFFFFF"/>
            <w:noWrap/>
            <w:vAlign w:val="bottom"/>
            <w:hideMark/>
          </w:tcPr>
          <w:p w14:paraId="5EBBB211" w14:textId="77777777" w:rsidR="00A43992" w:rsidRDefault="00A43992" w:rsidP="007211E3">
            <w:pPr>
              <w:rPr>
                <w:rFonts w:ascii="Arial" w:hAnsi="Arial" w:cs="Arial"/>
                <w:sz w:val="18"/>
                <w:szCs w:val="18"/>
              </w:rPr>
            </w:pPr>
            <w:r>
              <w:rPr>
                <w:rFonts w:ascii="Arial" w:hAnsi="Arial" w:cs="Arial"/>
                <w:sz w:val="18"/>
                <w:szCs w:val="18"/>
              </w:rPr>
              <w:t> </w:t>
            </w:r>
          </w:p>
        </w:tc>
        <w:tc>
          <w:tcPr>
            <w:tcW w:w="1249" w:type="dxa"/>
            <w:tcBorders>
              <w:top w:val="nil"/>
              <w:left w:val="nil"/>
              <w:bottom w:val="nil"/>
              <w:right w:val="nil"/>
            </w:tcBorders>
            <w:shd w:val="clear" w:color="FFFFFF" w:fill="FFFFFF"/>
            <w:noWrap/>
            <w:vAlign w:val="bottom"/>
            <w:hideMark/>
          </w:tcPr>
          <w:p w14:paraId="61AB2BE3" w14:textId="77777777" w:rsidR="00A43992" w:rsidRDefault="00A43992" w:rsidP="007211E3">
            <w:pPr>
              <w:rPr>
                <w:rFonts w:ascii="Arial" w:hAnsi="Arial" w:cs="Arial"/>
                <w:sz w:val="18"/>
                <w:szCs w:val="18"/>
              </w:rPr>
            </w:pPr>
            <w:r>
              <w:rPr>
                <w:rFonts w:ascii="Arial" w:hAnsi="Arial" w:cs="Arial"/>
                <w:sz w:val="18"/>
                <w:szCs w:val="18"/>
              </w:rPr>
              <w:t> </w:t>
            </w:r>
          </w:p>
        </w:tc>
      </w:tr>
      <w:tr w:rsidR="00A43992" w14:paraId="1212624D" w14:textId="77777777" w:rsidTr="007211E3">
        <w:trPr>
          <w:trHeight w:val="255"/>
        </w:trPr>
        <w:tc>
          <w:tcPr>
            <w:tcW w:w="6353" w:type="dxa"/>
            <w:tcBorders>
              <w:top w:val="nil"/>
              <w:left w:val="nil"/>
              <w:bottom w:val="nil"/>
              <w:right w:val="nil"/>
            </w:tcBorders>
            <w:shd w:val="clear" w:color="FFFFFF" w:fill="FFFFFF"/>
            <w:vAlign w:val="bottom"/>
            <w:hideMark/>
          </w:tcPr>
          <w:p w14:paraId="1544F358" w14:textId="77777777" w:rsidR="00A43992" w:rsidRDefault="00A43992" w:rsidP="007211E3">
            <w:pPr>
              <w:rPr>
                <w:rFonts w:ascii="Arial" w:hAnsi="Arial" w:cs="Arial"/>
                <w:b/>
                <w:bCs/>
                <w:sz w:val="18"/>
                <w:szCs w:val="18"/>
              </w:rPr>
            </w:pPr>
            <w:r>
              <w:rPr>
                <w:rFonts w:ascii="Arial" w:hAnsi="Arial" w:cs="Arial"/>
                <w:b/>
                <w:bCs/>
                <w:sz w:val="18"/>
                <w:szCs w:val="18"/>
              </w:rPr>
              <w:t>Termination benefits</w:t>
            </w:r>
          </w:p>
        </w:tc>
        <w:tc>
          <w:tcPr>
            <w:tcW w:w="1249" w:type="dxa"/>
            <w:tcBorders>
              <w:top w:val="nil"/>
              <w:left w:val="nil"/>
              <w:bottom w:val="nil"/>
              <w:right w:val="nil"/>
            </w:tcBorders>
            <w:shd w:val="clear" w:color="FFFFFF" w:fill="FFFFFF"/>
            <w:noWrap/>
            <w:vAlign w:val="bottom"/>
            <w:hideMark/>
          </w:tcPr>
          <w:p w14:paraId="1138372F" w14:textId="77777777" w:rsidR="00A43992" w:rsidRPr="00267088" w:rsidRDefault="00A43992" w:rsidP="007211E3">
            <w:pPr>
              <w:rPr>
                <w:rFonts w:ascii="Arial" w:hAnsi="Arial" w:cs="Arial"/>
                <w:b/>
                <w:bCs/>
                <w:sz w:val="18"/>
                <w:szCs w:val="18"/>
              </w:rPr>
            </w:pPr>
            <w:r w:rsidRPr="00267088">
              <w:rPr>
                <w:rFonts w:ascii="Arial" w:hAnsi="Arial" w:cs="Arial"/>
                <w:b/>
                <w:bCs/>
                <w:sz w:val="18"/>
                <w:szCs w:val="18"/>
              </w:rPr>
              <w:t> </w:t>
            </w:r>
          </w:p>
        </w:tc>
        <w:tc>
          <w:tcPr>
            <w:tcW w:w="236" w:type="dxa"/>
            <w:tcBorders>
              <w:top w:val="nil"/>
              <w:left w:val="nil"/>
              <w:bottom w:val="nil"/>
              <w:right w:val="nil"/>
            </w:tcBorders>
            <w:shd w:val="clear" w:color="FFFFFF" w:fill="FFFFFF"/>
            <w:noWrap/>
            <w:vAlign w:val="bottom"/>
            <w:hideMark/>
          </w:tcPr>
          <w:p w14:paraId="34A9D31A" w14:textId="77777777" w:rsidR="00A43992" w:rsidRDefault="00A43992" w:rsidP="007211E3">
            <w:pPr>
              <w:rPr>
                <w:rFonts w:ascii="Arial" w:hAnsi="Arial" w:cs="Arial"/>
                <w:b/>
                <w:bCs/>
                <w:sz w:val="18"/>
                <w:szCs w:val="18"/>
              </w:rPr>
            </w:pPr>
            <w:r>
              <w:rPr>
                <w:rFonts w:ascii="Arial" w:hAnsi="Arial" w:cs="Arial"/>
                <w:b/>
                <w:bCs/>
                <w:sz w:val="18"/>
                <w:szCs w:val="18"/>
              </w:rPr>
              <w:t> </w:t>
            </w:r>
          </w:p>
        </w:tc>
        <w:tc>
          <w:tcPr>
            <w:tcW w:w="1249" w:type="dxa"/>
            <w:tcBorders>
              <w:top w:val="nil"/>
              <w:left w:val="nil"/>
              <w:bottom w:val="nil"/>
              <w:right w:val="nil"/>
            </w:tcBorders>
            <w:shd w:val="clear" w:color="FFFFFF" w:fill="FFFFFF"/>
            <w:noWrap/>
            <w:vAlign w:val="bottom"/>
            <w:hideMark/>
          </w:tcPr>
          <w:p w14:paraId="72145BCB" w14:textId="77777777" w:rsidR="00A43992" w:rsidRDefault="00A43992" w:rsidP="007211E3">
            <w:pPr>
              <w:rPr>
                <w:rFonts w:ascii="Arial" w:hAnsi="Arial" w:cs="Arial"/>
                <w:sz w:val="18"/>
                <w:szCs w:val="18"/>
              </w:rPr>
            </w:pPr>
            <w:r>
              <w:rPr>
                <w:rFonts w:ascii="Arial" w:hAnsi="Arial" w:cs="Arial"/>
                <w:sz w:val="18"/>
                <w:szCs w:val="18"/>
              </w:rPr>
              <w:t> </w:t>
            </w:r>
          </w:p>
        </w:tc>
      </w:tr>
      <w:tr w:rsidR="00A43992" w14:paraId="70C4CE6E" w14:textId="77777777" w:rsidTr="007211E3">
        <w:trPr>
          <w:trHeight w:val="255"/>
        </w:trPr>
        <w:tc>
          <w:tcPr>
            <w:tcW w:w="6353" w:type="dxa"/>
            <w:tcBorders>
              <w:top w:val="nil"/>
              <w:left w:val="nil"/>
              <w:bottom w:val="nil"/>
              <w:right w:val="nil"/>
            </w:tcBorders>
            <w:shd w:val="clear" w:color="FFFFFF" w:fill="FFFFFF"/>
            <w:noWrap/>
            <w:vAlign w:val="bottom"/>
            <w:hideMark/>
          </w:tcPr>
          <w:p w14:paraId="6651D8A5" w14:textId="77777777" w:rsidR="00A43992" w:rsidRDefault="00A43992" w:rsidP="007211E3">
            <w:pPr>
              <w:ind w:firstLineChars="100" w:firstLine="180"/>
              <w:rPr>
                <w:rFonts w:ascii="Arial" w:hAnsi="Arial" w:cs="Arial"/>
                <w:sz w:val="18"/>
                <w:szCs w:val="18"/>
              </w:rPr>
            </w:pPr>
            <w:r>
              <w:rPr>
                <w:rFonts w:ascii="Arial" w:hAnsi="Arial" w:cs="Arial"/>
                <w:sz w:val="18"/>
                <w:szCs w:val="18"/>
              </w:rPr>
              <w:t>Voluntary redundancy</w:t>
            </w:r>
          </w:p>
        </w:tc>
        <w:tc>
          <w:tcPr>
            <w:tcW w:w="1249" w:type="dxa"/>
            <w:tcBorders>
              <w:top w:val="nil"/>
              <w:left w:val="nil"/>
              <w:bottom w:val="nil"/>
              <w:right w:val="nil"/>
            </w:tcBorders>
            <w:shd w:val="clear" w:color="FFFFFF" w:fill="FFFFFF"/>
            <w:noWrap/>
            <w:vAlign w:val="bottom"/>
            <w:hideMark/>
          </w:tcPr>
          <w:p w14:paraId="6CF12661" w14:textId="77777777" w:rsidR="00A43992" w:rsidRPr="00267088" w:rsidRDefault="00A43992" w:rsidP="007211E3">
            <w:pPr>
              <w:jc w:val="right"/>
              <w:rPr>
                <w:rFonts w:ascii="Arial" w:hAnsi="Arial" w:cs="Arial"/>
                <w:b/>
                <w:bCs/>
                <w:sz w:val="18"/>
                <w:szCs w:val="18"/>
              </w:rPr>
            </w:pPr>
            <w:r w:rsidRPr="00267088">
              <w:rPr>
                <w:rFonts w:ascii="Arial" w:hAnsi="Arial" w:cs="Arial"/>
                <w:b/>
                <w:bCs/>
                <w:sz w:val="18"/>
                <w:szCs w:val="18"/>
              </w:rPr>
              <w:t>-</w:t>
            </w:r>
          </w:p>
        </w:tc>
        <w:tc>
          <w:tcPr>
            <w:tcW w:w="236" w:type="dxa"/>
            <w:tcBorders>
              <w:top w:val="nil"/>
              <w:left w:val="nil"/>
              <w:bottom w:val="nil"/>
              <w:right w:val="nil"/>
            </w:tcBorders>
            <w:shd w:val="clear" w:color="FFFFFF" w:fill="FFFFFF"/>
            <w:noWrap/>
            <w:vAlign w:val="bottom"/>
            <w:hideMark/>
          </w:tcPr>
          <w:p w14:paraId="7A5A3B6A" w14:textId="77777777" w:rsidR="00A43992" w:rsidRDefault="00A43992" w:rsidP="007211E3">
            <w:pPr>
              <w:rPr>
                <w:rFonts w:ascii="Arial" w:hAnsi="Arial" w:cs="Arial"/>
                <w:b/>
                <w:bCs/>
                <w:sz w:val="18"/>
                <w:szCs w:val="18"/>
              </w:rPr>
            </w:pPr>
            <w:r>
              <w:rPr>
                <w:rFonts w:ascii="Arial" w:hAnsi="Arial" w:cs="Arial"/>
                <w:b/>
                <w:bCs/>
                <w:sz w:val="18"/>
                <w:szCs w:val="18"/>
              </w:rPr>
              <w:t> </w:t>
            </w:r>
          </w:p>
        </w:tc>
        <w:tc>
          <w:tcPr>
            <w:tcW w:w="1249" w:type="dxa"/>
            <w:tcBorders>
              <w:top w:val="nil"/>
              <w:left w:val="nil"/>
              <w:bottom w:val="nil"/>
              <w:right w:val="nil"/>
            </w:tcBorders>
            <w:shd w:val="clear" w:color="FFFFFF" w:fill="FFFFFF"/>
            <w:noWrap/>
            <w:vAlign w:val="bottom"/>
            <w:hideMark/>
          </w:tcPr>
          <w:p w14:paraId="72A64C2A" w14:textId="77777777" w:rsidR="00A43992" w:rsidRDefault="00A43992" w:rsidP="007211E3">
            <w:pPr>
              <w:jc w:val="right"/>
              <w:rPr>
                <w:rFonts w:ascii="Arial" w:hAnsi="Arial" w:cs="Arial"/>
                <w:sz w:val="18"/>
                <w:szCs w:val="18"/>
              </w:rPr>
            </w:pPr>
            <w:r>
              <w:rPr>
                <w:rFonts w:ascii="Arial" w:hAnsi="Arial" w:cs="Arial"/>
                <w:sz w:val="18"/>
                <w:szCs w:val="18"/>
              </w:rPr>
              <w:t>522</w:t>
            </w:r>
          </w:p>
        </w:tc>
      </w:tr>
      <w:tr w:rsidR="00A43992" w14:paraId="3A56C211" w14:textId="77777777" w:rsidTr="007211E3">
        <w:trPr>
          <w:trHeight w:val="255"/>
        </w:trPr>
        <w:tc>
          <w:tcPr>
            <w:tcW w:w="6353" w:type="dxa"/>
            <w:tcBorders>
              <w:top w:val="nil"/>
              <w:left w:val="nil"/>
              <w:bottom w:val="nil"/>
              <w:right w:val="nil"/>
            </w:tcBorders>
            <w:shd w:val="clear" w:color="FFFFFF" w:fill="FFFFFF"/>
            <w:vAlign w:val="bottom"/>
            <w:hideMark/>
          </w:tcPr>
          <w:p w14:paraId="493056CF" w14:textId="77777777" w:rsidR="00A43992" w:rsidRDefault="00A43992" w:rsidP="007211E3">
            <w:pPr>
              <w:rPr>
                <w:rFonts w:ascii="Arial" w:hAnsi="Arial" w:cs="Arial"/>
                <w:b/>
                <w:bCs/>
                <w:sz w:val="18"/>
                <w:szCs w:val="18"/>
              </w:rPr>
            </w:pPr>
            <w:r>
              <w:rPr>
                <w:rFonts w:ascii="Arial" w:hAnsi="Arial" w:cs="Arial"/>
                <w:b/>
                <w:bCs/>
                <w:sz w:val="18"/>
                <w:szCs w:val="18"/>
              </w:rPr>
              <w:t>Total termination benefits</w:t>
            </w:r>
          </w:p>
        </w:tc>
        <w:tc>
          <w:tcPr>
            <w:tcW w:w="1249" w:type="dxa"/>
            <w:tcBorders>
              <w:top w:val="single" w:sz="4" w:space="0" w:color="auto"/>
              <w:left w:val="nil"/>
              <w:bottom w:val="single" w:sz="4" w:space="0" w:color="auto"/>
              <w:right w:val="nil"/>
            </w:tcBorders>
            <w:shd w:val="clear" w:color="FFFFFF" w:fill="FFFFFF"/>
            <w:noWrap/>
            <w:vAlign w:val="bottom"/>
            <w:hideMark/>
          </w:tcPr>
          <w:p w14:paraId="5E7F1EFC" w14:textId="77777777" w:rsidR="00A43992" w:rsidRPr="00267088" w:rsidRDefault="00A43992" w:rsidP="007211E3">
            <w:pPr>
              <w:jc w:val="right"/>
              <w:rPr>
                <w:rFonts w:ascii="Arial" w:hAnsi="Arial" w:cs="Arial"/>
                <w:b/>
                <w:bCs/>
                <w:sz w:val="18"/>
                <w:szCs w:val="18"/>
              </w:rPr>
            </w:pPr>
            <w:r w:rsidRPr="00267088">
              <w:rPr>
                <w:rFonts w:ascii="Arial" w:hAnsi="Arial" w:cs="Arial"/>
                <w:b/>
                <w:bCs/>
                <w:sz w:val="18"/>
                <w:szCs w:val="18"/>
              </w:rPr>
              <w:t>-</w:t>
            </w:r>
          </w:p>
        </w:tc>
        <w:tc>
          <w:tcPr>
            <w:tcW w:w="236" w:type="dxa"/>
            <w:tcBorders>
              <w:top w:val="nil"/>
              <w:left w:val="nil"/>
              <w:bottom w:val="nil"/>
              <w:right w:val="nil"/>
            </w:tcBorders>
            <w:shd w:val="clear" w:color="FFFFFF" w:fill="FFFFFF"/>
            <w:noWrap/>
            <w:vAlign w:val="bottom"/>
            <w:hideMark/>
          </w:tcPr>
          <w:p w14:paraId="4DD496F1" w14:textId="77777777" w:rsidR="00A43992" w:rsidRDefault="00A43992" w:rsidP="007211E3">
            <w:pPr>
              <w:rPr>
                <w:rFonts w:ascii="Arial" w:hAnsi="Arial" w:cs="Arial"/>
                <w:b/>
                <w:bCs/>
                <w:sz w:val="18"/>
                <w:szCs w:val="18"/>
              </w:rPr>
            </w:pPr>
            <w:r>
              <w:rPr>
                <w:rFonts w:ascii="Arial" w:hAnsi="Arial" w:cs="Arial"/>
                <w:b/>
                <w:bCs/>
                <w:sz w:val="18"/>
                <w:szCs w:val="18"/>
              </w:rPr>
              <w:t> </w:t>
            </w:r>
          </w:p>
        </w:tc>
        <w:tc>
          <w:tcPr>
            <w:tcW w:w="1249" w:type="dxa"/>
            <w:tcBorders>
              <w:top w:val="single" w:sz="4" w:space="0" w:color="auto"/>
              <w:left w:val="nil"/>
              <w:bottom w:val="single" w:sz="4" w:space="0" w:color="auto"/>
              <w:right w:val="nil"/>
            </w:tcBorders>
            <w:shd w:val="clear" w:color="FFFFFF" w:fill="FFFFFF"/>
            <w:noWrap/>
            <w:vAlign w:val="bottom"/>
            <w:hideMark/>
          </w:tcPr>
          <w:p w14:paraId="6FAF7CE1" w14:textId="77777777" w:rsidR="00A43992" w:rsidRDefault="00A43992" w:rsidP="007211E3">
            <w:pPr>
              <w:jc w:val="right"/>
              <w:rPr>
                <w:rFonts w:ascii="Arial" w:hAnsi="Arial" w:cs="Arial"/>
                <w:sz w:val="18"/>
                <w:szCs w:val="18"/>
              </w:rPr>
            </w:pPr>
            <w:r>
              <w:rPr>
                <w:rFonts w:ascii="Arial" w:hAnsi="Arial" w:cs="Arial"/>
                <w:sz w:val="18"/>
                <w:szCs w:val="18"/>
              </w:rPr>
              <w:t>522</w:t>
            </w:r>
          </w:p>
        </w:tc>
      </w:tr>
      <w:tr w:rsidR="00A43992" w14:paraId="71A77D31" w14:textId="77777777" w:rsidTr="007211E3">
        <w:trPr>
          <w:trHeight w:val="255"/>
        </w:trPr>
        <w:tc>
          <w:tcPr>
            <w:tcW w:w="6353" w:type="dxa"/>
            <w:tcBorders>
              <w:top w:val="nil"/>
              <w:left w:val="nil"/>
              <w:bottom w:val="nil"/>
              <w:right w:val="nil"/>
            </w:tcBorders>
            <w:shd w:val="clear" w:color="FFFFFF" w:fill="FFFFFF"/>
            <w:noWrap/>
            <w:vAlign w:val="bottom"/>
            <w:hideMark/>
          </w:tcPr>
          <w:p w14:paraId="2D5FE99B" w14:textId="77777777" w:rsidR="00A43992" w:rsidRDefault="00A43992" w:rsidP="007211E3">
            <w:pPr>
              <w:rPr>
                <w:rFonts w:ascii="Arial" w:hAnsi="Arial" w:cs="Arial"/>
                <w:sz w:val="18"/>
                <w:szCs w:val="18"/>
              </w:rPr>
            </w:pPr>
            <w:r>
              <w:rPr>
                <w:rFonts w:ascii="Arial" w:hAnsi="Arial" w:cs="Arial"/>
                <w:sz w:val="18"/>
                <w:szCs w:val="18"/>
              </w:rPr>
              <w:t> </w:t>
            </w:r>
          </w:p>
        </w:tc>
        <w:tc>
          <w:tcPr>
            <w:tcW w:w="1249" w:type="dxa"/>
            <w:tcBorders>
              <w:top w:val="nil"/>
              <w:left w:val="nil"/>
              <w:bottom w:val="nil"/>
              <w:right w:val="nil"/>
            </w:tcBorders>
            <w:shd w:val="clear" w:color="FFFFFF" w:fill="FFFFFF"/>
            <w:noWrap/>
            <w:vAlign w:val="bottom"/>
            <w:hideMark/>
          </w:tcPr>
          <w:p w14:paraId="5391BA92" w14:textId="77777777" w:rsidR="00A43992" w:rsidRPr="00267088" w:rsidRDefault="00A43992" w:rsidP="007211E3">
            <w:pPr>
              <w:rPr>
                <w:rFonts w:ascii="Arial" w:hAnsi="Arial" w:cs="Arial"/>
                <w:sz w:val="18"/>
                <w:szCs w:val="18"/>
              </w:rPr>
            </w:pPr>
            <w:r w:rsidRPr="00267088">
              <w:rPr>
                <w:rFonts w:ascii="Arial" w:hAnsi="Arial" w:cs="Arial"/>
                <w:sz w:val="18"/>
                <w:szCs w:val="18"/>
              </w:rPr>
              <w:t> </w:t>
            </w:r>
          </w:p>
        </w:tc>
        <w:tc>
          <w:tcPr>
            <w:tcW w:w="236" w:type="dxa"/>
            <w:tcBorders>
              <w:top w:val="nil"/>
              <w:left w:val="nil"/>
              <w:bottom w:val="nil"/>
              <w:right w:val="nil"/>
            </w:tcBorders>
            <w:shd w:val="clear" w:color="FFFFFF" w:fill="FFFFFF"/>
            <w:noWrap/>
            <w:vAlign w:val="bottom"/>
            <w:hideMark/>
          </w:tcPr>
          <w:p w14:paraId="18AF5606" w14:textId="77777777" w:rsidR="00A43992" w:rsidRDefault="00A43992" w:rsidP="007211E3">
            <w:pPr>
              <w:rPr>
                <w:rFonts w:ascii="Arial" w:hAnsi="Arial" w:cs="Arial"/>
                <w:sz w:val="18"/>
                <w:szCs w:val="18"/>
              </w:rPr>
            </w:pPr>
            <w:r>
              <w:rPr>
                <w:rFonts w:ascii="Arial" w:hAnsi="Arial" w:cs="Arial"/>
                <w:sz w:val="18"/>
                <w:szCs w:val="18"/>
              </w:rPr>
              <w:t> </w:t>
            </w:r>
          </w:p>
        </w:tc>
        <w:tc>
          <w:tcPr>
            <w:tcW w:w="1249" w:type="dxa"/>
            <w:tcBorders>
              <w:top w:val="nil"/>
              <w:left w:val="nil"/>
              <w:bottom w:val="nil"/>
              <w:right w:val="nil"/>
            </w:tcBorders>
            <w:shd w:val="clear" w:color="FFFFFF" w:fill="FFFFFF"/>
            <w:noWrap/>
            <w:vAlign w:val="bottom"/>
            <w:hideMark/>
          </w:tcPr>
          <w:p w14:paraId="1983D5A3" w14:textId="77777777" w:rsidR="00A43992" w:rsidRDefault="00A43992" w:rsidP="007211E3">
            <w:pPr>
              <w:rPr>
                <w:rFonts w:ascii="Arial" w:hAnsi="Arial" w:cs="Arial"/>
                <w:sz w:val="18"/>
                <w:szCs w:val="18"/>
              </w:rPr>
            </w:pPr>
            <w:r>
              <w:rPr>
                <w:rFonts w:ascii="Arial" w:hAnsi="Arial" w:cs="Arial"/>
                <w:sz w:val="18"/>
                <w:szCs w:val="18"/>
              </w:rPr>
              <w:t> </w:t>
            </w:r>
          </w:p>
        </w:tc>
      </w:tr>
      <w:tr w:rsidR="00A43992" w14:paraId="3E9BF3E3" w14:textId="77777777" w:rsidTr="007211E3">
        <w:trPr>
          <w:trHeight w:val="255"/>
        </w:trPr>
        <w:tc>
          <w:tcPr>
            <w:tcW w:w="6353" w:type="dxa"/>
            <w:tcBorders>
              <w:top w:val="nil"/>
              <w:left w:val="nil"/>
              <w:bottom w:val="nil"/>
              <w:right w:val="nil"/>
            </w:tcBorders>
            <w:shd w:val="clear" w:color="FFFFFF" w:fill="FFFFFF"/>
            <w:vAlign w:val="bottom"/>
            <w:hideMark/>
          </w:tcPr>
          <w:p w14:paraId="417ABCBC" w14:textId="77777777" w:rsidR="00A43992" w:rsidRDefault="00A43992" w:rsidP="007211E3">
            <w:pPr>
              <w:rPr>
                <w:rFonts w:ascii="Arial" w:hAnsi="Arial" w:cs="Arial"/>
                <w:b/>
                <w:bCs/>
                <w:sz w:val="18"/>
                <w:szCs w:val="18"/>
              </w:rPr>
            </w:pPr>
            <w:r>
              <w:rPr>
                <w:rFonts w:ascii="Arial" w:hAnsi="Arial" w:cs="Arial"/>
                <w:b/>
                <w:bCs/>
                <w:sz w:val="18"/>
                <w:szCs w:val="18"/>
              </w:rPr>
              <w:t>Total</w:t>
            </w:r>
          </w:p>
        </w:tc>
        <w:tc>
          <w:tcPr>
            <w:tcW w:w="1249" w:type="dxa"/>
            <w:tcBorders>
              <w:top w:val="single" w:sz="4" w:space="0" w:color="auto"/>
              <w:left w:val="nil"/>
              <w:bottom w:val="single" w:sz="4" w:space="0" w:color="auto"/>
              <w:right w:val="nil"/>
            </w:tcBorders>
            <w:shd w:val="clear" w:color="FFFFFF" w:fill="FFFFFF"/>
            <w:noWrap/>
            <w:vAlign w:val="bottom"/>
            <w:hideMark/>
          </w:tcPr>
          <w:p w14:paraId="1CA73C8F" w14:textId="77777777" w:rsidR="00A43992" w:rsidRPr="00267088" w:rsidRDefault="00A43992" w:rsidP="007211E3">
            <w:pPr>
              <w:jc w:val="right"/>
              <w:rPr>
                <w:rFonts w:ascii="Arial" w:hAnsi="Arial" w:cs="Arial"/>
                <w:b/>
                <w:bCs/>
                <w:sz w:val="18"/>
                <w:szCs w:val="18"/>
              </w:rPr>
            </w:pPr>
            <w:r w:rsidRPr="00267088">
              <w:rPr>
                <w:rFonts w:ascii="Arial" w:hAnsi="Arial" w:cs="Arial"/>
                <w:b/>
                <w:bCs/>
                <w:sz w:val="18"/>
                <w:szCs w:val="18"/>
              </w:rPr>
              <w:t>13,227</w:t>
            </w:r>
          </w:p>
        </w:tc>
        <w:tc>
          <w:tcPr>
            <w:tcW w:w="236" w:type="dxa"/>
            <w:tcBorders>
              <w:top w:val="nil"/>
              <w:left w:val="nil"/>
              <w:bottom w:val="nil"/>
              <w:right w:val="nil"/>
            </w:tcBorders>
            <w:shd w:val="clear" w:color="FFFFFF" w:fill="FFFFFF"/>
            <w:noWrap/>
            <w:vAlign w:val="bottom"/>
            <w:hideMark/>
          </w:tcPr>
          <w:p w14:paraId="56CAFFA2" w14:textId="77777777" w:rsidR="00A43992" w:rsidRDefault="00A43992" w:rsidP="007211E3">
            <w:pPr>
              <w:rPr>
                <w:rFonts w:ascii="Arial" w:hAnsi="Arial" w:cs="Arial"/>
                <w:b/>
                <w:bCs/>
                <w:sz w:val="18"/>
                <w:szCs w:val="18"/>
              </w:rPr>
            </w:pPr>
            <w:r>
              <w:rPr>
                <w:rFonts w:ascii="Arial" w:hAnsi="Arial" w:cs="Arial"/>
                <w:b/>
                <w:bCs/>
                <w:sz w:val="18"/>
                <w:szCs w:val="18"/>
              </w:rPr>
              <w:t> </w:t>
            </w:r>
          </w:p>
        </w:tc>
        <w:tc>
          <w:tcPr>
            <w:tcW w:w="1249" w:type="dxa"/>
            <w:tcBorders>
              <w:top w:val="single" w:sz="4" w:space="0" w:color="auto"/>
              <w:left w:val="nil"/>
              <w:bottom w:val="single" w:sz="4" w:space="0" w:color="auto"/>
              <w:right w:val="nil"/>
            </w:tcBorders>
            <w:shd w:val="clear" w:color="FFFFFF" w:fill="FFFFFF"/>
            <w:noWrap/>
            <w:vAlign w:val="bottom"/>
            <w:hideMark/>
          </w:tcPr>
          <w:p w14:paraId="44BDC0D8" w14:textId="77777777" w:rsidR="00A43992" w:rsidRDefault="00A43992" w:rsidP="007211E3">
            <w:pPr>
              <w:jc w:val="right"/>
              <w:rPr>
                <w:rFonts w:ascii="Arial" w:hAnsi="Arial" w:cs="Arial"/>
                <w:sz w:val="18"/>
                <w:szCs w:val="18"/>
              </w:rPr>
            </w:pPr>
            <w:r>
              <w:rPr>
                <w:rFonts w:ascii="Arial" w:hAnsi="Arial" w:cs="Arial"/>
                <w:sz w:val="18"/>
                <w:szCs w:val="18"/>
              </w:rPr>
              <w:t>9,975</w:t>
            </w:r>
          </w:p>
        </w:tc>
      </w:tr>
    </w:tbl>
    <w:p w14:paraId="7FE827FF" w14:textId="77777777" w:rsidR="00A43992" w:rsidRPr="00630AF9" w:rsidRDefault="00A43992" w:rsidP="00A43992">
      <w:pPr>
        <w:rPr>
          <w:rFonts w:ascii="Arial" w:hAnsi="Arial" w:cs="Arial"/>
          <w:sz w:val="18"/>
          <w:szCs w:val="18"/>
        </w:rPr>
      </w:pPr>
      <w:bookmarkStart w:id="435" w:name="RANGE!D8:G26"/>
      <w:bookmarkStart w:id="436" w:name="RANGE!D8:G25"/>
      <w:bookmarkStart w:id="437" w:name="RANGE!D8:G24"/>
      <w:bookmarkStart w:id="438" w:name="RANGE!D7:G27"/>
      <w:bookmarkStart w:id="439" w:name="RANGE!D7:I21"/>
      <w:bookmarkStart w:id="440" w:name="RANGE!D7:J21"/>
      <w:bookmarkStart w:id="441" w:name="RANGE!D7:J19"/>
      <w:bookmarkStart w:id="442" w:name="RANGE!D6:J18"/>
      <w:bookmarkStart w:id="443" w:name="RANGE!D6:J19"/>
      <w:bookmarkStart w:id="444" w:name="RANGE!D6:J20"/>
      <w:bookmarkEnd w:id="435"/>
      <w:bookmarkEnd w:id="436"/>
      <w:bookmarkEnd w:id="437"/>
      <w:bookmarkEnd w:id="438"/>
      <w:bookmarkEnd w:id="439"/>
      <w:bookmarkEnd w:id="440"/>
      <w:bookmarkEnd w:id="441"/>
      <w:bookmarkEnd w:id="442"/>
      <w:bookmarkEnd w:id="443"/>
      <w:bookmarkEnd w:id="444"/>
    </w:p>
    <w:p w14:paraId="08536E5B" w14:textId="77777777" w:rsidR="00A43992" w:rsidRPr="00630AF9" w:rsidRDefault="00A43992" w:rsidP="00A43992">
      <w:pPr>
        <w:outlineLvl w:val="0"/>
        <w:rPr>
          <w:rFonts w:ascii="Arial" w:hAnsi="Arial" w:cs="Arial"/>
          <w:b/>
          <w:sz w:val="18"/>
          <w:szCs w:val="18"/>
        </w:rPr>
      </w:pPr>
      <w:bookmarkStart w:id="445" w:name="_Toc427244156"/>
      <w:r w:rsidRPr="00243170">
        <w:rPr>
          <w:rFonts w:ascii="Arial" w:hAnsi="Arial" w:cs="Arial"/>
          <w:sz w:val="18"/>
          <w:szCs w:val="18"/>
          <w:vertAlign w:val="superscript"/>
        </w:rPr>
        <w:t>1</w:t>
      </w:r>
      <w:r w:rsidRPr="00630AF9">
        <w:rPr>
          <w:rFonts w:ascii="Arial" w:hAnsi="Arial" w:cs="Arial"/>
          <w:sz w:val="18"/>
          <w:szCs w:val="18"/>
        </w:rPr>
        <w:t xml:space="preserve"> Other allowances include vehicle</w:t>
      </w:r>
      <w:r>
        <w:rPr>
          <w:rFonts w:ascii="Arial" w:hAnsi="Arial" w:cs="Arial"/>
          <w:sz w:val="18"/>
          <w:szCs w:val="18"/>
        </w:rPr>
        <w:t xml:space="preserve"> and relocation</w:t>
      </w:r>
      <w:r w:rsidRPr="00630AF9">
        <w:rPr>
          <w:rFonts w:ascii="Arial" w:hAnsi="Arial" w:cs="Arial"/>
          <w:sz w:val="18"/>
          <w:szCs w:val="18"/>
        </w:rPr>
        <w:t xml:space="preserve"> allowances.</w:t>
      </w:r>
      <w:bookmarkEnd w:id="445"/>
    </w:p>
    <w:p w14:paraId="03BD5155" w14:textId="77777777" w:rsidR="00A43992" w:rsidRPr="00630AF9" w:rsidRDefault="00A43992" w:rsidP="00A43992">
      <w:pPr>
        <w:rPr>
          <w:rFonts w:ascii="Arial" w:hAnsi="Arial" w:cs="Arial"/>
          <w:b/>
          <w:sz w:val="18"/>
          <w:szCs w:val="18"/>
        </w:rPr>
      </w:pPr>
    </w:p>
    <w:p w14:paraId="10E5ED2B" w14:textId="77777777" w:rsidR="00A43992" w:rsidRDefault="00A43992" w:rsidP="00A43992">
      <w:pPr>
        <w:rPr>
          <w:rFonts w:ascii="Arial" w:hAnsi="Arial" w:cs="Arial"/>
          <w:sz w:val="18"/>
          <w:szCs w:val="18"/>
        </w:rPr>
      </w:pPr>
      <w:bookmarkStart w:id="446" w:name="_Toc424912686"/>
      <w:bookmarkStart w:id="447" w:name="_Toc427244157"/>
      <w:r w:rsidRPr="00243170">
        <w:rPr>
          <w:rFonts w:ascii="Arial" w:hAnsi="Arial" w:cs="Arial"/>
          <w:sz w:val="18"/>
          <w:szCs w:val="18"/>
        </w:rPr>
        <w:t>Note 4.2. represents th</w:t>
      </w:r>
      <w:r>
        <w:rPr>
          <w:rFonts w:ascii="Arial" w:hAnsi="Arial" w:cs="Arial"/>
          <w:sz w:val="18"/>
          <w:szCs w:val="18"/>
        </w:rPr>
        <w:t>e Agency’s actual Board Members and</w:t>
      </w:r>
      <w:r w:rsidRPr="00243170">
        <w:rPr>
          <w:rFonts w:ascii="Arial" w:hAnsi="Arial" w:cs="Arial"/>
          <w:sz w:val="18"/>
          <w:szCs w:val="18"/>
        </w:rPr>
        <w:t xml:space="preserve"> senior executive remuneration expenses on an accrual basis. </w:t>
      </w:r>
      <w:bookmarkEnd w:id="446"/>
      <w:r w:rsidRPr="00243170">
        <w:rPr>
          <w:rFonts w:ascii="Arial" w:hAnsi="Arial" w:cs="Arial"/>
          <w:sz w:val="18"/>
          <w:szCs w:val="18"/>
        </w:rPr>
        <w:t xml:space="preserve">The total number of senior management personnel that are included in the above table is </w:t>
      </w:r>
      <w:r>
        <w:rPr>
          <w:rFonts w:ascii="Arial" w:hAnsi="Arial" w:cs="Arial"/>
          <w:sz w:val="18"/>
          <w:szCs w:val="18"/>
        </w:rPr>
        <w:t>67</w:t>
      </w:r>
      <w:r w:rsidRPr="00243170">
        <w:rPr>
          <w:rFonts w:ascii="Arial" w:hAnsi="Arial" w:cs="Arial"/>
          <w:sz w:val="18"/>
          <w:szCs w:val="18"/>
        </w:rPr>
        <w:t xml:space="preserve"> (2014</w:t>
      </w:r>
      <w:r>
        <w:rPr>
          <w:rFonts w:ascii="Arial" w:hAnsi="Arial" w:cs="Arial"/>
          <w:sz w:val="18"/>
          <w:szCs w:val="18"/>
        </w:rPr>
        <w:t>-</w:t>
      </w:r>
      <w:r w:rsidRPr="00243170">
        <w:rPr>
          <w:rFonts w:ascii="Arial" w:hAnsi="Arial" w:cs="Arial"/>
          <w:sz w:val="18"/>
          <w:szCs w:val="18"/>
        </w:rPr>
        <w:t>15: 45).</w:t>
      </w:r>
      <w:bookmarkEnd w:id="447"/>
    </w:p>
    <w:p w14:paraId="5FC84271" w14:textId="77777777" w:rsidR="00A43992" w:rsidRPr="00630AF9" w:rsidRDefault="00A43992" w:rsidP="00A43992">
      <w:pPr>
        <w:rPr>
          <w:rFonts w:ascii="Arial" w:hAnsi="Arial" w:cs="Arial"/>
          <w:b/>
          <w:sz w:val="18"/>
          <w:szCs w:val="18"/>
        </w:rPr>
      </w:pPr>
    </w:p>
    <w:p w14:paraId="20A9CF41" w14:textId="77777777" w:rsidR="00A43992" w:rsidRPr="007204D0" w:rsidRDefault="00A43992" w:rsidP="00A43992">
      <w:pPr>
        <w:pStyle w:val="SubHeading"/>
      </w:pPr>
      <w:bookmarkStart w:id="448" w:name="RANGE!D8:D18"/>
      <w:bookmarkStart w:id="449" w:name="RANGE!D8:G18"/>
      <w:bookmarkStart w:id="450" w:name="RANGE!D7:D17"/>
      <w:bookmarkStart w:id="451" w:name="_Toc456865069"/>
      <w:bookmarkEnd w:id="448"/>
      <w:bookmarkEnd w:id="449"/>
      <w:bookmarkEnd w:id="450"/>
      <w:r>
        <w:t>Related Party Disclosures</w:t>
      </w:r>
      <w:bookmarkEnd w:id="451"/>
    </w:p>
    <w:p w14:paraId="2D80C12A" w14:textId="77777777" w:rsidR="00A43992" w:rsidRDefault="00A43992" w:rsidP="00A43992">
      <w:pPr>
        <w:pStyle w:val="NotesHeading-Level1"/>
        <w:numPr>
          <w:ilvl w:val="0"/>
          <w:numId w:val="0"/>
        </w:numPr>
        <w:outlineLvl w:val="9"/>
      </w:pPr>
    </w:p>
    <w:p w14:paraId="3F7F25D9" w14:textId="77777777" w:rsidR="00A43992" w:rsidRPr="00120D25" w:rsidRDefault="00A43992" w:rsidP="00A43992">
      <w:pPr>
        <w:outlineLvl w:val="0"/>
        <w:rPr>
          <w:rFonts w:ascii="Arial" w:hAnsi="Arial"/>
          <w:i/>
          <w:sz w:val="18"/>
          <w:u w:val="single"/>
        </w:rPr>
      </w:pPr>
      <w:r w:rsidRPr="00120D25">
        <w:rPr>
          <w:rFonts w:ascii="Arial" w:hAnsi="Arial"/>
          <w:i/>
          <w:sz w:val="18"/>
          <w:u w:val="single"/>
        </w:rPr>
        <w:lastRenderedPageBreak/>
        <w:t>Directors or Director-related entities</w:t>
      </w:r>
    </w:p>
    <w:p w14:paraId="0BDBDB83" w14:textId="77777777" w:rsidR="00A43992" w:rsidRPr="00120D25" w:rsidRDefault="00A43992" w:rsidP="00A43992">
      <w:pPr>
        <w:rPr>
          <w:rFonts w:ascii="Arial" w:hAnsi="Arial"/>
          <w:sz w:val="18"/>
        </w:rPr>
      </w:pPr>
      <w:r w:rsidRPr="00120D25">
        <w:rPr>
          <w:rFonts w:ascii="Arial" w:hAnsi="Arial"/>
          <w:sz w:val="18"/>
        </w:rPr>
        <w:t>The Agency is governed by an independent Board of Directors. There were no loans to Directors or Director</w:t>
      </w:r>
      <w:r w:rsidRPr="00120D25">
        <w:rPr>
          <w:rFonts w:ascii="Arial" w:hAnsi="Arial"/>
          <w:sz w:val="18"/>
        </w:rPr>
        <w:noBreakHyphen/>
        <w:t>related parties during the period</w:t>
      </w:r>
      <w:r>
        <w:rPr>
          <w:rFonts w:ascii="Arial" w:hAnsi="Arial"/>
          <w:sz w:val="18"/>
        </w:rPr>
        <w:t xml:space="preserve"> (2014-15: Nil)</w:t>
      </w:r>
      <w:r w:rsidRPr="00120D25">
        <w:rPr>
          <w:rFonts w:ascii="Arial" w:hAnsi="Arial"/>
          <w:sz w:val="18"/>
        </w:rPr>
        <w:t>.</w:t>
      </w:r>
    </w:p>
    <w:p w14:paraId="0C80F6BA" w14:textId="77777777" w:rsidR="00A43992" w:rsidRPr="00120D25" w:rsidRDefault="00A43992" w:rsidP="00A43992">
      <w:pPr>
        <w:rPr>
          <w:rFonts w:ascii="Arial" w:hAnsi="Arial"/>
          <w:sz w:val="18"/>
        </w:rPr>
      </w:pPr>
    </w:p>
    <w:p w14:paraId="4A85F1A5" w14:textId="77777777" w:rsidR="00A43992" w:rsidRPr="00120D25" w:rsidRDefault="00A43992" w:rsidP="00A43992">
      <w:pPr>
        <w:rPr>
          <w:rFonts w:ascii="Arial" w:hAnsi="Arial"/>
          <w:sz w:val="18"/>
        </w:rPr>
      </w:pPr>
      <w:r w:rsidRPr="00120D25">
        <w:rPr>
          <w:rFonts w:ascii="Arial" w:hAnsi="Arial"/>
          <w:sz w:val="18"/>
        </w:rPr>
        <w:t>Bruce Bonyhady AM is a lifetime member of the Association for Children with a Disability. During the financial year the Agency provided grant payments of $</w:t>
      </w:r>
      <w:r>
        <w:rPr>
          <w:rFonts w:ascii="Arial" w:hAnsi="Arial"/>
          <w:sz w:val="18"/>
        </w:rPr>
        <w:t>46,500</w:t>
      </w:r>
      <w:r w:rsidRPr="00120D25">
        <w:rPr>
          <w:rFonts w:ascii="Arial" w:hAnsi="Arial"/>
          <w:sz w:val="18"/>
        </w:rPr>
        <w:t xml:space="preserve"> to the Association for Children with a Disability </w:t>
      </w:r>
      <w:r>
        <w:rPr>
          <w:rFonts w:ascii="Arial" w:hAnsi="Arial"/>
          <w:sz w:val="18"/>
        </w:rPr>
        <w:t xml:space="preserve">as part of the Sector Development Fund and the Community Inclusion and Capacity Development </w:t>
      </w:r>
      <w:proofErr w:type="spellStart"/>
      <w:r>
        <w:rPr>
          <w:rFonts w:ascii="Arial" w:hAnsi="Arial"/>
          <w:sz w:val="18"/>
        </w:rPr>
        <w:t>programme</w:t>
      </w:r>
      <w:proofErr w:type="spellEnd"/>
      <w:r>
        <w:rPr>
          <w:rFonts w:ascii="Arial" w:hAnsi="Arial"/>
          <w:sz w:val="18"/>
        </w:rPr>
        <w:t xml:space="preserve">. During the </w:t>
      </w:r>
      <w:r w:rsidRPr="00120D25">
        <w:rPr>
          <w:rFonts w:ascii="Arial" w:hAnsi="Arial"/>
          <w:sz w:val="18"/>
        </w:rPr>
        <w:t>2014</w:t>
      </w:r>
      <w:r>
        <w:rPr>
          <w:rFonts w:ascii="Arial" w:hAnsi="Arial"/>
          <w:sz w:val="18"/>
        </w:rPr>
        <w:t>-15 financial year,</w:t>
      </w:r>
      <w:r w:rsidRPr="00120D25">
        <w:rPr>
          <w:rFonts w:ascii="Arial" w:hAnsi="Arial"/>
          <w:sz w:val="18"/>
        </w:rPr>
        <w:t xml:space="preserve"> </w:t>
      </w:r>
      <w:r>
        <w:rPr>
          <w:rFonts w:ascii="Arial" w:hAnsi="Arial"/>
          <w:sz w:val="18"/>
        </w:rPr>
        <w:t xml:space="preserve">$175,000 was granted to </w:t>
      </w:r>
      <w:r w:rsidRPr="00120D25">
        <w:rPr>
          <w:rFonts w:ascii="Arial" w:hAnsi="Arial"/>
          <w:sz w:val="18"/>
        </w:rPr>
        <w:t>the Association for Children with a Disability</w:t>
      </w:r>
      <w:r>
        <w:rPr>
          <w:rFonts w:ascii="Arial" w:hAnsi="Arial"/>
          <w:sz w:val="18"/>
        </w:rPr>
        <w:t xml:space="preserve"> </w:t>
      </w:r>
      <w:r w:rsidRPr="00120D25">
        <w:rPr>
          <w:rFonts w:ascii="Arial" w:hAnsi="Arial"/>
          <w:sz w:val="18"/>
        </w:rPr>
        <w:t>from the Sector Development Fund.</w:t>
      </w:r>
    </w:p>
    <w:p w14:paraId="0F942A00" w14:textId="77777777" w:rsidR="00A43992" w:rsidRPr="00120D25" w:rsidRDefault="00A43992" w:rsidP="00A43992">
      <w:pPr>
        <w:rPr>
          <w:rFonts w:ascii="Arial" w:hAnsi="Arial"/>
          <w:sz w:val="18"/>
        </w:rPr>
      </w:pPr>
    </w:p>
    <w:p w14:paraId="421BFA6C" w14:textId="77777777" w:rsidR="00A43992" w:rsidRDefault="00A43992" w:rsidP="00A43992">
      <w:pPr>
        <w:rPr>
          <w:rFonts w:ascii="Arial" w:hAnsi="Arial"/>
          <w:sz w:val="18"/>
        </w:rPr>
      </w:pPr>
      <w:r w:rsidRPr="00120D25">
        <w:rPr>
          <w:rFonts w:ascii="Arial" w:hAnsi="Arial"/>
          <w:sz w:val="18"/>
        </w:rPr>
        <w:t xml:space="preserve">Rhonda </w:t>
      </w:r>
      <w:proofErr w:type="spellStart"/>
      <w:r w:rsidRPr="00120D25">
        <w:rPr>
          <w:rFonts w:ascii="Arial" w:hAnsi="Arial"/>
          <w:sz w:val="18"/>
        </w:rPr>
        <w:t>Galbally</w:t>
      </w:r>
      <w:proofErr w:type="spellEnd"/>
      <w:r w:rsidRPr="00120D25">
        <w:rPr>
          <w:rFonts w:ascii="Arial" w:hAnsi="Arial"/>
          <w:sz w:val="18"/>
        </w:rPr>
        <w:t xml:space="preserve"> AO is an Honorary Professor at Deakin University. During the financial year the Agency provided grant payments of $</w:t>
      </w:r>
      <w:r>
        <w:rPr>
          <w:rFonts w:ascii="Arial" w:hAnsi="Arial"/>
          <w:sz w:val="18"/>
        </w:rPr>
        <w:t>4,686</w:t>
      </w:r>
      <w:r w:rsidRPr="00120D25">
        <w:rPr>
          <w:rFonts w:ascii="Arial" w:hAnsi="Arial"/>
          <w:sz w:val="18"/>
        </w:rPr>
        <w:t xml:space="preserve"> to </w:t>
      </w:r>
      <w:r>
        <w:rPr>
          <w:rFonts w:ascii="Arial" w:hAnsi="Arial"/>
          <w:sz w:val="18"/>
        </w:rPr>
        <w:t>Deakin University</w:t>
      </w:r>
      <w:r w:rsidRPr="00120D25">
        <w:rPr>
          <w:rFonts w:ascii="Arial" w:hAnsi="Arial"/>
          <w:sz w:val="18"/>
        </w:rPr>
        <w:t xml:space="preserve"> </w:t>
      </w:r>
      <w:r>
        <w:rPr>
          <w:rFonts w:ascii="Arial" w:hAnsi="Arial"/>
          <w:sz w:val="18"/>
        </w:rPr>
        <w:t xml:space="preserve">as part of the Community Inclusion and Capacity Development </w:t>
      </w:r>
      <w:proofErr w:type="spellStart"/>
      <w:r>
        <w:rPr>
          <w:rFonts w:ascii="Arial" w:hAnsi="Arial"/>
          <w:sz w:val="18"/>
        </w:rPr>
        <w:t>programme</w:t>
      </w:r>
      <w:proofErr w:type="spellEnd"/>
      <w:r>
        <w:rPr>
          <w:rFonts w:ascii="Arial" w:hAnsi="Arial"/>
          <w:sz w:val="18"/>
        </w:rPr>
        <w:t xml:space="preserve">. </w:t>
      </w:r>
      <w:r w:rsidRPr="00120D25">
        <w:rPr>
          <w:rFonts w:ascii="Arial" w:hAnsi="Arial"/>
          <w:sz w:val="18"/>
        </w:rPr>
        <w:t>During the</w:t>
      </w:r>
      <w:r>
        <w:rPr>
          <w:rFonts w:ascii="Arial" w:hAnsi="Arial"/>
          <w:sz w:val="18"/>
        </w:rPr>
        <w:t xml:space="preserve"> 2014-15</w:t>
      </w:r>
      <w:r w:rsidRPr="00120D25">
        <w:rPr>
          <w:rFonts w:ascii="Arial" w:hAnsi="Arial"/>
          <w:sz w:val="18"/>
        </w:rPr>
        <w:t xml:space="preserve"> financial year</w:t>
      </w:r>
      <w:r>
        <w:rPr>
          <w:rFonts w:ascii="Arial" w:hAnsi="Arial"/>
          <w:sz w:val="18"/>
        </w:rPr>
        <w:t>,</w:t>
      </w:r>
      <w:r w:rsidRPr="00120D25">
        <w:rPr>
          <w:rFonts w:ascii="Arial" w:hAnsi="Arial"/>
          <w:sz w:val="18"/>
        </w:rPr>
        <w:t xml:space="preserve"> the Agency seconded an employee of Deakin University with the total value of services of</w:t>
      </w:r>
      <w:r>
        <w:rPr>
          <w:rFonts w:ascii="Arial" w:hAnsi="Arial"/>
          <w:sz w:val="18"/>
        </w:rPr>
        <w:t xml:space="preserve"> </w:t>
      </w:r>
      <w:r w:rsidRPr="00120D25">
        <w:rPr>
          <w:rFonts w:ascii="Arial" w:hAnsi="Arial"/>
          <w:sz w:val="18"/>
        </w:rPr>
        <w:t>$207,425.</w:t>
      </w:r>
    </w:p>
    <w:p w14:paraId="4662D275" w14:textId="77777777" w:rsidR="00A43992" w:rsidRDefault="00A43992" w:rsidP="00A43992">
      <w:pPr>
        <w:rPr>
          <w:rFonts w:ascii="Arial" w:hAnsi="Arial"/>
          <w:sz w:val="18"/>
        </w:rPr>
      </w:pPr>
    </w:p>
    <w:p w14:paraId="5830A872" w14:textId="77777777" w:rsidR="00A43992" w:rsidRPr="00120D25" w:rsidRDefault="00A43992" w:rsidP="00A43992">
      <w:pPr>
        <w:rPr>
          <w:rFonts w:ascii="Arial" w:hAnsi="Arial"/>
          <w:sz w:val="18"/>
        </w:rPr>
      </w:pPr>
      <w:r>
        <w:rPr>
          <w:rFonts w:ascii="Arial" w:hAnsi="Arial"/>
          <w:sz w:val="18"/>
        </w:rPr>
        <w:t xml:space="preserve">Martin Laverty is a Council Member of the </w:t>
      </w:r>
      <w:r w:rsidRPr="00537AAF">
        <w:rPr>
          <w:rFonts w:ascii="Arial" w:hAnsi="Arial"/>
          <w:sz w:val="18"/>
        </w:rPr>
        <w:t>National Rural Health Alliance</w:t>
      </w:r>
      <w:r>
        <w:rPr>
          <w:rFonts w:ascii="Arial" w:hAnsi="Arial"/>
          <w:sz w:val="18"/>
        </w:rPr>
        <w:t xml:space="preserve">. During the financial year, the </w:t>
      </w:r>
      <w:r w:rsidRPr="00537AAF">
        <w:rPr>
          <w:rFonts w:ascii="Arial" w:hAnsi="Arial"/>
          <w:sz w:val="18"/>
        </w:rPr>
        <w:t>National Rural Health Alliance</w:t>
      </w:r>
      <w:r>
        <w:rPr>
          <w:rFonts w:ascii="Arial" w:hAnsi="Arial"/>
          <w:sz w:val="18"/>
        </w:rPr>
        <w:t xml:space="preserve"> provided consulting services to the Agency pertaining to the development of its Rural and Remote servicing strategy. The total value of services provided for the year was $25,120 (2014-15: $nil).</w:t>
      </w:r>
    </w:p>
    <w:p w14:paraId="5DBB045D" w14:textId="77777777" w:rsidR="00A43992" w:rsidRPr="00120D25" w:rsidRDefault="00A43992" w:rsidP="00A43992">
      <w:pPr>
        <w:rPr>
          <w:rFonts w:ascii="Arial" w:hAnsi="Arial"/>
          <w:sz w:val="18"/>
        </w:rPr>
      </w:pPr>
    </w:p>
    <w:p w14:paraId="6AA353A7" w14:textId="77777777" w:rsidR="00A43992" w:rsidRDefault="00A43992" w:rsidP="00A43992">
      <w:pPr>
        <w:outlineLvl w:val="0"/>
        <w:rPr>
          <w:rFonts w:ascii="Arial" w:hAnsi="Arial"/>
          <w:sz w:val="18"/>
        </w:rPr>
      </w:pPr>
      <w:r w:rsidRPr="00120D25">
        <w:rPr>
          <w:rFonts w:ascii="Arial" w:hAnsi="Arial"/>
          <w:sz w:val="18"/>
        </w:rPr>
        <w:t>No Board members played any part in Agency decisions in relation to the transactions noted above.</w:t>
      </w:r>
    </w:p>
    <w:p w14:paraId="16CD0EC7" w14:textId="77777777" w:rsidR="00A43992" w:rsidRPr="00120D25" w:rsidRDefault="00A43992" w:rsidP="00A43992">
      <w:pPr>
        <w:rPr>
          <w:rFonts w:ascii="Arial" w:hAnsi="Arial"/>
          <w:sz w:val="18"/>
        </w:rPr>
      </w:pPr>
    </w:p>
    <w:p w14:paraId="53BCAB5A" w14:textId="77777777" w:rsidR="00A43992" w:rsidRDefault="00A43992" w:rsidP="00A43992">
      <w:pPr>
        <w:rPr>
          <w:rFonts w:ascii="Arial" w:hAnsi="Arial"/>
          <w:sz w:val="18"/>
        </w:rPr>
      </w:pPr>
    </w:p>
    <w:p w14:paraId="08068B58" w14:textId="77777777" w:rsidR="00A43992" w:rsidRPr="00120D25" w:rsidRDefault="00A43992" w:rsidP="00A43992">
      <w:pPr>
        <w:rPr>
          <w:rFonts w:ascii="Arial" w:hAnsi="Arial"/>
          <w:sz w:val="18"/>
        </w:rPr>
      </w:pPr>
    </w:p>
    <w:p w14:paraId="7E1C54CE" w14:textId="77777777" w:rsidR="00A43992" w:rsidRPr="00120D25" w:rsidRDefault="00A43992" w:rsidP="00A43992">
      <w:pPr>
        <w:outlineLvl w:val="0"/>
        <w:rPr>
          <w:rFonts w:ascii="Arial" w:hAnsi="Arial"/>
          <w:i/>
          <w:sz w:val="18"/>
          <w:u w:val="single"/>
        </w:rPr>
      </w:pPr>
      <w:r w:rsidRPr="00120D25">
        <w:rPr>
          <w:rFonts w:ascii="Arial" w:hAnsi="Arial"/>
          <w:i/>
          <w:sz w:val="18"/>
          <w:u w:val="single"/>
        </w:rPr>
        <w:t>Registered Service Providers</w:t>
      </w:r>
    </w:p>
    <w:p w14:paraId="1FEE58A0" w14:textId="77777777" w:rsidR="00A43992" w:rsidRPr="00120D25" w:rsidRDefault="00A43992" w:rsidP="00A43992">
      <w:pPr>
        <w:rPr>
          <w:rFonts w:ascii="Arial" w:hAnsi="Arial"/>
          <w:sz w:val="18"/>
        </w:rPr>
      </w:pPr>
      <w:r w:rsidRPr="00120D25">
        <w:rPr>
          <w:rFonts w:ascii="Arial" w:hAnsi="Arial"/>
          <w:sz w:val="18"/>
        </w:rPr>
        <w:t xml:space="preserve">Participants who elect to have their plan managed by the Agency must select a registered service provider to deliver the supports in their plan. To become a registered service provider an </w:t>
      </w:r>
      <w:proofErr w:type="spellStart"/>
      <w:r w:rsidRPr="00120D25">
        <w:rPr>
          <w:rFonts w:ascii="Arial" w:hAnsi="Arial"/>
          <w:sz w:val="18"/>
        </w:rPr>
        <w:t>organisation</w:t>
      </w:r>
      <w:proofErr w:type="spellEnd"/>
      <w:r w:rsidRPr="00120D25">
        <w:rPr>
          <w:rFonts w:ascii="Arial" w:hAnsi="Arial"/>
          <w:sz w:val="18"/>
        </w:rPr>
        <w:t xml:space="preserve"> must submit an application to the Agency which is assessed against the criteria specified in Part 3 of </w:t>
      </w:r>
      <w:r w:rsidRPr="00120D25">
        <w:rPr>
          <w:rFonts w:ascii="Arial" w:hAnsi="Arial"/>
          <w:i/>
          <w:sz w:val="18"/>
        </w:rPr>
        <w:t xml:space="preserve">National Disability Insurance Scheme (Registered Providers of Supports) Rules 2013. </w:t>
      </w:r>
      <w:r w:rsidRPr="00120D25">
        <w:rPr>
          <w:rFonts w:ascii="Arial" w:hAnsi="Arial"/>
          <w:sz w:val="18"/>
        </w:rPr>
        <w:t xml:space="preserve"> Directors of the Agency are not involved in decisions to accept or reject applications to register as a service provider.      </w:t>
      </w:r>
    </w:p>
    <w:p w14:paraId="15CABA49" w14:textId="77777777" w:rsidR="00A43992" w:rsidRPr="00120D25" w:rsidRDefault="00A43992" w:rsidP="00A43992">
      <w:pPr>
        <w:rPr>
          <w:rFonts w:ascii="Arial" w:hAnsi="Arial"/>
          <w:sz w:val="18"/>
        </w:rPr>
      </w:pPr>
    </w:p>
    <w:p w14:paraId="1D5932ED" w14:textId="77777777" w:rsidR="00A43992" w:rsidRPr="00120D25" w:rsidRDefault="00A43992" w:rsidP="00A43992">
      <w:pPr>
        <w:rPr>
          <w:rFonts w:ascii="Arial" w:hAnsi="Arial"/>
          <w:sz w:val="18"/>
        </w:rPr>
      </w:pPr>
      <w:r w:rsidRPr="00120D25">
        <w:rPr>
          <w:rFonts w:ascii="Arial" w:hAnsi="Arial"/>
          <w:sz w:val="18"/>
        </w:rPr>
        <w:t xml:space="preserve">Several Directors of the Agency play an active role in the disability sector and may have relationships with registered and/or potential service providers. Participants exercise choice and control in selecting service providers for the funded supports in their </w:t>
      </w:r>
      <w:proofErr w:type="spellStart"/>
      <w:r w:rsidRPr="00120D25">
        <w:rPr>
          <w:rFonts w:ascii="Arial" w:hAnsi="Arial"/>
          <w:sz w:val="18"/>
        </w:rPr>
        <w:t>individualised</w:t>
      </w:r>
      <w:proofErr w:type="spellEnd"/>
      <w:r w:rsidRPr="00120D25">
        <w:rPr>
          <w:rFonts w:ascii="Arial" w:hAnsi="Arial"/>
          <w:sz w:val="18"/>
        </w:rPr>
        <w:t xml:space="preserve"> plans and consequently payments made by the Agency to service providers for participant supports are not considered to be related party transactions. </w:t>
      </w:r>
    </w:p>
    <w:p w14:paraId="02036E9D" w14:textId="77777777" w:rsidR="00A43992" w:rsidRPr="00120D25" w:rsidRDefault="00A43992" w:rsidP="00A43992">
      <w:pPr>
        <w:rPr>
          <w:rFonts w:ascii="Arial" w:hAnsi="Arial"/>
          <w:sz w:val="18"/>
        </w:rPr>
      </w:pPr>
    </w:p>
    <w:p w14:paraId="58B73F92" w14:textId="77777777" w:rsidR="00A43992" w:rsidRDefault="00A43992" w:rsidP="00A43992">
      <w:pPr>
        <w:pStyle w:val="NotesHeading-Level1"/>
        <w:numPr>
          <w:ilvl w:val="0"/>
          <w:numId w:val="0"/>
        </w:numPr>
        <w:rPr>
          <w:b w:val="0"/>
          <w:sz w:val="18"/>
        </w:rPr>
      </w:pPr>
      <w:r w:rsidRPr="004E2434">
        <w:rPr>
          <w:b w:val="0"/>
          <w:sz w:val="18"/>
        </w:rPr>
        <w:t>There were no other related party transactions during the period</w:t>
      </w:r>
      <w:r>
        <w:rPr>
          <w:b w:val="0"/>
          <w:sz w:val="18"/>
        </w:rPr>
        <w:t>.</w:t>
      </w:r>
    </w:p>
    <w:p w14:paraId="090EA946" w14:textId="77777777" w:rsidR="00A43992" w:rsidRDefault="00A43992" w:rsidP="00A43992">
      <w:pPr>
        <w:pStyle w:val="NotesHeading-Level1"/>
        <w:numPr>
          <w:ilvl w:val="0"/>
          <w:numId w:val="0"/>
        </w:numPr>
        <w:outlineLvl w:val="9"/>
        <w:rPr>
          <w:b w:val="0"/>
          <w:sz w:val="18"/>
        </w:rPr>
      </w:pPr>
    </w:p>
    <w:p w14:paraId="128095C2" w14:textId="77777777" w:rsidR="00A43992" w:rsidRPr="007204D0" w:rsidRDefault="00A43992" w:rsidP="00A43992">
      <w:pPr>
        <w:pStyle w:val="SubHeading"/>
      </w:pPr>
      <w:bookmarkStart w:id="452" w:name="RANGE!D7:G19"/>
      <w:bookmarkStart w:id="453" w:name="_Toc456865070"/>
      <w:bookmarkEnd w:id="452"/>
      <w:r>
        <w:t>Remuneration of Auditors</w:t>
      </w:r>
      <w:bookmarkEnd w:id="453"/>
    </w:p>
    <w:tbl>
      <w:tblPr>
        <w:tblW w:w="9087" w:type="dxa"/>
        <w:tblInd w:w="80" w:type="dxa"/>
        <w:tblLayout w:type="fixed"/>
        <w:tblLook w:val="04A0" w:firstRow="1" w:lastRow="0" w:firstColumn="1" w:lastColumn="0" w:noHBand="0" w:noVBand="1"/>
      </w:tblPr>
      <w:tblGrid>
        <w:gridCol w:w="6723"/>
        <w:gridCol w:w="1047"/>
        <w:gridCol w:w="270"/>
        <w:gridCol w:w="1047"/>
      </w:tblGrid>
      <w:tr w:rsidR="00A43992" w14:paraId="276096FA" w14:textId="77777777" w:rsidTr="007211E3">
        <w:trPr>
          <w:trHeight w:val="240"/>
        </w:trPr>
        <w:tc>
          <w:tcPr>
            <w:tcW w:w="6656" w:type="dxa"/>
            <w:tcBorders>
              <w:top w:val="nil"/>
              <w:left w:val="nil"/>
              <w:bottom w:val="nil"/>
              <w:right w:val="nil"/>
            </w:tcBorders>
            <w:shd w:val="clear" w:color="FFFFFF" w:fill="FFFFFF"/>
            <w:noWrap/>
            <w:vAlign w:val="bottom"/>
            <w:hideMark/>
          </w:tcPr>
          <w:p w14:paraId="69FDF736" w14:textId="77777777" w:rsidR="00A43992" w:rsidRDefault="00A43992" w:rsidP="007211E3">
            <w:pPr>
              <w:rPr>
                <w:rFonts w:ascii="Arial" w:hAnsi="Arial" w:cs="Arial"/>
                <w:sz w:val="18"/>
                <w:szCs w:val="18"/>
              </w:rPr>
            </w:pPr>
            <w:bookmarkStart w:id="454" w:name="Note_REMTABLE1" w:colFirst="0" w:colLast="0"/>
            <w:r>
              <w:rPr>
                <w:rFonts w:ascii="Arial" w:hAnsi="Arial" w:cs="Arial"/>
                <w:sz w:val="18"/>
                <w:szCs w:val="18"/>
              </w:rPr>
              <w:t> </w:t>
            </w:r>
          </w:p>
        </w:tc>
        <w:tc>
          <w:tcPr>
            <w:tcW w:w="1036" w:type="dxa"/>
            <w:tcBorders>
              <w:top w:val="nil"/>
              <w:left w:val="nil"/>
              <w:bottom w:val="nil"/>
              <w:right w:val="nil"/>
            </w:tcBorders>
            <w:shd w:val="clear" w:color="FFFFFF" w:fill="FFFFFF"/>
            <w:noWrap/>
            <w:vAlign w:val="bottom"/>
            <w:hideMark/>
          </w:tcPr>
          <w:p w14:paraId="4F01B440" w14:textId="77777777" w:rsidR="00A43992" w:rsidRDefault="00A43992" w:rsidP="007211E3">
            <w:pPr>
              <w:jc w:val="right"/>
              <w:rPr>
                <w:rFonts w:ascii="Arial" w:hAnsi="Arial" w:cs="Arial"/>
                <w:b/>
                <w:bCs/>
                <w:sz w:val="18"/>
                <w:szCs w:val="18"/>
              </w:rPr>
            </w:pPr>
            <w:r>
              <w:rPr>
                <w:rFonts w:ascii="Arial" w:hAnsi="Arial" w:cs="Arial"/>
                <w:b/>
                <w:bCs/>
                <w:sz w:val="18"/>
                <w:szCs w:val="18"/>
              </w:rPr>
              <w:t> </w:t>
            </w:r>
          </w:p>
        </w:tc>
        <w:tc>
          <w:tcPr>
            <w:tcW w:w="267" w:type="dxa"/>
            <w:tcBorders>
              <w:top w:val="nil"/>
              <w:left w:val="nil"/>
              <w:bottom w:val="nil"/>
              <w:right w:val="nil"/>
            </w:tcBorders>
            <w:shd w:val="clear" w:color="FFFFFF" w:fill="FFFFFF"/>
            <w:noWrap/>
            <w:vAlign w:val="bottom"/>
            <w:hideMark/>
          </w:tcPr>
          <w:p w14:paraId="0F6CC8BB" w14:textId="77777777" w:rsidR="00A43992" w:rsidRDefault="00A43992" w:rsidP="007211E3">
            <w:pPr>
              <w:rPr>
                <w:rFonts w:ascii="Arial" w:hAnsi="Arial" w:cs="Arial"/>
                <w:sz w:val="18"/>
                <w:szCs w:val="18"/>
              </w:rPr>
            </w:pPr>
            <w:r>
              <w:rPr>
                <w:rFonts w:ascii="Arial" w:hAnsi="Arial" w:cs="Arial"/>
                <w:sz w:val="18"/>
                <w:szCs w:val="18"/>
              </w:rPr>
              <w:t> </w:t>
            </w:r>
          </w:p>
        </w:tc>
        <w:tc>
          <w:tcPr>
            <w:tcW w:w="1036" w:type="dxa"/>
            <w:tcBorders>
              <w:top w:val="nil"/>
              <w:left w:val="nil"/>
              <w:bottom w:val="nil"/>
              <w:right w:val="nil"/>
            </w:tcBorders>
            <w:shd w:val="clear" w:color="FFFFFF" w:fill="FFFFFF"/>
            <w:noWrap/>
            <w:vAlign w:val="bottom"/>
            <w:hideMark/>
          </w:tcPr>
          <w:p w14:paraId="5B5D5A5D" w14:textId="77777777" w:rsidR="00A43992" w:rsidRDefault="00A43992" w:rsidP="007211E3">
            <w:pPr>
              <w:jc w:val="right"/>
              <w:rPr>
                <w:rFonts w:ascii="Arial" w:hAnsi="Arial" w:cs="Arial"/>
                <w:sz w:val="18"/>
                <w:szCs w:val="18"/>
              </w:rPr>
            </w:pPr>
            <w:r>
              <w:rPr>
                <w:rFonts w:ascii="Arial" w:hAnsi="Arial" w:cs="Arial"/>
                <w:sz w:val="18"/>
                <w:szCs w:val="18"/>
              </w:rPr>
              <w:t> </w:t>
            </w:r>
          </w:p>
        </w:tc>
      </w:tr>
      <w:bookmarkEnd w:id="454"/>
      <w:tr w:rsidR="00A43992" w14:paraId="0D054CFC" w14:textId="77777777" w:rsidTr="007211E3">
        <w:trPr>
          <w:trHeight w:val="240"/>
        </w:trPr>
        <w:tc>
          <w:tcPr>
            <w:tcW w:w="6656" w:type="dxa"/>
            <w:tcBorders>
              <w:top w:val="nil"/>
              <w:left w:val="nil"/>
              <w:bottom w:val="nil"/>
              <w:right w:val="nil"/>
            </w:tcBorders>
            <w:shd w:val="clear" w:color="FFFFFF" w:fill="FFFFFF"/>
            <w:noWrap/>
            <w:vAlign w:val="bottom"/>
            <w:hideMark/>
          </w:tcPr>
          <w:p w14:paraId="3F8CAB98" w14:textId="77777777" w:rsidR="00A43992" w:rsidRDefault="00A43992" w:rsidP="007211E3">
            <w:pPr>
              <w:rPr>
                <w:rFonts w:ascii="Arial" w:hAnsi="Arial" w:cs="Arial"/>
                <w:sz w:val="18"/>
                <w:szCs w:val="18"/>
              </w:rPr>
            </w:pPr>
            <w:r>
              <w:rPr>
                <w:rFonts w:ascii="Arial" w:hAnsi="Arial" w:cs="Arial"/>
                <w:sz w:val="18"/>
                <w:szCs w:val="18"/>
              </w:rPr>
              <w:t> </w:t>
            </w:r>
          </w:p>
        </w:tc>
        <w:tc>
          <w:tcPr>
            <w:tcW w:w="1036" w:type="dxa"/>
            <w:tcBorders>
              <w:top w:val="nil"/>
              <w:left w:val="nil"/>
              <w:bottom w:val="nil"/>
              <w:right w:val="nil"/>
            </w:tcBorders>
            <w:shd w:val="clear" w:color="FFFFFF" w:fill="FFFFFF"/>
            <w:noWrap/>
            <w:vAlign w:val="bottom"/>
            <w:hideMark/>
          </w:tcPr>
          <w:p w14:paraId="129FB798" w14:textId="77777777" w:rsidR="00A43992" w:rsidRDefault="00A43992" w:rsidP="007211E3">
            <w:pPr>
              <w:jc w:val="right"/>
              <w:rPr>
                <w:rFonts w:ascii="Arial" w:hAnsi="Arial" w:cs="Arial"/>
                <w:b/>
                <w:bCs/>
                <w:sz w:val="18"/>
                <w:szCs w:val="18"/>
              </w:rPr>
            </w:pPr>
            <w:r>
              <w:rPr>
                <w:rFonts w:ascii="Arial" w:hAnsi="Arial" w:cs="Arial"/>
                <w:b/>
                <w:bCs/>
                <w:sz w:val="18"/>
                <w:szCs w:val="18"/>
              </w:rPr>
              <w:t>2016</w:t>
            </w:r>
          </w:p>
        </w:tc>
        <w:tc>
          <w:tcPr>
            <w:tcW w:w="267" w:type="dxa"/>
            <w:tcBorders>
              <w:top w:val="nil"/>
              <w:left w:val="nil"/>
              <w:bottom w:val="nil"/>
              <w:right w:val="nil"/>
            </w:tcBorders>
            <w:shd w:val="clear" w:color="FFFFFF" w:fill="FFFFFF"/>
            <w:noWrap/>
            <w:vAlign w:val="bottom"/>
            <w:hideMark/>
          </w:tcPr>
          <w:p w14:paraId="1452FFBD" w14:textId="77777777" w:rsidR="00A43992" w:rsidRDefault="00A43992" w:rsidP="007211E3">
            <w:pPr>
              <w:rPr>
                <w:rFonts w:ascii="Arial" w:hAnsi="Arial" w:cs="Arial"/>
                <w:sz w:val="18"/>
                <w:szCs w:val="18"/>
              </w:rPr>
            </w:pPr>
            <w:r>
              <w:rPr>
                <w:rFonts w:ascii="Arial" w:hAnsi="Arial" w:cs="Arial"/>
                <w:sz w:val="18"/>
                <w:szCs w:val="18"/>
              </w:rPr>
              <w:t> </w:t>
            </w:r>
          </w:p>
        </w:tc>
        <w:tc>
          <w:tcPr>
            <w:tcW w:w="1036" w:type="dxa"/>
            <w:tcBorders>
              <w:top w:val="nil"/>
              <w:left w:val="nil"/>
              <w:bottom w:val="nil"/>
              <w:right w:val="nil"/>
            </w:tcBorders>
            <w:shd w:val="clear" w:color="FFFFFF" w:fill="FFFFFF"/>
            <w:noWrap/>
            <w:vAlign w:val="bottom"/>
            <w:hideMark/>
          </w:tcPr>
          <w:p w14:paraId="4F29AE01" w14:textId="77777777" w:rsidR="00A43992" w:rsidRDefault="00A43992" w:rsidP="007211E3">
            <w:pPr>
              <w:jc w:val="right"/>
              <w:rPr>
                <w:rFonts w:ascii="Arial" w:hAnsi="Arial" w:cs="Arial"/>
                <w:sz w:val="18"/>
                <w:szCs w:val="18"/>
              </w:rPr>
            </w:pPr>
            <w:r>
              <w:rPr>
                <w:rFonts w:ascii="Arial" w:hAnsi="Arial" w:cs="Arial"/>
                <w:sz w:val="18"/>
                <w:szCs w:val="18"/>
              </w:rPr>
              <w:t>2015</w:t>
            </w:r>
          </w:p>
        </w:tc>
      </w:tr>
      <w:tr w:rsidR="00A43992" w14:paraId="43C4C6B4" w14:textId="77777777" w:rsidTr="007211E3">
        <w:trPr>
          <w:trHeight w:val="240"/>
        </w:trPr>
        <w:tc>
          <w:tcPr>
            <w:tcW w:w="6656" w:type="dxa"/>
            <w:tcBorders>
              <w:top w:val="nil"/>
              <w:left w:val="nil"/>
              <w:bottom w:val="nil"/>
              <w:right w:val="nil"/>
            </w:tcBorders>
            <w:shd w:val="clear" w:color="FFFFFF" w:fill="FFFFFF"/>
            <w:noWrap/>
            <w:vAlign w:val="bottom"/>
            <w:hideMark/>
          </w:tcPr>
          <w:p w14:paraId="1F671340" w14:textId="77777777" w:rsidR="00A43992" w:rsidRDefault="00A43992" w:rsidP="007211E3">
            <w:pPr>
              <w:rPr>
                <w:rFonts w:ascii="Arial" w:hAnsi="Arial" w:cs="Arial"/>
                <w:sz w:val="18"/>
                <w:szCs w:val="18"/>
              </w:rPr>
            </w:pPr>
            <w:r>
              <w:rPr>
                <w:rFonts w:ascii="Arial" w:hAnsi="Arial" w:cs="Arial"/>
                <w:sz w:val="18"/>
                <w:szCs w:val="18"/>
              </w:rPr>
              <w:t> </w:t>
            </w:r>
          </w:p>
        </w:tc>
        <w:tc>
          <w:tcPr>
            <w:tcW w:w="1036" w:type="dxa"/>
            <w:tcBorders>
              <w:top w:val="nil"/>
              <w:left w:val="nil"/>
              <w:bottom w:val="nil"/>
              <w:right w:val="nil"/>
            </w:tcBorders>
            <w:shd w:val="clear" w:color="FFFFFF" w:fill="FFFFFF"/>
            <w:noWrap/>
            <w:vAlign w:val="bottom"/>
            <w:hideMark/>
          </w:tcPr>
          <w:p w14:paraId="505A3E76" w14:textId="77777777" w:rsidR="00A43992" w:rsidRDefault="00A43992" w:rsidP="007211E3">
            <w:pPr>
              <w:jc w:val="right"/>
              <w:rPr>
                <w:rFonts w:ascii="Arial" w:hAnsi="Arial" w:cs="Arial"/>
                <w:b/>
                <w:bCs/>
                <w:sz w:val="18"/>
                <w:szCs w:val="18"/>
              </w:rPr>
            </w:pPr>
            <w:r>
              <w:rPr>
                <w:rFonts w:ascii="Arial" w:hAnsi="Arial" w:cs="Arial"/>
                <w:b/>
                <w:bCs/>
                <w:sz w:val="18"/>
                <w:szCs w:val="18"/>
              </w:rPr>
              <w:t>$'000</w:t>
            </w:r>
          </w:p>
        </w:tc>
        <w:tc>
          <w:tcPr>
            <w:tcW w:w="267" w:type="dxa"/>
            <w:tcBorders>
              <w:top w:val="nil"/>
              <w:left w:val="nil"/>
              <w:bottom w:val="nil"/>
              <w:right w:val="nil"/>
            </w:tcBorders>
            <w:shd w:val="clear" w:color="FFFFFF" w:fill="FFFFFF"/>
            <w:noWrap/>
            <w:vAlign w:val="bottom"/>
            <w:hideMark/>
          </w:tcPr>
          <w:p w14:paraId="311B2842" w14:textId="77777777" w:rsidR="00A43992" w:rsidRDefault="00A43992" w:rsidP="007211E3">
            <w:pPr>
              <w:rPr>
                <w:rFonts w:ascii="Arial" w:hAnsi="Arial" w:cs="Arial"/>
                <w:sz w:val="18"/>
                <w:szCs w:val="18"/>
              </w:rPr>
            </w:pPr>
            <w:r>
              <w:rPr>
                <w:rFonts w:ascii="Arial" w:hAnsi="Arial" w:cs="Arial"/>
                <w:sz w:val="18"/>
                <w:szCs w:val="18"/>
              </w:rPr>
              <w:t> </w:t>
            </w:r>
          </w:p>
        </w:tc>
        <w:tc>
          <w:tcPr>
            <w:tcW w:w="1036" w:type="dxa"/>
            <w:tcBorders>
              <w:top w:val="nil"/>
              <w:left w:val="nil"/>
              <w:bottom w:val="nil"/>
              <w:right w:val="nil"/>
            </w:tcBorders>
            <w:shd w:val="clear" w:color="FFFFFF" w:fill="FFFFFF"/>
            <w:noWrap/>
            <w:vAlign w:val="bottom"/>
            <w:hideMark/>
          </w:tcPr>
          <w:p w14:paraId="79E43B53" w14:textId="77777777" w:rsidR="00A43992" w:rsidRDefault="00A43992" w:rsidP="007211E3">
            <w:pPr>
              <w:jc w:val="right"/>
              <w:rPr>
                <w:rFonts w:ascii="Arial" w:hAnsi="Arial" w:cs="Arial"/>
                <w:sz w:val="18"/>
                <w:szCs w:val="18"/>
              </w:rPr>
            </w:pPr>
            <w:r>
              <w:rPr>
                <w:rFonts w:ascii="Arial" w:hAnsi="Arial" w:cs="Arial"/>
                <w:sz w:val="18"/>
                <w:szCs w:val="18"/>
              </w:rPr>
              <w:t>$'000</w:t>
            </w:r>
          </w:p>
        </w:tc>
      </w:tr>
      <w:tr w:rsidR="00A43992" w14:paraId="77E216B3" w14:textId="77777777" w:rsidTr="007211E3">
        <w:trPr>
          <w:trHeight w:val="240"/>
        </w:trPr>
        <w:tc>
          <w:tcPr>
            <w:tcW w:w="6656" w:type="dxa"/>
            <w:tcBorders>
              <w:top w:val="nil"/>
              <w:left w:val="nil"/>
              <w:bottom w:val="nil"/>
              <w:right w:val="nil"/>
            </w:tcBorders>
            <w:shd w:val="clear" w:color="FFFFFF" w:fill="FFFFFF"/>
            <w:noWrap/>
            <w:vAlign w:val="bottom"/>
            <w:hideMark/>
          </w:tcPr>
          <w:p w14:paraId="6F07C26D" w14:textId="77777777" w:rsidR="00A43992" w:rsidRDefault="00A43992" w:rsidP="007211E3">
            <w:pPr>
              <w:rPr>
                <w:rFonts w:ascii="Arial" w:hAnsi="Arial" w:cs="Arial"/>
                <w:b/>
                <w:bCs/>
                <w:sz w:val="18"/>
                <w:szCs w:val="18"/>
                <w:u w:val="single"/>
              </w:rPr>
            </w:pPr>
            <w:r>
              <w:rPr>
                <w:rFonts w:ascii="Arial" w:hAnsi="Arial" w:cs="Arial"/>
                <w:b/>
                <w:bCs/>
                <w:sz w:val="18"/>
                <w:szCs w:val="18"/>
                <w:u w:val="single"/>
              </w:rPr>
              <w:t>Note 4.4A: Remuneration of auditors</w:t>
            </w:r>
          </w:p>
        </w:tc>
        <w:tc>
          <w:tcPr>
            <w:tcW w:w="1036" w:type="dxa"/>
            <w:tcBorders>
              <w:top w:val="nil"/>
              <w:left w:val="nil"/>
              <w:bottom w:val="nil"/>
              <w:right w:val="nil"/>
            </w:tcBorders>
            <w:shd w:val="clear" w:color="FFFFFF" w:fill="FFFFFF"/>
            <w:noWrap/>
            <w:vAlign w:val="bottom"/>
            <w:hideMark/>
          </w:tcPr>
          <w:p w14:paraId="17BAC40A" w14:textId="77777777" w:rsidR="00A43992" w:rsidRDefault="00A43992" w:rsidP="007211E3">
            <w:pPr>
              <w:rPr>
                <w:rFonts w:ascii="Arial" w:hAnsi="Arial" w:cs="Arial"/>
                <w:sz w:val="18"/>
                <w:szCs w:val="18"/>
              </w:rPr>
            </w:pPr>
            <w:r>
              <w:rPr>
                <w:rFonts w:ascii="Arial" w:hAnsi="Arial" w:cs="Arial"/>
                <w:sz w:val="18"/>
                <w:szCs w:val="18"/>
              </w:rPr>
              <w:t> </w:t>
            </w:r>
          </w:p>
        </w:tc>
        <w:tc>
          <w:tcPr>
            <w:tcW w:w="267" w:type="dxa"/>
            <w:tcBorders>
              <w:top w:val="nil"/>
              <w:left w:val="nil"/>
              <w:bottom w:val="nil"/>
              <w:right w:val="nil"/>
            </w:tcBorders>
            <w:shd w:val="clear" w:color="FFFFFF" w:fill="FFFFFF"/>
            <w:noWrap/>
            <w:vAlign w:val="bottom"/>
            <w:hideMark/>
          </w:tcPr>
          <w:p w14:paraId="72FF7199" w14:textId="77777777" w:rsidR="00A43992" w:rsidRDefault="00A43992" w:rsidP="007211E3">
            <w:pPr>
              <w:rPr>
                <w:rFonts w:ascii="Arial" w:hAnsi="Arial" w:cs="Arial"/>
                <w:sz w:val="18"/>
                <w:szCs w:val="18"/>
              </w:rPr>
            </w:pPr>
            <w:r>
              <w:rPr>
                <w:rFonts w:ascii="Arial" w:hAnsi="Arial" w:cs="Arial"/>
                <w:sz w:val="18"/>
                <w:szCs w:val="18"/>
              </w:rPr>
              <w:t> </w:t>
            </w:r>
          </w:p>
        </w:tc>
        <w:tc>
          <w:tcPr>
            <w:tcW w:w="1036" w:type="dxa"/>
            <w:tcBorders>
              <w:top w:val="nil"/>
              <w:left w:val="nil"/>
              <w:bottom w:val="nil"/>
              <w:right w:val="nil"/>
            </w:tcBorders>
            <w:shd w:val="clear" w:color="FFFFFF" w:fill="FFFFFF"/>
            <w:noWrap/>
            <w:vAlign w:val="bottom"/>
            <w:hideMark/>
          </w:tcPr>
          <w:p w14:paraId="4CB5DCBD" w14:textId="77777777" w:rsidR="00A43992" w:rsidRDefault="00A43992" w:rsidP="007211E3">
            <w:pPr>
              <w:rPr>
                <w:rFonts w:ascii="Arial" w:hAnsi="Arial" w:cs="Arial"/>
                <w:sz w:val="18"/>
                <w:szCs w:val="18"/>
              </w:rPr>
            </w:pPr>
            <w:r>
              <w:rPr>
                <w:rFonts w:ascii="Arial" w:hAnsi="Arial" w:cs="Arial"/>
                <w:sz w:val="18"/>
                <w:szCs w:val="18"/>
              </w:rPr>
              <w:t> </w:t>
            </w:r>
          </w:p>
        </w:tc>
      </w:tr>
      <w:tr w:rsidR="00A43992" w14:paraId="47ACFE28" w14:textId="77777777" w:rsidTr="007211E3">
        <w:trPr>
          <w:trHeight w:val="240"/>
        </w:trPr>
        <w:tc>
          <w:tcPr>
            <w:tcW w:w="6656" w:type="dxa"/>
            <w:tcBorders>
              <w:top w:val="nil"/>
              <w:left w:val="nil"/>
              <w:bottom w:val="nil"/>
              <w:right w:val="nil"/>
            </w:tcBorders>
            <w:shd w:val="clear" w:color="FFFFFF" w:fill="FFFFFF"/>
            <w:vAlign w:val="bottom"/>
            <w:hideMark/>
          </w:tcPr>
          <w:p w14:paraId="378DBB47" w14:textId="77777777" w:rsidR="00A43992" w:rsidRDefault="00A43992" w:rsidP="007211E3">
            <w:pPr>
              <w:rPr>
                <w:rFonts w:ascii="Arial" w:hAnsi="Arial" w:cs="Arial"/>
                <w:b/>
                <w:bCs/>
                <w:sz w:val="18"/>
                <w:szCs w:val="18"/>
              </w:rPr>
            </w:pPr>
            <w:r>
              <w:rPr>
                <w:rFonts w:ascii="Arial" w:hAnsi="Arial" w:cs="Arial"/>
                <w:b/>
                <w:bCs/>
                <w:sz w:val="18"/>
                <w:szCs w:val="18"/>
              </w:rPr>
              <w:lastRenderedPageBreak/>
              <w:t>Fair value of services received</w:t>
            </w:r>
          </w:p>
        </w:tc>
        <w:tc>
          <w:tcPr>
            <w:tcW w:w="1036" w:type="dxa"/>
            <w:tcBorders>
              <w:top w:val="nil"/>
              <w:left w:val="nil"/>
              <w:bottom w:val="nil"/>
              <w:right w:val="nil"/>
            </w:tcBorders>
            <w:shd w:val="clear" w:color="FFFFFF" w:fill="FFFFFF"/>
            <w:noWrap/>
            <w:vAlign w:val="bottom"/>
            <w:hideMark/>
          </w:tcPr>
          <w:p w14:paraId="53565C26" w14:textId="77777777" w:rsidR="00A43992" w:rsidRDefault="00A43992" w:rsidP="007211E3">
            <w:pPr>
              <w:jc w:val="right"/>
              <w:rPr>
                <w:rFonts w:ascii="Arial" w:hAnsi="Arial" w:cs="Arial"/>
                <w:b/>
                <w:bCs/>
                <w:sz w:val="18"/>
                <w:szCs w:val="18"/>
              </w:rPr>
            </w:pPr>
            <w:r>
              <w:rPr>
                <w:rFonts w:ascii="Arial" w:hAnsi="Arial" w:cs="Arial"/>
                <w:b/>
                <w:bCs/>
                <w:sz w:val="18"/>
                <w:szCs w:val="18"/>
              </w:rPr>
              <w:t> </w:t>
            </w:r>
          </w:p>
        </w:tc>
        <w:tc>
          <w:tcPr>
            <w:tcW w:w="267" w:type="dxa"/>
            <w:tcBorders>
              <w:top w:val="nil"/>
              <w:left w:val="nil"/>
              <w:bottom w:val="nil"/>
              <w:right w:val="nil"/>
            </w:tcBorders>
            <w:shd w:val="clear" w:color="FFFFFF" w:fill="FFFFFF"/>
            <w:noWrap/>
            <w:vAlign w:val="bottom"/>
            <w:hideMark/>
          </w:tcPr>
          <w:p w14:paraId="3319F0FA" w14:textId="77777777" w:rsidR="00A43992" w:rsidRDefault="00A43992" w:rsidP="007211E3">
            <w:pPr>
              <w:rPr>
                <w:rFonts w:ascii="Arial" w:hAnsi="Arial" w:cs="Arial"/>
                <w:b/>
                <w:bCs/>
                <w:sz w:val="18"/>
                <w:szCs w:val="18"/>
              </w:rPr>
            </w:pPr>
            <w:r>
              <w:rPr>
                <w:rFonts w:ascii="Arial" w:hAnsi="Arial" w:cs="Arial"/>
                <w:b/>
                <w:bCs/>
                <w:sz w:val="18"/>
                <w:szCs w:val="18"/>
              </w:rPr>
              <w:t> </w:t>
            </w:r>
          </w:p>
        </w:tc>
        <w:tc>
          <w:tcPr>
            <w:tcW w:w="1036" w:type="dxa"/>
            <w:tcBorders>
              <w:top w:val="nil"/>
              <w:left w:val="nil"/>
              <w:bottom w:val="nil"/>
              <w:right w:val="nil"/>
            </w:tcBorders>
            <w:shd w:val="clear" w:color="FFFFFF" w:fill="FFFFFF"/>
            <w:noWrap/>
            <w:vAlign w:val="bottom"/>
            <w:hideMark/>
          </w:tcPr>
          <w:p w14:paraId="053E7221" w14:textId="77777777" w:rsidR="00A43992" w:rsidRDefault="00A43992" w:rsidP="007211E3">
            <w:pPr>
              <w:jc w:val="right"/>
              <w:rPr>
                <w:rFonts w:ascii="Arial" w:hAnsi="Arial" w:cs="Arial"/>
                <w:sz w:val="18"/>
                <w:szCs w:val="18"/>
              </w:rPr>
            </w:pPr>
            <w:r>
              <w:rPr>
                <w:rFonts w:ascii="Arial" w:hAnsi="Arial" w:cs="Arial"/>
                <w:sz w:val="18"/>
                <w:szCs w:val="18"/>
              </w:rPr>
              <w:t> </w:t>
            </w:r>
          </w:p>
        </w:tc>
      </w:tr>
      <w:tr w:rsidR="00A43992" w14:paraId="358A4AC9" w14:textId="77777777" w:rsidTr="007211E3">
        <w:trPr>
          <w:trHeight w:val="240"/>
        </w:trPr>
        <w:tc>
          <w:tcPr>
            <w:tcW w:w="6656" w:type="dxa"/>
            <w:tcBorders>
              <w:top w:val="nil"/>
              <w:left w:val="nil"/>
              <w:bottom w:val="nil"/>
              <w:right w:val="nil"/>
            </w:tcBorders>
            <w:shd w:val="clear" w:color="FFFFFF" w:fill="FFFFFF"/>
            <w:vAlign w:val="bottom"/>
            <w:hideMark/>
          </w:tcPr>
          <w:p w14:paraId="529F17C7" w14:textId="77777777" w:rsidR="00A43992" w:rsidRDefault="00A43992" w:rsidP="007211E3">
            <w:pPr>
              <w:ind w:firstLineChars="100" w:firstLine="180"/>
              <w:rPr>
                <w:rFonts w:ascii="Arial" w:hAnsi="Arial" w:cs="Arial"/>
                <w:sz w:val="18"/>
                <w:szCs w:val="18"/>
              </w:rPr>
            </w:pPr>
            <w:r>
              <w:rPr>
                <w:rFonts w:ascii="Arial" w:hAnsi="Arial" w:cs="Arial"/>
                <w:sz w:val="18"/>
                <w:szCs w:val="18"/>
              </w:rPr>
              <w:t>Financial statement audit services</w:t>
            </w:r>
          </w:p>
        </w:tc>
        <w:tc>
          <w:tcPr>
            <w:tcW w:w="1036" w:type="dxa"/>
            <w:tcBorders>
              <w:top w:val="nil"/>
              <w:left w:val="nil"/>
              <w:bottom w:val="nil"/>
              <w:right w:val="nil"/>
            </w:tcBorders>
            <w:shd w:val="clear" w:color="FFFFFF" w:fill="FFFFFF"/>
            <w:noWrap/>
            <w:vAlign w:val="bottom"/>
            <w:hideMark/>
          </w:tcPr>
          <w:p w14:paraId="3C5FFF91" w14:textId="77777777" w:rsidR="00A43992" w:rsidRDefault="00A43992" w:rsidP="007211E3">
            <w:pPr>
              <w:jc w:val="right"/>
              <w:rPr>
                <w:rFonts w:ascii="Arial" w:hAnsi="Arial" w:cs="Arial"/>
                <w:b/>
                <w:bCs/>
                <w:sz w:val="18"/>
                <w:szCs w:val="18"/>
              </w:rPr>
            </w:pPr>
            <w:r>
              <w:rPr>
                <w:rFonts w:ascii="Arial" w:hAnsi="Arial" w:cs="Arial"/>
                <w:b/>
                <w:bCs/>
                <w:sz w:val="18"/>
                <w:szCs w:val="18"/>
              </w:rPr>
              <w:t>737</w:t>
            </w:r>
          </w:p>
        </w:tc>
        <w:tc>
          <w:tcPr>
            <w:tcW w:w="267" w:type="dxa"/>
            <w:tcBorders>
              <w:top w:val="nil"/>
              <w:left w:val="nil"/>
              <w:bottom w:val="nil"/>
              <w:right w:val="nil"/>
            </w:tcBorders>
            <w:shd w:val="clear" w:color="FFFFFF" w:fill="FFFFFF"/>
            <w:noWrap/>
            <w:vAlign w:val="bottom"/>
            <w:hideMark/>
          </w:tcPr>
          <w:p w14:paraId="49DC2216" w14:textId="77777777" w:rsidR="00A43992" w:rsidRDefault="00A43992" w:rsidP="007211E3">
            <w:pPr>
              <w:rPr>
                <w:rFonts w:ascii="Arial" w:hAnsi="Arial" w:cs="Arial"/>
                <w:b/>
                <w:bCs/>
                <w:sz w:val="18"/>
                <w:szCs w:val="18"/>
              </w:rPr>
            </w:pPr>
            <w:r>
              <w:rPr>
                <w:rFonts w:ascii="Arial" w:hAnsi="Arial" w:cs="Arial"/>
                <w:b/>
                <w:bCs/>
                <w:sz w:val="18"/>
                <w:szCs w:val="18"/>
              </w:rPr>
              <w:t> </w:t>
            </w:r>
          </w:p>
        </w:tc>
        <w:tc>
          <w:tcPr>
            <w:tcW w:w="1036" w:type="dxa"/>
            <w:tcBorders>
              <w:top w:val="nil"/>
              <w:left w:val="nil"/>
              <w:bottom w:val="nil"/>
              <w:right w:val="nil"/>
            </w:tcBorders>
            <w:shd w:val="clear" w:color="FFFFFF" w:fill="FFFFFF"/>
            <w:noWrap/>
            <w:vAlign w:val="bottom"/>
            <w:hideMark/>
          </w:tcPr>
          <w:p w14:paraId="1D14799D" w14:textId="77777777" w:rsidR="00A43992" w:rsidRDefault="00A43992" w:rsidP="007211E3">
            <w:pPr>
              <w:jc w:val="right"/>
              <w:rPr>
                <w:rFonts w:ascii="Arial" w:hAnsi="Arial" w:cs="Arial"/>
                <w:sz w:val="18"/>
                <w:szCs w:val="18"/>
              </w:rPr>
            </w:pPr>
            <w:r>
              <w:rPr>
                <w:rFonts w:ascii="Arial" w:hAnsi="Arial" w:cs="Arial"/>
                <w:sz w:val="18"/>
                <w:szCs w:val="18"/>
              </w:rPr>
              <w:t xml:space="preserve">737 </w:t>
            </w:r>
          </w:p>
        </w:tc>
      </w:tr>
      <w:tr w:rsidR="00A43992" w14:paraId="689F4739" w14:textId="77777777" w:rsidTr="007211E3">
        <w:trPr>
          <w:trHeight w:val="240"/>
        </w:trPr>
        <w:tc>
          <w:tcPr>
            <w:tcW w:w="6656" w:type="dxa"/>
            <w:tcBorders>
              <w:top w:val="nil"/>
              <w:left w:val="nil"/>
              <w:bottom w:val="nil"/>
              <w:right w:val="nil"/>
            </w:tcBorders>
            <w:shd w:val="clear" w:color="FFFFFF" w:fill="FFFFFF"/>
            <w:vAlign w:val="bottom"/>
            <w:hideMark/>
          </w:tcPr>
          <w:p w14:paraId="1563D731" w14:textId="77777777" w:rsidR="00A43992" w:rsidRDefault="00A43992" w:rsidP="007211E3">
            <w:pPr>
              <w:rPr>
                <w:rFonts w:ascii="Arial" w:hAnsi="Arial" w:cs="Arial"/>
                <w:b/>
                <w:bCs/>
                <w:sz w:val="18"/>
                <w:szCs w:val="18"/>
              </w:rPr>
            </w:pPr>
            <w:r>
              <w:rPr>
                <w:rFonts w:ascii="Arial" w:hAnsi="Arial" w:cs="Arial"/>
                <w:b/>
                <w:bCs/>
                <w:sz w:val="18"/>
                <w:szCs w:val="18"/>
              </w:rPr>
              <w:t> </w:t>
            </w:r>
          </w:p>
        </w:tc>
        <w:tc>
          <w:tcPr>
            <w:tcW w:w="1036" w:type="dxa"/>
            <w:tcBorders>
              <w:top w:val="single" w:sz="4" w:space="0" w:color="auto"/>
              <w:left w:val="nil"/>
              <w:bottom w:val="single" w:sz="4" w:space="0" w:color="auto"/>
              <w:right w:val="nil"/>
            </w:tcBorders>
            <w:shd w:val="clear" w:color="FFFFFF" w:fill="FFFFFF"/>
            <w:noWrap/>
            <w:vAlign w:val="bottom"/>
            <w:hideMark/>
          </w:tcPr>
          <w:p w14:paraId="324321EF" w14:textId="77777777" w:rsidR="00A43992" w:rsidRDefault="00A43992" w:rsidP="007211E3">
            <w:pPr>
              <w:jc w:val="right"/>
              <w:rPr>
                <w:rFonts w:ascii="Arial" w:hAnsi="Arial" w:cs="Arial"/>
                <w:b/>
                <w:bCs/>
                <w:sz w:val="18"/>
                <w:szCs w:val="18"/>
              </w:rPr>
            </w:pPr>
            <w:r>
              <w:rPr>
                <w:rFonts w:ascii="Arial" w:hAnsi="Arial" w:cs="Arial"/>
                <w:b/>
                <w:bCs/>
                <w:sz w:val="18"/>
                <w:szCs w:val="18"/>
              </w:rPr>
              <w:t> </w:t>
            </w:r>
          </w:p>
        </w:tc>
        <w:tc>
          <w:tcPr>
            <w:tcW w:w="267" w:type="dxa"/>
            <w:tcBorders>
              <w:top w:val="nil"/>
              <w:left w:val="nil"/>
              <w:bottom w:val="nil"/>
              <w:right w:val="nil"/>
            </w:tcBorders>
            <w:shd w:val="clear" w:color="FFFFFF" w:fill="FFFFFF"/>
            <w:noWrap/>
            <w:vAlign w:val="bottom"/>
            <w:hideMark/>
          </w:tcPr>
          <w:p w14:paraId="54798AF7" w14:textId="77777777" w:rsidR="00A43992" w:rsidRDefault="00A43992" w:rsidP="007211E3">
            <w:pPr>
              <w:rPr>
                <w:rFonts w:ascii="Arial" w:hAnsi="Arial" w:cs="Arial"/>
                <w:b/>
                <w:bCs/>
                <w:sz w:val="18"/>
                <w:szCs w:val="18"/>
              </w:rPr>
            </w:pPr>
            <w:r>
              <w:rPr>
                <w:rFonts w:ascii="Arial" w:hAnsi="Arial" w:cs="Arial"/>
                <w:b/>
                <w:bCs/>
                <w:sz w:val="18"/>
                <w:szCs w:val="18"/>
              </w:rPr>
              <w:t> </w:t>
            </w:r>
          </w:p>
        </w:tc>
        <w:tc>
          <w:tcPr>
            <w:tcW w:w="1036" w:type="dxa"/>
            <w:tcBorders>
              <w:top w:val="single" w:sz="4" w:space="0" w:color="auto"/>
              <w:left w:val="nil"/>
              <w:bottom w:val="single" w:sz="4" w:space="0" w:color="auto"/>
              <w:right w:val="nil"/>
            </w:tcBorders>
            <w:shd w:val="clear" w:color="FFFFFF" w:fill="FFFFFF"/>
            <w:noWrap/>
            <w:vAlign w:val="bottom"/>
            <w:hideMark/>
          </w:tcPr>
          <w:p w14:paraId="55D507F6" w14:textId="77777777" w:rsidR="00A43992" w:rsidRDefault="00A43992" w:rsidP="007211E3">
            <w:pPr>
              <w:jc w:val="right"/>
              <w:rPr>
                <w:rFonts w:ascii="Arial" w:hAnsi="Arial" w:cs="Arial"/>
                <w:sz w:val="18"/>
                <w:szCs w:val="18"/>
              </w:rPr>
            </w:pPr>
            <w:r>
              <w:rPr>
                <w:rFonts w:ascii="Arial" w:hAnsi="Arial" w:cs="Arial"/>
                <w:sz w:val="18"/>
                <w:szCs w:val="18"/>
              </w:rPr>
              <w:t> </w:t>
            </w:r>
          </w:p>
        </w:tc>
      </w:tr>
      <w:tr w:rsidR="00A43992" w14:paraId="1534AECE" w14:textId="77777777" w:rsidTr="007211E3">
        <w:trPr>
          <w:trHeight w:val="240"/>
        </w:trPr>
        <w:tc>
          <w:tcPr>
            <w:tcW w:w="6656" w:type="dxa"/>
            <w:tcBorders>
              <w:top w:val="nil"/>
              <w:left w:val="nil"/>
              <w:bottom w:val="nil"/>
              <w:right w:val="nil"/>
            </w:tcBorders>
            <w:shd w:val="clear" w:color="FFFFFF" w:fill="FFFFFF"/>
            <w:vAlign w:val="bottom"/>
            <w:hideMark/>
          </w:tcPr>
          <w:p w14:paraId="417C5443" w14:textId="77777777" w:rsidR="00A43992" w:rsidRDefault="00A43992" w:rsidP="007211E3">
            <w:pPr>
              <w:rPr>
                <w:rFonts w:ascii="Arial" w:hAnsi="Arial" w:cs="Arial"/>
                <w:b/>
                <w:bCs/>
                <w:sz w:val="18"/>
                <w:szCs w:val="18"/>
              </w:rPr>
            </w:pPr>
            <w:r>
              <w:rPr>
                <w:rFonts w:ascii="Arial" w:hAnsi="Arial" w:cs="Arial"/>
                <w:b/>
                <w:bCs/>
                <w:sz w:val="18"/>
                <w:szCs w:val="18"/>
              </w:rPr>
              <w:t>Total Remuneration of Auditors</w:t>
            </w:r>
          </w:p>
        </w:tc>
        <w:tc>
          <w:tcPr>
            <w:tcW w:w="1036" w:type="dxa"/>
            <w:tcBorders>
              <w:top w:val="nil"/>
              <w:left w:val="nil"/>
              <w:bottom w:val="single" w:sz="4" w:space="0" w:color="auto"/>
              <w:right w:val="nil"/>
            </w:tcBorders>
            <w:shd w:val="clear" w:color="FFFFFF" w:fill="FFFFFF"/>
            <w:noWrap/>
            <w:vAlign w:val="bottom"/>
            <w:hideMark/>
          </w:tcPr>
          <w:p w14:paraId="59B96029" w14:textId="77777777" w:rsidR="00A43992" w:rsidRDefault="00A43992" w:rsidP="007211E3">
            <w:pPr>
              <w:jc w:val="right"/>
              <w:rPr>
                <w:rFonts w:ascii="Arial" w:hAnsi="Arial" w:cs="Arial"/>
                <w:b/>
                <w:bCs/>
                <w:sz w:val="18"/>
                <w:szCs w:val="18"/>
              </w:rPr>
            </w:pPr>
            <w:r>
              <w:rPr>
                <w:rFonts w:ascii="Arial" w:hAnsi="Arial" w:cs="Arial"/>
                <w:b/>
                <w:bCs/>
                <w:sz w:val="18"/>
                <w:szCs w:val="18"/>
              </w:rPr>
              <w:t>737</w:t>
            </w:r>
          </w:p>
        </w:tc>
        <w:tc>
          <w:tcPr>
            <w:tcW w:w="267" w:type="dxa"/>
            <w:tcBorders>
              <w:top w:val="nil"/>
              <w:left w:val="nil"/>
              <w:bottom w:val="nil"/>
              <w:right w:val="nil"/>
            </w:tcBorders>
            <w:shd w:val="clear" w:color="FFFFFF" w:fill="FFFFFF"/>
            <w:noWrap/>
            <w:vAlign w:val="bottom"/>
            <w:hideMark/>
          </w:tcPr>
          <w:p w14:paraId="37AAEC39" w14:textId="77777777" w:rsidR="00A43992" w:rsidRDefault="00A43992" w:rsidP="007211E3">
            <w:pPr>
              <w:rPr>
                <w:rFonts w:ascii="Arial" w:hAnsi="Arial" w:cs="Arial"/>
                <w:sz w:val="18"/>
                <w:szCs w:val="18"/>
              </w:rPr>
            </w:pPr>
            <w:r>
              <w:rPr>
                <w:rFonts w:ascii="Arial" w:hAnsi="Arial" w:cs="Arial"/>
                <w:sz w:val="18"/>
                <w:szCs w:val="18"/>
              </w:rPr>
              <w:t> </w:t>
            </w:r>
          </w:p>
        </w:tc>
        <w:tc>
          <w:tcPr>
            <w:tcW w:w="1036" w:type="dxa"/>
            <w:tcBorders>
              <w:top w:val="nil"/>
              <w:left w:val="nil"/>
              <w:bottom w:val="single" w:sz="4" w:space="0" w:color="auto"/>
              <w:right w:val="nil"/>
            </w:tcBorders>
            <w:shd w:val="clear" w:color="FFFFFF" w:fill="FFFFFF"/>
            <w:noWrap/>
            <w:vAlign w:val="bottom"/>
            <w:hideMark/>
          </w:tcPr>
          <w:p w14:paraId="33350CB1" w14:textId="77777777" w:rsidR="00A43992" w:rsidRDefault="00A43992" w:rsidP="007211E3">
            <w:pPr>
              <w:jc w:val="right"/>
              <w:rPr>
                <w:rFonts w:ascii="Arial" w:hAnsi="Arial" w:cs="Arial"/>
                <w:sz w:val="18"/>
                <w:szCs w:val="18"/>
              </w:rPr>
            </w:pPr>
            <w:r>
              <w:rPr>
                <w:rFonts w:ascii="Arial" w:hAnsi="Arial" w:cs="Arial"/>
                <w:sz w:val="18"/>
                <w:szCs w:val="18"/>
              </w:rPr>
              <w:t>737</w:t>
            </w:r>
          </w:p>
        </w:tc>
      </w:tr>
    </w:tbl>
    <w:p w14:paraId="2122D9C6" w14:textId="77777777" w:rsidR="00A43992" w:rsidRDefault="00A43992" w:rsidP="00A43992">
      <w:pPr>
        <w:spacing w:line="240" w:lineRule="auto"/>
      </w:pPr>
      <w:bookmarkStart w:id="455" w:name="RANGE!D7:D14"/>
      <w:bookmarkEnd w:id="455"/>
    </w:p>
    <w:p w14:paraId="5109389A" w14:textId="77777777" w:rsidR="00A43992" w:rsidRDefault="00A43992" w:rsidP="00A43992">
      <w:pPr>
        <w:spacing w:line="240" w:lineRule="auto"/>
        <w:outlineLvl w:val="0"/>
      </w:pPr>
      <w:r>
        <w:rPr>
          <w:rFonts w:ascii="Arial" w:hAnsi="Arial" w:cs="Arial"/>
          <w:sz w:val="18"/>
          <w:szCs w:val="18"/>
        </w:rPr>
        <w:t>The Agency’s auditor is the Australian National Audit Office (ANAO).</w:t>
      </w:r>
      <w:r>
        <w:t xml:space="preserve"> </w:t>
      </w:r>
    </w:p>
    <w:p w14:paraId="69CD4435" w14:textId="77777777" w:rsidR="00A43992" w:rsidRDefault="00A43992" w:rsidP="00A43992">
      <w:pPr>
        <w:spacing w:line="240" w:lineRule="auto"/>
      </w:pPr>
    </w:p>
    <w:p w14:paraId="02BEA469" w14:textId="77777777" w:rsidR="00A43992" w:rsidRDefault="00A43992" w:rsidP="00A43992">
      <w:pPr>
        <w:spacing w:line="240" w:lineRule="auto"/>
      </w:pPr>
      <w:r>
        <w:br w:type="page"/>
      </w:r>
    </w:p>
    <w:p w14:paraId="66B60CFC" w14:textId="77777777" w:rsidR="00A43992" w:rsidRPr="005E5430" w:rsidRDefault="00A43992" w:rsidP="00A43992">
      <w:pPr>
        <w:spacing w:line="240" w:lineRule="auto"/>
      </w:pPr>
    </w:p>
    <w:p w14:paraId="711D0C44" w14:textId="09CEF8B0" w:rsidR="00A43992" w:rsidRDefault="00A43992" w:rsidP="00A43992">
      <w:pPr>
        <w:pStyle w:val="SectionHeading"/>
      </w:pPr>
      <w:bookmarkStart w:id="456" w:name="_Toc443469547"/>
      <w:bookmarkStart w:id="457" w:name="_Toc444065802"/>
      <w:bookmarkStart w:id="458" w:name="_Toc444079999"/>
      <w:bookmarkStart w:id="459" w:name="_Toc447030548"/>
      <w:bookmarkStart w:id="460" w:name="_Toc447030700"/>
      <w:bookmarkStart w:id="461" w:name="_Toc447030793"/>
      <w:bookmarkStart w:id="462" w:name="_Toc456865071"/>
      <w:bookmarkStart w:id="463" w:name="_Toc464482136"/>
      <w:bookmarkEnd w:id="384"/>
      <w:bookmarkEnd w:id="385"/>
      <w:bookmarkEnd w:id="386"/>
      <w:r>
        <w:t>Managing Uncertainties</w:t>
      </w:r>
      <w:bookmarkEnd w:id="456"/>
      <w:bookmarkEnd w:id="457"/>
      <w:bookmarkEnd w:id="458"/>
      <w:bookmarkEnd w:id="459"/>
      <w:bookmarkEnd w:id="460"/>
      <w:bookmarkEnd w:id="461"/>
      <w:bookmarkEnd w:id="462"/>
      <w:bookmarkEnd w:id="463"/>
    </w:p>
    <w:p w14:paraId="026C930E" w14:textId="77777777" w:rsidR="00A43992" w:rsidRDefault="00A43992" w:rsidP="00A43992">
      <w:pPr>
        <w:pStyle w:val="SectionHeadingDescription"/>
      </w:pPr>
      <w:r w:rsidRPr="00185212">
        <w:t xml:space="preserve">This section analyses </w:t>
      </w:r>
      <w:r w:rsidRPr="00F40720">
        <w:t>how</w:t>
      </w:r>
      <w:r w:rsidRPr="00185212">
        <w:t xml:space="preserve"> the </w:t>
      </w:r>
      <w:r>
        <w:t>Agency</w:t>
      </w:r>
      <w:r w:rsidRPr="00185212">
        <w:t xml:space="preserve"> manages financial risks within its operating environment.</w:t>
      </w:r>
    </w:p>
    <w:p w14:paraId="1A52276D" w14:textId="77777777" w:rsidR="00A43992" w:rsidRPr="00714F4A" w:rsidRDefault="00A43992" w:rsidP="00A43992">
      <w:pPr>
        <w:pStyle w:val="ListParagraph"/>
        <w:numPr>
          <w:ilvl w:val="0"/>
          <w:numId w:val="15"/>
        </w:numPr>
        <w:shd w:val="clear" w:color="auto" w:fill="000000" w:themeFill="text1"/>
        <w:spacing w:after="0" w:line="260" w:lineRule="atLeast"/>
        <w:contextualSpacing w:val="0"/>
        <w:outlineLvl w:val="1"/>
        <w:rPr>
          <w:rFonts w:eastAsia="Times New Roman" w:cs="Arial"/>
          <w:b/>
          <w:vanish/>
          <w:color w:val="FFFFFF" w:themeColor="background1"/>
          <w:sz w:val="20"/>
          <w:szCs w:val="20"/>
        </w:rPr>
      </w:pPr>
      <w:bookmarkStart w:id="464" w:name="_Toc447116457"/>
      <w:bookmarkStart w:id="465" w:name="_Toc447542891"/>
      <w:bookmarkStart w:id="466" w:name="_Toc447787268"/>
      <w:bookmarkStart w:id="467" w:name="_Toc448415768"/>
      <w:bookmarkStart w:id="468" w:name="_Toc448500693"/>
      <w:bookmarkStart w:id="469" w:name="_Toc449452855"/>
      <w:bookmarkStart w:id="470" w:name="_Toc456185897"/>
      <w:bookmarkStart w:id="471" w:name="_Toc456185954"/>
      <w:bookmarkStart w:id="472" w:name="_Toc456256315"/>
      <w:bookmarkStart w:id="473" w:name="_Toc456865072"/>
      <w:bookmarkStart w:id="474" w:name="_Toc464481637"/>
      <w:bookmarkStart w:id="475" w:name="_Toc443469548"/>
      <w:bookmarkStart w:id="476" w:name="_Toc444065803"/>
      <w:bookmarkStart w:id="477" w:name="_Toc444080000"/>
      <w:bookmarkStart w:id="478" w:name="_Toc447030549"/>
      <w:bookmarkStart w:id="479" w:name="_Toc447030701"/>
      <w:bookmarkStart w:id="480" w:name="_Toc447030794"/>
      <w:bookmarkEnd w:id="464"/>
      <w:bookmarkEnd w:id="465"/>
      <w:bookmarkEnd w:id="466"/>
      <w:bookmarkEnd w:id="467"/>
      <w:bookmarkEnd w:id="468"/>
      <w:bookmarkEnd w:id="469"/>
      <w:bookmarkEnd w:id="470"/>
      <w:bookmarkEnd w:id="471"/>
      <w:bookmarkEnd w:id="472"/>
      <w:bookmarkEnd w:id="473"/>
      <w:bookmarkEnd w:id="474"/>
    </w:p>
    <w:p w14:paraId="5CBF41F0" w14:textId="3AE4378C" w:rsidR="00A43992" w:rsidRPr="00F40720" w:rsidRDefault="00A43992" w:rsidP="00A43992">
      <w:pPr>
        <w:pStyle w:val="SubHeading"/>
      </w:pPr>
      <w:bookmarkStart w:id="481" w:name="_Toc456865073"/>
      <w:r w:rsidRPr="00F40720">
        <w:t>Contingent Assets and Liabilities</w:t>
      </w:r>
      <w:bookmarkEnd w:id="475"/>
      <w:bookmarkEnd w:id="476"/>
      <w:bookmarkEnd w:id="477"/>
      <w:bookmarkEnd w:id="478"/>
      <w:bookmarkEnd w:id="479"/>
      <w:bookmarkEnd w:id="480"/>
      <w:bookmarkEnd w:id="481"/>
    </w:p>
    <w:p w14:paraId="30516DA7" w14:textId="77777777" w:rsidR="00A43992" w:rsidRPr="005E5430" w:rsidRDefault="00A43992" w:rsidP="00A43992"/>
    <w:p w14:paraId="3EE874DD" w14:textId="77777777" w:rsidR="00A43992" w:rsidRPr="005E5430" w:rsidRDefault="00A43992" w:rsidP="00A43992">
      <w:pPr>
        <w:outlineLvl w:val="0"/>
        <w:rPr>
          <w:rFonts w:ascii="Arial" w:hAnsi="Arial" w:cs="Arial"/>
          <w:b/>
          <w:sz w:val="18"/>
          <w:szCs w:val="18"/>
          <w:u w:val="single"/>
          <w:lang w:eastAsia="en-AU"/>
        </w:rPr>
      </w:pPr>
      <w:bookmarkStart w:id="482" w:name="_Ref338146507"/>
      <w:r w:rsidRPr="005E5430">
        <w:rPr>
          <w:rFonts w:ascii="Arial" w:hAnsi="Arial" w:cs="Arial"/>
          <w:b/>
          <w:sz w:val="18"/>
          <w:szCs w:val="18"/>
          <w:u w:val="single"/>
          <w:lang w:eastAsia="en-AU"/>
        </w:rPr>
        <w:t>Quantifiable Contingencies</w:t>
      </w:r>
    </w:p>
    <w:p w14:paraId="76D809EA" w14:textId="77777777" w:rsidR="00A43992" w:rsidRPr="005E5430" w:rsidRDefault="00A43992" w:rsidP="00A43992">
      <w:pPr>
        <w:outlineLvl w:val="0"/>
        <w:rPr>
          <w:rFonts w:ascii="Arial" w:hAnsi="Arial" w:cs="Arial"/>
          <w:sz w:val="18"/>
          <w:szCs w:val="18"/>
          <w:lang w:eastAsia="en-AU"/>
        </w:rPr>
      </w:pPr>
      <w:r w:rsidRPr="005E5430">
        <w:rPr>
          <w:rFonts w:ascii="Arial" w:hAnsi="Arial" w:cs="Arial"/>
          <w:sz w:val="18"/>
          <w:szCs w:val="18"/>
          <w:lang w:eastAsia="en-AU"/>
        </w:rPr>
        <w:t xml:space="preserve">As at </w:t>
      </w:r>
      <w:r>
        <w:rPr>
          <w:rFonts w:ascii="Arial" w:hAnsi="Arial" w:cs="Arial"/>
          <w:sz w:val="18"/>
          <w:szCs w:val="18"/>
          <w:lang w:eastAsia="en-AU"/>
        </w:rPr>
        <w:fldChar w:fldCharType="begin"/>
      </w:r>
      <w:r>
        <w:rPr>
          <w:rFonts w:ascii="Arial" w:hAnsi="Arial" w:cs="Arial"/>
          <w:sz w:val="18"/>
          <w:szCs w:val="18"/>
          <w:lang w:eastAsia="en-AU"/>
        </w:rPr>
        <w:instrText xml:space="preserve"> DOCPROPERTY  pEnd  \* MERGEFORMAT </w:instrText>
      </w:r>
      <w:r>
        <w:rPr>
          <w:rFonts w:ascii="Arial" w:hAnsi="Arial" w:cs="Arial"/>
          <w:sz w:val="18"/>
          <w:szCs w:val="18"/>
          <w:lang w:eastAsia="en-AU"/>
        </w:rPr>
        <w:fldChar w:fldCharType="separate"/>
      </w:r>
      <w:r w:rsidR="00F337D2" w:rsidRPr="00F337D2">
        <w:rPr>
          <w:rFonts w:ascii="Arial" w:hAnsi="Arial" w:cs="Arial"/>
          <w:b/>
          <w:bCs/>
          <w:sz w:val="18"/>
          <w:szCs w:val="18"/>
          <w:lang w:eastAsia="en-AU"/>
        </w:rPr>
        <w:t>30 June</w:t>
      </w:r>
      <w:r>
        <w:rPr>
          <w:rFonts w:ascii="Arial" w:hAnsi="Arial" w:cs="Arial"/>
          <w:sz w:val="18"/>
          <w:szCs w:val="18"/>
          <w:lang w:eastAsia="en-AU"/>
        </w:rPr>
        <w:fldChar w:fldCharType="end"/>
      </w:r>
      <w:r w:rsidRPr="005E5430">
        <w:rPr>
          <w:rFonts w:ascii="Arial" w:hAnsi="Arial" w:cs="Arial"/>
          <w:sz w:val="18"/>
          <w:szCs w:val="18"/>
          <w:lang w:eastAsia="en-AU"/>
        </w:rPr>
        <w:t xml:space="preserve"> </w:t>
      </w:r>
      <w:fldSimple w:instr=" DOCPROPERTY  crYear  \* MERGEFORMAT ">
        <w:r w:rsidR="00F337D2" w:rsidRPr="00F337D2">
          <w:rPr>
            <w:b/>
            <w:bCs/>
          </w:rPr>
          <w:t>2016</w:t>
        </w:r>
      </w:fldSimple>
      <w:r w:rsidRPr="005E5430">
        <w:rPr>
          <w:rFonts w:ascii="Arial" w:hAnsi="Arial" w:cs="Arial"/>
          <w:sz w:val="18"/>
          <w:szCs w:val="18"/>
          <w:lang w:eastAsia="en-AU"/>
        </w:rPr>
        <w:t>, the Agency had no quantifiable contingencies</w:t>
      </w:r>
      <w:r>
        <w:rPr>
          <w:rFonts w:ascii="Arial" w:hAnsi="Arial" w:cs="Arial"/>
          <w:sz w:val="18"/>
          <w:szCs w:val="18"/>
          <w:lang w:eastAsia="en-AU"/>
        </w:rPr>
        <w:t xml:space="preserve"> (2015</w:t>
      </w:r>
      <w:r w:rsidRPr="005E5430">
        <w:rPr>
          <w:rFonts w:ascii="Arial" w:hAnsi="Arial" w:cs="Arial"/>
          <w:sz w:val="18"/>
          <w:szCs w:val="18"/>
          <w:lang w:eastAsia="en-AU"/>
        </w:rPr>
        <w:t>: $nil).</w:t>
      </w:r>
    </w:p>
    <w:p w14:paraId="590148B9" w14:textId="77777777" w:rsidR="00A43992" w:rsidRPr="005E5430" w:rsidRDefault="00A43992" w:rsidP="00A43992">
      <w:pPr>
        <w:rPr>
          <w:rFonts w:ascii="Arial" w:hAnsi="Arial" w:cs="Arial"/>
          <w:sz w:val="18"/>
          <w:szCs w:val="18"/>
          <w:lang w:eastAsia="en-AU"/>
        </w:rPr>
      </w:pPr>
    </w:p>
    <w:p w14:paraId="214FBEA5" w14:textId="77777777" w:rsidR="00A43992" w:rsidRPr="005E5430" w:rsidRDefault="00A43992" w:rsidP="00A43992">
      <w:pPr>
        <w:outlineLvl w:val="0"/>
        <w:rPr>
          <w:rFonts w:ascii="Arial" w:hAnsi="Arial" w:cs="Arial"/>
          <w:b/>
          <w:sz w:val="18"/>
          <w:szCs w:val="18"/>
          <w:u w:val="single"/>
          <w:lang w:eastAsia="en-AU"/>
        </w:rPr>
      </w:pPr>
      <w:r w:rsidRPr="005E5430">
        <w:rPr>
          <w:rFonts w:ascii="Arial" w:hAnsi="Arial" w:cs="Arial"/>
          <w:b/>
          <w:sz w:val="18"/>
          <w:szCs w:val="18"/>
          <w:u w:val="single"/>
          <w:lang w:eastAsia="en-AU"/>
        </w:rPr>
        <w:t>Unquantifiable Contingencies</w:t>
      </w:r>
    </w:p>
    <w:p w14:paraId="0B5186D4" w14:textId="77777777" w:rsidR="00A43992" w:rsidRPr="005E5430" w:rsidRDefault="00A43992" w:rsidP="00A43992">
      <w:pPr>
        <w:outlineLvl w:val="0"/>
        <w:rPr>
          <w:rFonts w:ascii="Arial" w:hAnsi="Arial" w:cs="Arial"/>
          <w:sz w:val="18"/>
          <w:szCs w:val="18"/>
          <w:lang w:eastAsia="en-AU"/>
        </w:rPr>
      </w:pPr>
      <w:r w:rsidRPr="005E5430">
        <w:rPr>
          <w:rFonts w:ascii="Arial" w:hAnsi="Arial" w:cs="Arial"/>
          <w:sz w:val="18"/>
          <w:szCs w:val="18"/>
          <w:lang w:eastAsia="en-AU"/>
        </w:rPr>
        <w:t xml:space="preserve">As at </w:t>
      </w:r>
      <w:r>
        <w:rPr>
          <w:rFonts w:ascii="Arial" w:hAnsi="Arial" w:cs="Arial"/>
          <w:sz w:val="18"/>
          <w:szCs w:val="18"/>
          <w:lang w:eastAsia="en-AU"/>
        </w:rPr>
        <w:fldChar w:fldCharType="begin"/>
      </w:r>
      <w:r>
        <w:rPr>
          <w:rFonts w:ascii="Arial" w:hAnsi="Arial" w:cs="Arial"/>
          <w:sz w:val="18"/>
          <w:szCs w:val="18"/>
          <w:lang w:eastAsia="en-AU"/>
        </w:rPr>
        <w:instrText xml:space="preserve"> DOCPROPERTY  pEnd  \* MERGEFORMAT </w:instrText>
      </w:r>
      <w:r>
        <w:rPr>
          <w:rFonts w:ascii="Arial" w:hAnsi="Arial" w:cs="Arial"/>
          <w:sz w:val="18"/>
          <w:szCs w:val="18"/>
          <w:lang w:eastAsia="en-AU"/>
        </w:rPr>
        <w:fldChar w:fldCharType="separate"/>
      </w:r>
      <w:r w:rsidR="00F337D2" w:rsidRPr="00F337D2">
        <w:rPr>
          <w:rFonts w:ascii="Arial" w:hAnsi="Arial" w:cs="Arial"/>
          <w:b/>
          <w:bCs/>
          <w:sz w:val="18"/>
          <w:szCs w:val="18"/>
          <w:lang w:eastAsia="en-AU"/>
        </w:rPr>
        <w:t>30 June</w:t>
      </w:r>
      <w:r>
        <w:rPr>
          <w:rFonts w:ascii="Arial" w:hAnsi="Arial" w:cs="Arial"/>
          <w:sz w:val="18"/>
          <w:szCs w:val="18"/>
          <w:lang w:eastAsia="en-AU"/>
        </w:rPr>
        <w:fldChar w:fldCharType="end"/>
      </w:r>
      <w:r>
        <w:rPr>
          <w:rFonts w:ascii="Arial" w:hAnsi="Arial" w:cs="Arial"/>
          <w:sz w:val="18"/>
          <w:szCs w:val="18"/>
          <w:lang w:eastAsia="en-AU"/>
        </w:rPr>
        <w:t xml:space="preserve"> </w:t>
      </w:r>
      <w:fldSimple w:instr=" DOCPROPERTY  crYear  \* MERGEFORMAT ">
        <w:r w:rsidR="00F337D2" w:rsidRPr="00F337D2">
          <w:rPr>
            <w:b/>
            <w:bCs/>
          </w:rPr>
          <w:t>2016</w:t>
        </w:r>
      </w:fldSimple>
      <w:r w:rsidRPr="005E5430">
        <w:rPr>
          <w:rFonts w:ascii="Arial" w:hAnsi="Arial" w:cs="Arial"/>
          <w:sz w:val="18"/>
          <w:szCs w:val="18"/>
          <w:lang w:eastAsia="en-AU"/>
        </w:rPr>
        <w:t>, the Agency had no unquantifiable contingencies</w:t>
      </w:r>
      <w:r>
        <w:rPr>
          <w:rFonts w:ascii="Arial" w:hAnsi="Arial" w:cs="Arial"/>
          <w:sz w:val="18"/>
          <w:szCs w:val="18"/>
          <w:lang w:eastAsia="en-AU"/>
        </w:rPr>
        <w:t xml:space="preserve"> (2015</w:t>
      </w:r>
      <w:r w:rsidRPr="005E5430">
        <w:rPr>
          <w:rFonts w:ascii="Arial" w:hAnsi="Arial" w:cs="Arial"/>
          <w:sz w:val="18"/>
          <w:szCs w:val="18"/>
          <w:lang w:eastAsia="en-AU"/>
        </w:rPr>
        <w:t>: $nil).</w:t>
      </w:r>
    </w:p>
    <w:p w14:paraId="51AE200C" w14:textId="77777777" w:rsidR="00A43992" w:rsidRPr="005E5430" w:rsidRDefault="00A43992" w:rsidP="00A43992">
      <w:pPr>
        <w:rPr>
          <w:rFonts w:ascii="Arial" w:hAnsi="Arial" w:cs="Arial"/>
          <w:sz w:val="18"/>
          <w:szCs w:val="18"/>
          <w:lang w:eastAsia="en-AU"/>
        </w:rPr>
      </w:pPr>
    </w:p>
    <w:p w14:paraId="20104C92" w14:textId="77777777" w:rsidR="00A43992" w:rsidRPr="00F47522" w:rsidRDefault="00A43992" w:rsidP="00A43992">
      <w:pPr>
        <w:pStyle w:val="PolicytextDept"/>
        <w:outlineLvl w:val="0"/>
        <w:rPr>
          <w:b/>
        </w:rPr>
      </w:pPr>
      <w:r w:rsidRPr="00F47522">
        <w:rPr>
          <w:b/>
        </w:rPr>
        <w:t>Accounting Policy</w:t>
      </w:r>
    </w:p>
    <w:p w14:paraId="2C563935" w14:textId="77777777" w:rsidR="00A43992" w:rsidRDefault="00A43992" w:rsidP="00A43992">
      <w:pPr>
        <w:pStyle w:val="PolicytextDept"/>
      </w:pPr>
      <w:r w:rsidRPr="00F47522">
        <w:t>Contingent liabilities and contingent assets are not recognised in the Statement of Financial Position but are reported in the notes. They may arise from uncertainty as to the existence of a liability or asset or represent an asset or liability in respect of which the amount cannot be reliably measured. Contingent assets are disclosed when settlement is probable but not virtually certain and contingent liabilities are disclosed when settlement is greater than remote.</w:t>
      </w:r>
    </w:p>
    <w:p w14:paraId="02DD7AA1" w14:textId="77777777" w:rsidR="00A43992" w:rsidRPr="005E5430" w:rsidRDefault="00A43992" w:rsidP="00A43992">
      <w:pPr>
        <w:rPr>
          <w:rFonts w:ascii="Arial" w:hAnsi="Arial" w:cs="Arial"/>
          <w:sz w:val="18"/>
          <w:szCs w:val="18"/>
          <w:lang w:eastAsia="en-AU"/>
        </w:rPr>
      </w:pPr>
    </w:p>
    <w:p w14:paraId="05B613D6" w14:textId="77777777" w:rsidR="00A43992" w:rsidRPr="00F40720" w:rsidRDefault="00A43992" w:rsidP="00A43992">
      <w:pPr>
        <w:pStyle w:val="SubHeading"/>
      </w:pPr>
      <w:bookmarkStart w:id="483" w:name="_Toc443469549"/>
      <w:bookmarkStart w:id="484" w:name="_Toc444065804"/>
      <w:bookmarkStart w:id="485" w:name="_Toc444080001"/>
      <w:bookmarkStart w:id="486" w:name="_Toc447030550"/>
      <w:bookmarkStart w:id="487" w:name="_Toc447030702"/>
      <w:bookmarkStart w:id="488" w:name="_Toc447030795"/>
      <w:bookmarkStart w:id="489" w:name="_Toc456865074"/>
      <w:r w:rsidRPr="00F40720">
        <w:t>Financial Instruments</w:t>
      </w:r>
      <w:bookmarkEnd w:id="483"/>
      <w:bookmarkEnd w:id="484"/>
      <w:bookmarkEnd w:id="485"/>
      <w:bookmarkEnd w:id="486"/>
      <w:bookmarkEnd w:id="487"/>
      <w:bookmarkEnd w:id="488"/>
      <w:bookmarkEnd w:id="489"/>
    </w:p>
    <w:tbl>
      <w:tblPr>
        <w:tblW w:w="9087" w:type="dxa"/>
        <w:tblInd w:w="80" w:type="dxa"/>
        <w:tblLayout w:type="fixed"/>
        <w:tblLook w:val="04A0" w:firstRow="1" w:lastRow="0" w:firstColumn="1" w:lastColumn="0" w:noHBand="0" w:noVBand="1"/>
      </w:tblPr>
      <w:tblGrid>
        <w:gridCol w:w="6353"/>
        <w:gridCol w:w="1249"/>
        <w:gridCol w:w="236"/>
        <w:gridCol w:w="1249"/>
      </w:tblGrid>
      <w:tr w:rsidR="00A43992" w14:paraId="30F8B0C7" w14:textId="77777777" w:rsidTr="007211E3">
        <w:trPr>
          <w:trHeight w:val="255"/>
        </w:trPr>
        <w:tc>
          <w:tcPr>
            <w:tcW w:w="6353" w:type="dxa"/>
            <w:tcBorders>
              <w:top w:val="nil"/>
              <w:left w:val="nil"/>
              <w:bottom w:val="nil"/>
              <w:right w:val="nil"/>
            </w:tcBorders>
            <w:shd w:val="clear" w:color="FFFFFF" w:fill="FFFFFF"/>
            <w:noWrap/>
            <w:vAlign w:val="bottom"/>
            <w:hideMark/>
          </w:tcPr>
          <w:p w14:paraId="3523A5B4" w14:textId="77777777" w:rsidR="00A43992" w:rsidRDefault="00A43992" w:rsidP="007211E3">
            <w:pPr>
              <w:rPr>
                <w:rFonts w:ascii="Arial" w:hAnsi="Arial" w:cs="Arial"/>
                <w:sz w:val="18"/>
                <w:szCs w:val="18"/>
              </w:rPr>
            </w:pPr>
            <w:bookmarkStart w:id="490" w:name="Note_FIATABLE1" w:colFirst="0" w:colLast="0"/>
            <w:r>
              <w:rPr>
                <w:rFonts w:ascii="Arial" w:hAnsi="Arial" w:cs="Arial"/>
                <w:sz w:val="18"/>
                <w:szCs w:val="18"/>
              </w:rPr>
              <w:t> </w:t>
            </w:r>
          </w:p>
        </w:tc>
        <w:tc>
          <w:tcPr>
            <w:tcW w:w="1249" w:type="dxa"/>
            <w:tcBorders>
              <w:top w:val="nil"/>
              <w:left w:val="nil"/>
              <w:bottom w:val="nil"/>
              <w:right w:val="nil"/>
            </w:tcBorders>
            <w:shd w:val="clear" w:color="FFFFFF" w:fill="FFFFFF"/>
            <w:vAlign w:val="bottom"/>
            <w:hideMark/>
          </w:tcPr>
          <w:p w14:paraId="3398B443" w14:textId="77777777" w:rsidR="00A43992" w:rsidRDefault="00A43992" w:rsidP="007211E3">
            <w:pPr>
              <w:jc w:val="right"/>
              <w:rPr>
                <w:rFonts w:ascii="Arial" w:hAnsi="Arial" w:cs="Arial"/>
                <w:b/>
                <w:bCs/>
                <w:sz w:val="18"/>
                <w:szCs w:val="18"/>
              </w:rPr>
            </w:pPr>
            <w:r>
              <w:rPr>
                <w:rFonts w:ascii="Arial" w:hAnsi="Arial" w:cs="Arial"/>
                <w:b/>
                <w:bCs/>
                <w:sz w:val="18"/>
                <w:szCs w:val="18"/>
              </w:rPr>
              <w:t>2016</w:t>
            </w:r>
          </w:p>
        </w:tc>
        <w:tc>
          <w:tcPr>
            <w:tcW w:w="236" w:type="dxa"/>
            <w:tcBorders>
              <w:top w:val="nil"/>
              <w:left w:val="nil"/>
              <w:bottom w:val="nil"/>
              <w:right w:val="nil"/>
            </w:tcBorders>
            <w:shd w:val="clear" w:color="FFFFFF" w:fill="FFFFFF"/>
            <w:noWrap/>
            <w:vAlign w:val="bottom"/>
            <w:hideMark/>
          </w:tcPr>
          <w:p w14:paraId="04483CAE" w14:textId="77777777" w:rsidR="00A43992" w:rsidRDefault="00A43992" w:rsidP="007211E3">
            <w:pPr>
              <w:rPr>
                <w:rFonts w:ascii="Arial" w:hAnsi="Arial" w:cs="Arial"/>
                <w:sz w:val="18"/>
                <w:szCs w:val="18"/>
              </w:rPr>
            </w:pPr>
            <w:r>
              <w:rPr>
                <w:rFonts w:ascii="Arial" w:hAnsi="Arial" w:cs="Arial"/>
                <w:sz w:val="18"/>
                <w:szCs w:val="18"/>
              </w:rPr>
              <w:t> </w:t>
            </w:r>
          </w:p>
        </w:tc>
        <w:tc>
          <w:tcPr>
            <w:tcW w:w="1249" w:type="dxa"/>
            <w:tcBorders>
              <w:top w:val="nil"/>
              <w:left w:val="nil"/>
              <w:bottom w:val="nil"/>
              <w:right w:val="nil"/>
            </w:tcBorders>
            <w:shd w:val="clear" w:color="FFFFFF" w:fill="FFFFFF"/>
            <w:vAlign w:val="bottom"/>
            <w:hideMark/>
          </w:tcPr>
          <w:p w14:paraId="624CA23C" w14:textId="77777777" w:rsidR="00A43992" w:rsidRDefault="00A43992" w:rsidP="007211E3">
            <w:pPr>
              <w:jc w:val="right"/>
              <w:rPr>
                <w:rFonts w:ascii="Arial" w:hAnsi="Arial" w:cs="Arial"/>
                <w:sz w:val="18"/>
                <w:szCs w:val="18"/>
              </w:rPr>
            </w:pPr>
            <w:r>
              <w:rPr>
                <w:rFonts w:ascii="Arial" w:hAnsi="Arial" w:cs="Arial"/>
                <w:sz w:val="18"/>
                <w:szCs w:val="18"/>
              </w:rPr>
              <w:t>2015</w:t>
            </w:r>
          </w:p>
        </w:tc>
      </w:tr>
      <w:bookmarkEnd w:id="490"/>
      <w:tr w:rsidR="00A43992" w14:paraId="31EDAFCD" w14:textId="77777777" w:rsidTr="007211E3">
        <w:trPr>
          <w:trHeight w:val="255"/>
        </w:trPr>
        <w:tc>
          <w:tcPr>
            <w:tcW w:w="6353" w:type="dxa"/>
            <w:tcBorders>
              <w:top w:val="nil"/>
              <w:left w:val="nil"/>
              <w:bottom w:val="nil"/>
              <w:right w:val="nil"/>
            </w:tcBorders>
            <w:shd w:val="clear" w:color="FFFFFF" w:fill="FFFFFF"/>
            <w:noWrap/>
            <w:vAlign w:val="bottom"/>
            <w:hideMark/>
          </w:tcPr>
          <w:p w14:paraId="4FA27D56" w14:textId="77777777" w:rsidR="00A43992" w:rsidRDefault="00A43992" w:rsidP="007211E3">
            <w:pPr>
              <w:rPr>
                <w:rFonts w:ascii="Arial" w:hAnsi="Arial" w:cs="Arial"/>
                <w:sz w:val="18"/>
                <w:szCs w:val="18"/>
              </w:rPr>
            </w:pPr>
            <w:r>
              <w:rPr>
                <w:rFonts w:ascii="Arial" w:hAnsi="Arial" w:cs="Arial"/>
                <w:sz w:val="18"/>
                <w:szCs w:val="18"/>
              </w:rPr>
              <w:t> </w:t>
            </w:r>
          </w:p>
        </w:tc>
        <w:tc>
          <w:tcPr>
            <w:tcW w:w="1249" w:type="dxa"/>
            <w:tcBorders>
              <w:top w:val="nil"/>
              <w:left w:val="nil"/>
              <w:bottom w:val="nil"/>
              <w:right w:val="nil"/>
            </w:tcBorders>
            <w:shd w:val="clear" w:color="FFFFFF" w:fill="FFFFFF"/>
            <w:vAlign w:val="bottom"/>
            <w:hideMark/>
          </w:tcPr>
          <w:p w14:paraId="27AF2B2E" w14:textId="77777777" w:rsidR="00A43992" w:rsidRDefault="00A43992" w:rsidP="007211E3">
            <w:pPr>
              <w:jc w:val="right"/>
              <w:rPr>
                <w:rFonts w:ascii="Arial" w:hAnsi="Arial" w:cs="Arial"/>
                <w:b/>
                <w:bCs/>
                <w:sz w:val="18"/>
                <w:szCs w:val="18"/>
              </w:rPr>
            </w:pPr>
            <w:r>
              <w:rPr>
                <w:rFonts w:ascii="Arial" w:hAnsi="Arial" w:cs="Arial"/>
                <w:b/>
                <w:bCs/>
                <w:sz w:val="18"/>
                <w:szCs w:val="18"/>
              </w:rPr>
              <w:t>$'000</w:t>
            </w:r>
          </w:p>
        </w:tc>
        <w:tc>
          <w:tcPr>
            <w:tcW w:w="236" w:type="dxa"/>
            <w:tcBorders>
              <w:top w:val="nil"/>
              <w:left w:val="nil"/>
              <w:bottom w:val="nil"/>
              <w:right w:val="nil"/>
            </w:tcBorders>
            <w:shd w:val="clear" w:color="FFFFFF" w:fill="FFFFFF"/>
            <w:noWrap/>
            <w:vAlign w:val="bottom"/>
            <w:hideMark/>
          </w:tcPr>
          <w:p w14:paraId="06183C83" w14:textId="77777777" w:rsidR="00A43992" w:rsidRDefault="00A43992" w:rsidP="007211E3">
            <w:pPr>
              <w:rPr>
                <w:rFonts w:ascii="Arial" w:hAnsi="Arial" w:cs="Arial"/>
                <w:sz w:val="18"/>
                <w:szCs w:val="18"/>
              </w:rPr>
            </w:pPr>
            <w:r>
              <w:rPr>
                <w:rFonts w:ascii="Arial" w:hAnsi="Arial" w:cs="Arial"/>
                <w:sz w:val="18"/>
                <w:szCs w:val="18"/>
              </w:rPr>
              <w:t> </w:t>
            </w:r>
          </w:p>
        </w:tc>
        <w:tc>
          <w:tcPr>
            <w:tcW w:w="1249" w:type="dxa"/>
            <w:tcBorders>
              <w:top w:val="nil"/>
              <w:left w:val="nil"/>
              <w:bottom w:val="nil"/>
              <w:right w:val="nil"/>
            </w:tcBorders>
            <w:shd w:val="clear" w:color="FFFFFF" w:fill="FFFFFF"/>
            <w:vAlign w:val="bottom"/>
            <w:hideMark/>
          </w:tcPr>
          <w:p w14:paraId="6AD614ED" w14:textId="77777777" w:rsidR="00A43992" w:rsidRDefault="00A43992" w:rsidP="007211E3">
            <w:pPr>
              <w:jc w:val="right"/>
              <w:rPr>
                <w:rFonts w:ascii="Arial" w:hAnsi="Arial" w:cs="Arial"/>
                <w:sz w:val="18"/>
                <w:szCs w:val="18"/>
              </w:rPr>
            </w:pPr>
            <w:r>
              <w:rPr>
                <w:rFonts w:ascii="Arial" w:hAnsi="Arial" w:cs="Arial"/>
                <w:sz w:val="18"/>
                <w:szCs w:val="18"/>
              </w:rPr>
              <w:t>$'000</w:t>
            </w:r>
          </w:p>
        </w:tc>
      </w:tr>
      <w:tr w:rsidR="00A43992" w14:paraId="6C4D79E2" w14:textId="77777777" w:rsidTr="007211E3">
        <w:trPr>
          <w:trHeight w:val="255"/>
        </w:trPr>
        <w:tc>
          <w:tcPr>
            <w:tcW w:w="6353" w:type="dxa"/>
            <w:tcBorders>
              <w:top w:val="nil"/>
              <w:left w:val="nil"/>
              <w:bottom w:val="nil"/>
              <w:right w:val="nil"/>
            </w:tcBorders>
            <w:shd w:val="clear" w:color="FFFFFF" w:fill="FFFFFF"/>
            <w:noWrap/>
            <w:vAlign w:val="bottom"/>
            <w:hideMark/>
          </w:tcPr>
          <w:p w14:paraId="067E0DF0" w14:textId="77777777" w:rsidR="00A43992" w:rsidRDefault="00A43992" w:rsidP="007211E3">
            <w:pPr>
              <w:rPr>
                <w:rFonts w:ascii="Arial" w:hAnsi="Arial" w:cs="Arial"/>
                <w:b/>
                <w:bCs/>
                <w:sz w:val="18"/>
                <w:szCs w:val="18"/>
                <w:u w:val="single"/>
              </w:rPr>
            </w:pPr>
            <w:r>
              <w:rPr>
                <w:rFonts w:ascii="Arial" w:hAnsi="Arial" w:cs="Arial"/>
                <w:b/>
                <w:bCs/>
                <w:sz w:val="18"/>
                <w:szCs w:val="18"/>
                <w:u w:val="single"/>
              </w:rPr>
              <w:t>Note 5.2A: Categories of financial instruments</w:t>
            </w:r>
          </w:p>
        </w:tc>
        <w:tc>
          <w:tcPr>
            <w:tcW w:w="1249" w:type="dxa"/>
            <w:tcBorders>
              <w:top w:val="nil"/>
              <w:left w:val="nil"/>
              <w:bottom w:val="nil"/>
              <w:right w:val="nil"/>
            </w:tcBorders>
            <w:shd w:val="clear" w:color="FFFFFF" w:fill="FFFFFF"/>
            <w:noWrap/>
            <w:vAlign w:val="bottom"/>
            <w:hideMark/>
          </w:tcPr>
          <w:p w14:paraId="2CE96816" w14:textId="77777777" w:rsidR="00A43992" w:rsidRDefault="00A43992" w:rsidP="007211E3">
            <w:pPr>
              <w:rPr>
                <w:rFonts w:ascii="Arial" w:hAnsi="Arial" w:cs="Arial"/>
                <w:sz w:val="18"/>
                <w:szCs w:val="18"/>
              </w:rPr>
            </w:pPr>
            <w:r>
              <w:rPr>
                <w:rFonts w:ascii="Arial" w:hAnsi="Arial" w:cs="Arial"/>
                <w:sz w:val="18"/>
                <w:szCs w:val="18"/>
              </w:rPr>
              <w:t> </w:t>
            </w:r>
          </w:p>
        </w:tc>
        <w:tc>
          <w:tcPr>
            <w:tcW w:w="236" w:type="dxa"/>
            <w:tcBorders>
              <w:top w:val="nil"/>
              <w:left w:val="nil"/>
              <w:bottom w:val="nil"/>
              <w:right w:val="nil"/>
            </w:tcBorders>
            <w:shd w:val="clear" w:color="FFFFFF" w:fill="FFFFFF"/>
            <w:noWrap/>
            <w:vAlign w:val="bottom"/>
            <w:hideMark/>
          </w:tcPr>
          <w:p w14:paraId="114ADACD" w14:textId="77777777" w:rsidR="00A43992" w:rsidRDefault="00A43992" w:rsidP="007211E3">
            <w:pPr>
              <w:rPr>
                <w:rFonts w:ascii="Arial" w:hAnsi="Arial" w:cs="Arial"/>
                <w:sz w:val="18"/>
                <w:szCs w:val="18"/>
              </w:rPr>
            </w:pPr>
            <w:r>
              <w:rPr>
                <w:rFonts w:ascii="Arial" w:hAnsi="Arial" w:cs="Arial"/>
                <w:sz w:val="18"/>
                <w:szCs w:val="18"/>
              </w:rPr>
              <w:t> </w:t>
            </w:r>
          </w:p>
        </w:tc>
        <w:tc>
          <w:tcPr>
            <w:tcW w:w="1249" w:type="dxa"/>
            <w:tcBorders>
              <w:top w:val="nil"/>
              <w:left w:val="nil"/>
              <w:bottom w:val="nil"/>
              <w:right w:val="nil"/>
            </w:tcBorders>
            <w:shd w:val="clear" w:color="FFFFFF" w:fill="FFFFFF"/>
            <w:noWrap/>
            <w:vAlign w:val="bottom"/>
            <w:hideMark/>
          </w:tcPr>
          <w:p w14:paraId="7FB8B6E5" w14:textId="77777777" w:rsidR="00A43992" w:rsidRDefault="00A43992" w:rsidP="007211E3">
            <w:pPr>
              <w:rPr>
                <w:rFonts w:ascii="Arial" w:hAnsi="Arial" w:cs="Arial"/>
                <w:sz w:val="18"/>
                <w:szCs w:val="18"/>
              </w:rPr>
            </w:pPr>
            <w:r>
              <w:rPr>
                <w:rFonts w:ascii="Arial" w:hAnsi="Arial" w:cs="Arial"/>
                <w:sz w:val="18"/>
                <w:szCs w:val="18"/>
              </w:rPr>
              <w:t> </w:t>
            </w:r>
          </w:p>
        </w:tc>
      </w:tr>
      <w:tr w:rsidR="00A43992" w14:paraId="6AA349BE" w14:textId="77777777" w:rsidTr="007211E3">
        <w:trPr>
          <w:trHeight w:val="255"/>
        </w:trPr>
        <w:tc>
          <w:tcPr>
            <w:tcW w:w="6353" w:type="dxa"/>
            <w:tcBorders>
              <w:top w:val="nil"/>
              <w:left w:val="nil"/>
              <w:bottom w:val="nil"/>
              <w:right w:val="nil"/>
            </w:tcBorders>
            <w:shd w:val="clear" w:color="FFFFFF" w:fill="FFFFFF"/>
            <w:vAlign w:val="bottom"/>
            <w:hideMark/>
          </w:tcPr>
          <w:p w14:paraId="7349B554" w14:textId="77777777" w:rsidR="00A43992" w:rsidRDefault="00A43992" w:rsidP="007211E3">
            <w:pPr>
              <w:rPr>
                <w:rFonts w:ascii="Arial" w:hAnsi="Arial" w:cs="Arial"/>
                <w:b/>
                <w:bCs/>
                <w:sz w:val="18"/>
                <w:szCs w:val="18"/>
              </w:rPr>
            </w:pPr>
            <w:r>
              <w:rPr>
                <w:rFonts w:ascii="Arial" w:hAnsi="Arial" w:cs="Arial"/>
                <w:b/>
                <w:bCs/>
                <w:sz w:val="18"/>
                <w:szCs w:val="18"/>
              </w:rPr>
              <w:t>Financial assets</w:t>
            </w:r>
          </w:p>
        </w:tc>
        <w:tc>
          <w:tcPr>
            <w:tcW w:w="1249" w:type="dxa"/>
            <w:tcBorders>
              <w:top w:val="nil"/>
              <w:left w:val="nil"/>
              <w:bottom w:val="nil"/>
              <w:right w:val="nil"/>
            </w:tcBorders>
            <w:shd w:val="clear" w:color="FFFFFF" w:fill="FFFFFF"/>
            <w:noWrap/>
            <w:vAlign w:val="bottom"/>
            <w:hideMark/>
          </w:tcPr>
          <w:p w14:paraId="6DBE5CD0" w14:textId="77777777" w:rsidR="00A43992" w:rsidRDefault="00A43992" w:rsidP="007211E3">
            <w:pPr>
              <w:rPr>
                <w:rFonts w:ascii="Arial" w:hAnsi="Arial" w:cs="Arial"/>
                <w:sz w:val="18"/>
                <w:szCs w:val="18"/>
              </w:rPr>
            </w:pPr>
            <w:r>
              <w:rPr>
                <w:rFonts w:ascii="Arial" w:hAnsi="Arial" w:cs="Arial"/>
                <w:sz w:val="18"/>
                <w:szCs w:val="18"/>
              </w:rPr>
              <w:t> </w:t>
            </w:r>
          </w:p>
        </w:tc>
        <w:tc>
          <w:tcPr>
            <w:tcW w:w="236" w:type="dxa"/>
            <w:tcBorders>
              <w:top w:val="nil"/>
              <w:left w:val="nil"/>
              <w:bottom w:val="nil"/>
              <w:right w:val="nil"/>
            </w:tcBorders>
            <w:shd w:val="clear" w:color="FFFFFF" w:fill="FFFFFF"/>
            <w:noWrap/>
            <w:vAlign w:val="bottom"/>
            <w:hideMark/>
          </w:tcPr>
          <w:p w14:paraId="3AFB76CC" w14:textId="77777777" w:rsidR="00A43992" w:rsidRDefault="00A43992" w:rsidP="007211E3">
            <w:pPr>
              <w:rPr>
                <w:rFonts w:ascii="Arial" w:hAnsi="Arial" w:cs="Arial"/>
                <w:sz w:val="18"/>
                <w:szCs w:val="18"/>
              </w:rPr>
            </w:pPr>
            <w:r>
              <w:rPr>
                <w:rFonts w:ascii="Arial" w:hAnsi="Arial" w:cs="Arial"/>
                <w:sz w:val="18"/>
                <w:szCs w:val="18"/>
              </w:rPr>
              <w:t> </w:t>
            </w:r>
          </w:p>
        </w:tc>
        <w:tc>
          <w:tcPr>
            <w:tcW w:w="1249" w:type="dxa"/>
            <w:tcBorders>
              <w:top w:val="nil"/>
              <w:left w:val="nil"/>
              <w:bottom w:val="nil"/>
              <w:right w:val="nil"/>
            </w:tcBorders>
            <w:shd w:val="clear" w:color="FFFFFF" w:fill="FFFFFF"/>
            <w:noWrap/>
            <w:vAlign w:val="bottom"/>
            <w:hideMark/>
          </w:tcPr>
          <w:p w14:paraId="5C0944DA" w14:textId="77777777" w:rsidR="00A43992" w:rsidRDefault="00A43992" w:rsidP="007211E3">
            <w:pPr>
              <w:rPr>
                <w:rFonts w:ascii="Arial" w:hAnsi="Arial" w:cs="Arial"/>
                <w:sz w:val="18"/>
                <w:szCs w:val="18"/>
              </w:rPr>
            </w:pPr>
            <w:r>
              <w:rPr>
                <w:rFonts w:ascii="Arial" w:hAnsi="Arial" w:cs="Arial"/>
                <w:sz w:val="18"/>
                <w:szCs w:val="18"/>
              </w:rPr>
              <w:t> </w:t>
            </w:r>
          </w:p>
        </w:tc>
      </w:tr>
      <w:tr w:rsidR="00A43992" w14:paraId="128CA67A" w14:textId="77777777" w:rsidTr="007211E3">
        <w:trPr>
          <w:trHeight w:val="255"/>
        </w:trPr>
        <w:tc>
          <w:tcPr>
            <w:tcW w:w="6353" w:type="dxa"/>
            <w:tcBorders>
              <w:top w:val="nil"/>
              <w:left w:val="nil"/>
              <w:bottom w:val="nil"/>
              <w:right w:val="nil"/>
            </w:tcBorders>
            <w:shd w:val="clear" w:color="FFFFFF" w:fill="FFFFFF"/>
            <w:vAlign w:val="bottom"/>
            <w:hideMark/>
          </w:tcPr>
          <w:p w14:paraId="1550E31B" w14:textId="77777777" w:rsidR="00A43992" w:rsidRDefault="00A43992" w:rsidP="007211E3">
            <w:pPr>
              <w:rPr>
                <w:rFonts w:ascii="Arial" w:hAnsi="Arial" w:cs="Arial"/>
                <w:b/>
                <w:bCs/>
                <w:sz w:val="18"/>
                <w:szCs w:val="18"/>
              </w:rPr>
            </w:pPr>
            <w:r>
              <w:rPr>
                <w:rFonts w:ascii="Arial" w:hAnsi="Arial" w:cs="Arial"/>
                <w:b/>
                <w:bCs/>
                <w:sz w:val="18"/>
                <w:szCs w:val="18"/>
              </w:rPr>
              <w:t>Held-to-maturity investments</w:t>
            </w:r>
          </w:p>
        </w:tc>
        <w:tc>
          <w:tcPr>
            <w:tcW w:w="1249" w:type="dxa"/>
            <w:tcBorders>
              <w:top w:val="nil"/>
              <w:left w:val="nil"/>
              <w:bottom w:val="nil"/>
              <w:right w:val="nil"/>
            </w:tcBorders>
            <w:shd w:val="clear" w:color="FFFFFF" w:fill="FFFFFF"/>
            <w:noWrap/>
            <w:vAlign w:val="bottom"/>
            <w:hideMark/>
          </w:tcPr>
          <w:p w14:paraId="5B25378F" w14:textId="77777777" w:rsidR="00A43992" w:rsidRDefault="00A43992" w:rsidP="007211E3">
            <w:pPr>
              <w:rPr>
                <w:rFonts w:ascii="Arial" w:hAnsi="Arial" w:cs="Arial"/>
                <w:b/>
                <w:bCs/>
                <w:sz w:val="18"/>
                <w:szCs w:val="18"/>
              </w:rPr>
            </w:pPr>
            <w:r>
              <w:rPr>
                <w:rFonts w:ascii="Arial" w:hAnsi="Arial" w:cs="Arial"/>
                <w:b/>
                <w:bCs/>
                <w:sz w:val="18"/>
                <w:szCs w:val="18"/>
              </w:rPr>
              <w:t> </w:t>
            </w:r>
          </w:p>
        </w:tc>
        <w:tc>
          <w:tcPr>
            <w:tcW w:w="236" w:type="dxa"/>
            <w:tcBorders>
              <w:top w:val="nil"/>
              <w:left w:val="nil"/>
              <w:bottom w:val="nil"/>
              <w:right w:val="nil"/>
            </w:tcBorders>
            <w:shd w:val="clear" w:color="FFFFFF" w:fill="FFFFFF"/>
            <w:noWrap/>
            <w:vAlign w:val="bottom"/>
            <w:hideMark/>
          </w:tcPr>
          <w:p w14:paraId="3DD13DFE" w14:textId="77777777" w:rsidR="00A43992" w:rsidRDefault="00A43992" w:rsidP="007211E3">
            <w:pPr>
              <w:rPr>
                <w:rFonts w:ascii="Arial" w:hAnsi="Arial" w:cs="Arial"/>
                <w:sz w:val="18"/>
                <w:szCs w:val="18"/>
              </w:rPr>
            </w:pPr>
            <w:r>
              <w:rPr>
                <w:rFonts w:ascii="Arial" w:hAnsi="Arial" w:cs="Arial"/>
                <w:sz w:val="18"/>
                <w:szCs w:val="18"/>
              </w:rPr>
              <w:t> </w:t>
            </w:r>
          </w:p>
        </w:tc>
        <w:tc>
          <w:tcPr>
            <w:tcW w:w="1249" w:type="dxa"/>
            <w:tcBorders>
              <w:top w:val="nil"/>
              <w:left w:val="nil"/>
              <w:bottom w:val="nil"/>
              <w:right w:val="nil"/>
            </w:tcBorders>
            <w:shd w:val="clear" w:color="FFFFFF" w:fill="FFFFFF"/>
            <w:noWrap/>
            <w:vAlign w:val="bottom"/>
            <w:hideMark/>
          </w:tcPr>
          <w:p w14:paraId="1F441955" w14:textId="77777777" w:rsidR="00A43992" w:rsidRDefault="00A43992" w:rsidP="007211E3">
            <w:pPr>
              <w:rPr>
                <w:rFonts w:ascii="Arial" w:hAnsi="Arial" w:cs="Arial"/>
                <w:sz w:val="18"/>
                <w:szCs w:val="18"/>
              </w:rPr>
            </w:pPr>
            <w:r>
              <w:rPr>
                <w:rFonts w:ascii="Arial" w:hAnsi="Arial" w:cs="Arial"/>
                <w:sz w:val="18"/>
                <w:szCs w:val="18"/>
              </w:rPr>
              <w:t> </w:t>
            </w:r>
          </w:p>
        </w:tc>
      </w:tr>
      <w:tr w:rsidR="00A43992" w14:paraId="7ACBC2E5" w14:textId="77777777" w:rsidTr="007211E3">
        <w:trPr>
          <w:trHeight w:val="255"/>
        </w:trPr>
        <w:tc>
          <w:tcPr>
            <w:tcW w:w="6353" w:type="dxa"/>
            <w:tcBorders>
              <w:top w:val="nil"/>
              <w:left w:val="nil"/>
              <w:bottom w:val="nil"/>
              <w:right w:val="nil"/>
            </w:tcBorders>
            <w:shd w:val="clear" w:color="FFFFFF" w:fill="FFFFFF"/>
            <w:noWrap/>
            <w:vAlign w:val="bottom"/>
            <w:hideMark/>
          </w:tcPr>
          <w:p w14:paraId="38DB4C92" w14:textId="77777777" w:rsidR="00A43992" w:rsidRDefault="00A43992" w:rsidP="007211E3">
            <w:pPr>
              <w:ind w:firstLineChars="100" w:firstLine="180"/>
              <w:rPr>
                <w:rFonts w:ascii="Arial" w:hAnsi="Arial" w:cs="Arial"/>
                <w:sz w:val="18"/>
                <w:szCs w:val="18"/>
              </w:rPr>
            </w:pPr>
            <w:r>
              <w:rPr>
                <w:rFonts w:ascii="Arial" w:hAnsi="Arial" w:cs="Arial"/>
                <w:sz w:val="18"/>
                <w:szCs w:val="18"/>
              </w:rPr>
              <w:t>Term deposits</w:t>
            </w:r>
          </w:p>
        </w:tc>
        <w:tc>
          <w:tcPr>
            <w:tcW w:w="1249" w:type="dxa"/>
            <w:tcBorders>
              <w:top w:val="nil"/>
              <w:left w:val="nil"/>
              <w:bottom w:val="nil"/>
              <w:right w:val="nil"/>
            </w:tcBorders>
            <w:shd w:val="clear" w:color="FFFFFF" w:fill="FFFFFF"/>
            <w:noWrap/>
            <w:vAlign w:val="bottom"/>
            <w:hideMark/>
          </w:tcPr>
          <w:p w14:paraId="501543FF" w14:textId="77777777" w:rsidR="00A43992" w:rsidRDefault="00A43992" w:rsidP="007211E3">
            <w:pPr>
              <w:jc w:val="right"/>
              <w:rPr>
                <w:rFonts w:ascii="Arial" w:hAnsi="Arial" w:cs="Arial"/>
                <w:b/>
                <w:bCs/>
                <w:sz w:val="18"/>
                <w:szCs w:val="18"/>
              </w:rPr>
            </w:pPr>
            <w:r>
              <w:rPr>
                <w:rFonts w:ascii="Arial" w:hAnsi="Arial" w:cs="Arial"/>
                <w:b/>
                <w:bCs/>
                <w:sz w:val="18"/>
                <w:szCs w:val="18"/>
              </w:rPr>
              <w:t>33,194</w:t>
            </w:r>
          </w:p>
        </w:tc>
        <w:tc>
          <w:tcPr>
            <w:tcW w:w="236" w:type="dxa"/>
            <w:tcBorders>
              <w:top w:val="nil"/>
              <w:left w:val="nil"/>
              <w:bottom w:val="nil"/>
              <w:right w:val="nil"/>
            </w:tcBorders>
            <w:shd w:val="clear" w:color="FFFFFF" w:fill="FFFFFF"/>
            <w:noWrap/>
            <w:vAlign w:val="bottom"/>
            <w:hideMark/>
          </w:tcPr>
          <w:p w14:paraId="5ADE6800" w14:textId="77777777" w:rsidR="00A43992" w:rsidRDefault="00A43992" w:rsidP="007211E3">
            <w:pPr>
              <w:rPr>
                <w:rFonts w:ascii="Arial" w:hAnsi="Arial" w:cs="Arial"/>
                <w:sz w:val="18"/>
                <w:szCs w:val="18"/>
              </w:rPr>
            </w:pPr>
            <w:r>
              <w:rPr>
                <w:rFonts w:ascii="Arial" w:hAnsi="Arial" w:cs="Arial"/>
                <w:sz w:val="18"/>
                <w:szCs w:val="18"/>
              </w:rPr>
              <w:t> </w:t>
            </w:r>
          </w:p>
        </w:tc>
        <w:tc>
          <w:tcPr>
            <w:tcW w:w="1249" w:type="dxa"/>
            <w:tcBorders>
              <w:top w:val="nil"/>
              <w:left w:val="nil"/>
              <w:bottom w:val="nil"/>
              <w:right w:val="nil"/>
            </w:tcBorders>
            <w:shd w:val="clear" w:color="FFFFFF" w:fill="FFFFFF"/>
            <w:noWrap/>
            <w:vAlign w:val="bottom"/>
            <w:hideMark/>
          </w:tcPr>
          <w:p w14:paraId="2148A417" w14:textId="77777777" w:rsidR="00A43992" w:rsidRPr="00EE4FBB" w:rsidRDefault="00A43992" w:rsidP="007211E3">
            <w:pPr>
              <w:jc w:val="right"/>
              <w:rPr>
                <w:rFonts w:ascii="Arial" w:hAnsi="Arial" w:cs="Arial"/>
                <w:bCs/>
                <w:sz w:val="18"/>
                <w:szCs w:val="18"/>
              </w:rPr>
            </w:pPr>
            <w:r w:rsidRPr="00EE4FBB">
              <w:rPr>
                <w:rFonts w:ascii="Arial" w:hAnsi="Arial" w:cs="Arial"/>
                <w:bCs/>
                <w:sz w:val="18"/>
                <w:szCs w:val="18"/>
              </w:rPr>
              <w:t>-</w:t>
            </w:r>
          </w:p>
        </w:tc>
      </w:tr>
      <w:tr w:rsidR="00A43992" w14:paraId="361DC4F8" w14:textId="77777777" w:rsidTr="007211E3">
        <w:trPr>
          <w:trHeight w:val="255"/>
        </w:trPr>
        <w:tc>
          <w:tcPr>
            <w:tcW w:w="6353" w:type="dxa"/>
            <w:tcBorders>
              <w:top w:val="nil"/>
              <w:left w:val="nil"/>
              <w:bottom w:val="nil"/>
              <w:right w:val="nil"/>
            </w:tcBorders>
            <w:shd w:val="clear" w:color="FFFFFF" w:fill="FFFFFF"/>
            <w:vAlign w:val="bottom"/>
            <w:hideMark/>
          </w:tcPr>
          <w:p w14:paraId="7600C266" w14:textId="77777777" w:rsidR="00A43992" w:rsidRDefault="00A43992" w:rsidP="007211E3">
            <w:pPr>
              <w:rPr>
                <w:rFonts w:ascii="Arial" w:hAnsi="Arial" w:cs="Arial"/>
                <w:b/>
                <w:bCs/>
                <w:sz w:val="18"/>
                <w:szCs w:val="18"/>
              </w:rPr>
            </w:pPr>
            <w:r>
              <w:rPr>
                <w:rFonts w:ascii="Arial" w:hAnsi="Arial" w:cs="Arial"/>
                <w:b/>
                <w:bCs/>
                <w:sz w:val="18"/>
                <w:szCs w:val="18"/>
              </w:rPr>
              <w:t>Total held-to-maturity investments</w:t>
            </w:r>
          </w:p>
        </w:tc>
        <w:tc>
          <w:tcPr>
            <w:tcW w:w="1249" w:type="dxa"/>
            <w:tcBorders>
              <w:top w:val="single" w:sz="4" w:space="0" w:color="auto"/>
              <w:left w:val="nil"/>
              <w:bottom w:val="single" w:sz="4" w:space="0" w:color="auto"/>
              <w:right w:val="nil"/>
            </w:tcBorders>
            <w:shd w:val="clear" w:color="FFFFFF" w:fill="FFFFFF"/>
            <w:noWrap/>
            <w:vAlign w:val="bottom"/>
            <w:hideMark/>
          </w:tcPr>
          <w:p w14:paraId="162EC2F6" w14:textId="77777777" w:rsidR="00A43992" w:rsidRDefault="00A43992" w:rsidP="007211E3">
            <w:pPr>
              <w:jc w:val="right"/>
              <w:rPr>
                <w:rFonts w:ascii="Arial" w:hAnsi="Arial" w:cs="Arial"/>
                <w:b/>
                <w:bCs/>
                <w:sz w:val="18"/>
                <w:szCs w:val="18"/>
              </w:rPr>
            </w:pPr>
            <w:r>
              <w:rPr>
                <w:rFonts w:ascii="Arial" w:hAnsi="Arial" w:cs="Arial"/>
                <w:b/>
                <w:bCs/>
                <w:sz w:val="18"/>
                <w:szCs w:val="18"/>
              </w:rPr>
              <w:t>33,194</w:t>
            </w:r>
          </w:p>
        </w:tc>
        <w:tc>
          <w:tcPr>
            <w:tcW w:w="236" w:type="dxa"/>
            <w:tcBorders>
              <w:top w:val="nil"/>
              <w:left w:val="nil"/>
              <w:bottom w:val="nil"/>
              <w:right w:val="nil"/>
            </w:tcBorders>
            <w:shd w:val="clear" w:color="FFFFFF" w:fill="FFFFFF"/>
            <w:noWrap/>
            <w:vAlign w:val="bottom"/>
            <w:hideMark/>
          </w:tcPr>
          <w:p w14:paraId="1AFA0D3E" w14:textId="77777777" w:rsidR="00A43992" w:rsidRDefault="00A43992" w:rsidP="007211E3">
            <w:pPr>
              <w:rPr>
                <w:rFonts w:ascii="Arial" w:hAnsi="Arial" w:cs="Arial"/>
                <w:sz w:val="18"/>
                <w:szCs w:val="18"/>
              </w:rPr>
            </w:pPr>
            <w:r>
              <w:rPr>
                <w:rFonts w:ascii="Arial" w:hAnsi="Arial" w:cs="Arial"/>
                <w:sz w:val="18"/>
                <w:szCs w:val="18"/>
              </w:rPr>
              <w:t> </w:t>
            </w:r>
          </w:p>
        </w:tc>
        <w:tc>
          <w:tcPr>
            <w:tcW w:w="1249" w:type="dxa"/>
            <w:tcBorders>
              <w:top w:val="single" w:sz="4" w:space="0" w:color="auto"/>
              <w:left w:val="nil"/>
              <w:bottom w:val="single" w:sz="4" w:space="0" w:color="auto"/>
              <w:right w:val="nil"/>
            </w:tcBorders>
            <w:shd w:val="clear" w:color="FFFFFF" w:fill="FFFFFF"/>
            <w:noWrap/>
            <w:vAlign w:val="bottom"/>
            <w:hideMark/>
          </w:tcPr>
          <w:p w14:paraId="05DACE02" w14:textId="77777777" w:rsidR="00A43992" w:rsidRPr="00EE4FBB" w:rsidRDefault="00A43992" w:rsidP="007211E3">
            <w:pPr>
              <w:jc w:val="right"/>
              <w:rPr>
                <w:rFonts w:ascii="Arial" w:hAnsi="Arial" w:cs="Arial"/>
                <w:bCs/>
                <w:sz w:val="18"/>
                <w:szCs w:val="18"/>
              </w:rPr>
            </w:pPr>
            <w:r w:rsidRPr="00EE4FBB">
              <w:rPr>
                <w:rFonts w:ascii="Arial" w:hAnsi="Arial" w:cs="Arial"/>
                <w:bCs/>
                <w:sz w:val="18"/>
                <w:szCs w:val="18"/>
              </w:rPr>
              <w:t>-</w:t>
            </w:r>
          </w:p>
        </w:tc>
      </w:tr>
      <w:tr w:rsidR="00A43992" w14:paraId="1FC156AB" w14:textId="77777777" w:rsidTr="007211E3">
        <w:trPr>
          <w:trHeight w:val="255"/>
        </w:trPr>
        <w:tc>
          <w:tcPr>
            <w:tcW w:w="6353" w:type="dxa"/>
            <w:tcBorders>
              <w:top w:val="nil"/>
              <w:left w:val="nil"/>
              <w:bottom w:val="nil"/>
              <w:right w:val="nil"/>
            </w:tcBorders>
            <w:shd w:val="clear" w:color="FFFFFF" w:fill="FFFFFF"/>
            <w:noWrap/>
            <w:vAlign w:val="bottom"/>
            <w:hideMark/>
          </w:tcPr>
          <w:p w14:paraId="2F1A384F" w14:textId="77777777" w:rsidR="00A43992" w:rsidRDefault="00A43992" w:rsidP="007211E3">
            <w:pPr>
              <w:rPr>
                <w:rFonts w:ascii="Arial" w:hAnsi="Arial" w:cs="Arial"/>
                <w:sz w:val="18"/>
                <w:szCs w:val="18"/>
              </w:rPr>
            </w:pPr>
            <w:r>
              <w:rPr>
                <w:rFonts w:ascii="Arial" w:hAnsi="Arial" w:cs="Arial"/>
                <w:sz w:val="18"/>
                <w:szCs w:val="18"/>
              </w:rPr>
              <w:t> </w:t>
            </w:r>
          </w:p>
        </w:tc>
        <w:tc>
          <w:tcPr>
            <w:tcW w:w="1249" w:type="dxa"/>
            <w:tcBorders>
              <w:top w:val="nil"/>
              <w:left w:val="nil"/>
              <w:bottom w:val="nil"/>
              <w:right w:val="nil"/>
            </w:tcBorders>
            <w:shd w:val="clear" w:color="FFFFFF" w:fill="FFFFFF"/>
            <w:noWrap/>
            <w:vAlign w:val="bottom"/>
            <w:hideMark/>
          </w:tcPr>
          <w:p w14:paraId="1BEEFCDA" w14:textId="77777777" w:rsidR="00A43992" w:rsidRDefault="00A43992" w:rsidP="007211E3">
            <w:pPr>
              <w:rPr>
                <w:rFonts w:ascii="Arial" w:hAnsi="Arial" w:cs="Arial"/>
                <w:sz w:val="18"/>
                <w:szCs w:val="18"/>
              </w:rPr>
            </w:pPr>
            <w:r>
              <w:rPr>
                <w:rFonts w:ascii="Arial" w:hAnsi="Arial" w:cs="Arial"/>
                <w:sz w:val="18"/>
                <w:szCs w:val="18"/>
              </w:rPr>
              <w:t> </w:t>
            </w:r>
          </w:p>
        </w:tc>
        <w:tc>
          <w:tcPr>
            <w:tcW w:w="236" w:type="dxa"/>
            <w:tcBorders>
              <w:top w:val="nil"/>
              <w:left w:val="nil"/>
              <w:bottom w:val="nil"/>
              <w:right w:val="nil"/>
            </w:tcBorders>
            <w:shd w:val="clear" w:color="FFFFFF" w:fill="FFFFFF"/>
            <w:noWrap/>
            <w:vAlign w:val="bottom"/>
            <w:hideMark/>
          </w:tcPr>
          <w:p w14:paraId="3A66FBFB" w14:textId="77777777" w:rsidR="00A43992" w:rsidRDefault="00A43992" w:rsidP="007211E3">
            <w:pPr>
              <w:rPr>
                <w:rFonts w:ascii="Arial" w:hAnsi="Arial" w:cs="Arial"/>
                <w:sz w:val="18"/>
                <w:szCs w:val="18"/>
              </w:rPr>
            </w:pPr>
            <w:r>
              <w:rPr>
                <w:rFonts w:ascii="Arial" w:hAnsi="Arial" w:cs="Arial"/>
                <w:sz w:val="18"/>
                <w:szCs w:val="18"/>
              </w:rPr>
              <w:t> </w:t>
            </w:r>
          </w:p>
        </w:tc>
        <w:tc>
          <w:tcPr>
            <w:tcW w:w="1249" w:type="dxa"/>
            <w:tcBorders>
              <w:top w:val="nil"/>
              <w:left w:val="nil"/>
              <w:bottom w:val="nil"/>
              <w:right w:val="nil"/>
            </w:tcBorders>
            <w:shd w:val="clear" w:color="FFFFFF" w:fill="FFFFFF"/>
            <w:noWrap/>
            <w:vAlign w:val="bottom"/>
            <w:hideMark/>
          </w:tcPr>
          <w:p w14:paraId="1BDD9C49" w14:textId="77777777" w:rsidR="00A43992" w:rsidRDefault="00A43992" w:rsidP="007211E3">
            <w:pPr>
              <w:rPr>
                <w:rFonts w:ascii="Arial" w:hAnsi="Arial" w:cs="Arial"/>
                <w:sz w:val="18"/>
                <w:szCs w:val="18"/>
              </w:rPr>
            </w:pPr>
            <w:r>
              <w:rPr>
                <w:rFonts w:ascii="Arial" w:hAnsi="Arial" w:cs="Arial"/>
                <w:sz w:val="18"/>
                <w:szCs w:val="18"/>
              </w:rPr>
              <w:t> </w:t>
            </w:r>
          </w:p>
        </w:tc>
      </w:tr>
      <w:tr w:rsidR="00A43992" w14:paraId="03F46AA0" w14:textId="77777777" w:rsidTr="007211E3">
        <w:trPr>
          <w:trHeight w:val="255"/>
        </w:trPr>
        <w:tc>
          <w:tcPr>
            <w:tcW w:w="6353" w:type="dxa"/>
            <w:tcBorders>
              <w:top w:val="nil"/>
              <w:left w:val="nil"/>
              <w:bottom w:val="nil"/>
              <w:right w:val="nil"/>
            </w:tcBorders>
            <w:shd w:val="clear" w:color="FFFFFF" w:fill="FFFFFF"/>
            <w:vAlign w:val="bottom"/>
            <w:hideMark/>
          </w:tcPr>
          <w:p w14:paraId="57268FCC" w14:textId="77777777" w:rsidR="00A43992" w:rsidRDefault="00A43992" w:rsidP="007211E3">
            <w:pPr>
              <w:rPr>
                <w:rFonts w:ascii="Arial" w:hAnsi="Arial" w:cs="Arial"/>
                <w:b/>
                <w:bCs/>
                <w:sz w:val="18"/>
                <w:szCs w:val="18"/>
              </w:rPr>
            </w:pPr>
            <w:r>
              <w:rPr>
                <w:rFonts w:ascii="Arial" w:hAnsi="Arial" w:cs="Arial"/>
                <w:b/>
                <w:bCs/>
                <w:sz w:val="18"/>
                <w:szCs w:val="18"/>
              </w:rPr>
              <w:t>Loans and receivables</w:t>
            </w:r>
          </w:p>
        </w:tc>
        <w:tc>
          <w:tcPr>
            <w:tcW w:w="1249" w:type="dxa"/>
            <w:tcBorders>
              <w:top w:val="nil"/>
              <w:left w:val="nil"/>
              <w:bottom w:val="nil"/>
              <w:right w:val="nil"/>
            </w:tcBorders>
            <w:shd w:val="clear" w:color="FFFFFF" w:fill="FFFFFF"/>
            <w:noWrap/>
            <w:vAlign w:val="bottom"/>
            <w:hideMark/>
          </w:tcPr>
          <w:p w14:paraId="7D676F5B" w14:textId="77777777" w:rsidR="00A43992" w:rsidRDefault="00A43992" w:rsidP="007211E3">
            <w:pPr>
              <w:rPr>
                <w:rFonts w:ascii="Arial" w:hAnsi="Arial" w:cs="Arial"/>
                <w:sz w:val="18"/>
                <w:szCs w:val="18"/>
              </w:rPr>
            </w:pPr>
            <w:r>
              <w:rPr>
                <w:rFonts w:ascii="Arial" w:hAnsi="Arial" w:cs="Arial"/>
                <w:sz w:val="18"/>
                <w:szCs w:val="18"/>
              </w:rPr>
              <w:t> </w:t>
            </w:r>
          </w:p>
        </w:tc>
        <w:tc>
          <w:tcPr>
            <w:tcW w:w="236" w:type="dxa"/>
            <w:tcBorders>
              <w:top w:val="nil"/>
              <w:left w:val="nil"/>
              <w:bottom w:val="nil"/>
              <w:right w:val="nil"/>
            </w:tcBorders>
            <w:shd w:val="clear" w:color="FFFFFF" w:fill="FFFFFF"/>
            <w:noWrap/>
            <w:vAlign w:val="bottom"/>
            <w:hideMark/>
          </w:tcPr>
          <w:p w14:paraId="0427E5A1" w14:textId="77777777" w:rsidR="00A43992" w:rsidRDefault="00A43992" w:rsidP="007211E3">
            <w:pPr>
              <w:rPr>
                <w:rFonts w:ascii="Arial" w:hAnsi="Arial" w:cs="Arial"/>
                <w:sz w:val="18"/>
                <w:szCs w:val="18"/>
              </w:rPr>
            </w:pPr>
            <w:r>
              <w:rPr>
                <w:rFonts w:ascii="Arial" w:hAnsi="Arial" w:cs="Arial"/>
                <w:sz w:val="18"/>
                <w:szCs w:val="18"/>
              </w:rPr>
              <w:t> </w:t>
            </w:r>
          </w:p>
        </w:tc>
        <w:tc>
          <w:tcPr>
            <w:tcW w:w="1249" w:type="dxa"/>
            <w:tcBorders>
              <w:top w:val="nil"/>
              <w:left w:val="nil"/>
              <w:bottom w:val="nil"/>
              <w:right w:val="nil"/>
            </w:tcBorders>
            <w:shd w:val="clear" w:color="FFFFFF" w:fill="FFFFFF"/>
            <w:noWrap/>
            <w:vAlign w:val="bottom"/>
            <w:hideMark/>
          </w:tcPr>
          <w:p w14:paraId="09A116CD" w14:textId="77777777" w:rsidR="00A43992" w:rsidRDefault="00A43992" w:rsidP="007211E3">
            <w:pPr>
              <w:rPr>
                <w:rFonts w:ascii="Arial" w:hAnsi="Arial" w:cs="Arial"/>
                <w:sz w:val="18"/>
                <w:szCs w:val="18"/>
              </w:rPr>
            </w:pPr>
            <w:r>
              <w:rPr>
                <w:rFonts w:ascii="Arial" w:hAnsi="Arial" w:cs="Arial"/>
                <w:sz w:val="18"/>
                <w:szCs w:val="18"/>
              </w:rPr>
              <w:t> </w:t>
            </w:r>
          </w:p>
        </w:tc>
      </w:tr>
      <w:tr w:rsidR="00A43992" w14:paraId="4632D921" w14:textId="77777777" w:rsidTr="007211E3">
        <w:trPr>
          <w:trHeight w:val="255"/>
        </w:trPr>
        <w:tc>
          <w:tcPr>
            <w:tcW w:w="6353" w:type="dxa"/>
            <w:tcBorders>
              <w:top w:val="nil"/>
              <w:left w:val="nil"/>
              <w:bottom w:val="nil"/>
              <w:right w:val="nil"/>
            </w:tcBorders>
            <w:shd w:val="clear" w:color="FFFFFF" w:fill="FFFFFF"/>
            <w:noWrap/>
            <w:vAlign w:val="bottom"/>
            <w:hideMark/>
          </w:tcPr>
          <w:p w14:paraId="52AB3FC9" w14:textId="77777777" w:rsidR="00A43992" w:rsidRDefault="00A43992" w:rsidP="007211E3">
            <w:pPr>
              <w:ind w:firstLineChars="100" w:firstLine="180"/>
              <w:rPr>
                <w:rFonts w:ascii="Arial" w:hAnsi="Arial" w:cs="Arial"/>
                <w:sz w:val="18"/>
                <w:szCs w:val="18"/>
              </w:rPr>
            </w:pPr>
            <w:r>
              <w:rPr>
                <w:rFonts w:ascii="Arial" w:hAnsi="Arial" w:cs="Arial"/>
                <w:sz w:val="18"/>
                <w:szCs w:val="18"/>
              </w:rPr>
              <w:t>Cash and cash equivalents</w:t>
            </w:r>
          </w:p>
        </w:tc>
        <w:tc>
          <w:tcPr>
            <w:tcW w:w="1249" w:type="dxa"/>
            <w:tcBorders>
              <w:top w:val="nil"/>
              <w:left w:val="nil"/>
              <w:bottom w:val="nil"/>
              <w:right w:val="nil"/>
            </w:tcBorders>
            <w:shd w:val="clear" w:color="FFFFFF" w:fill="FFFFFF"/>
            <w:noWrap/>
            <w:vAlign w:val="bottom"/>
            <w:hideMark/>
          </w:tcPr>
          <w:p w14:paraId="0EBADCB0" w14:textId="77777777" w:rsidR="00A43992" w:rsidRDefault="00A43992" w:rsidP="007211E3">
            <w:pPr>
              <w:jc w:val="right"/>
              <w:rPr>
                <w:rFonts w:ascii="Arial" w:hAnsi="Arial" w:cs="Arial"/>
                <w:b/>
                <w:bCs/>
                <w:sz w:val="18"/>
                <w:szCs w:val="18"/>
              </w:rPr>
            </w:pPr>
            <w:r>
              <w:rPr>
                <w:rFonts w:ascii="Arial" w:hAnsi="Arial" w:cs="Arial"/>
                <w:b/>
                <w:bCs/>
                <w:sz w:val="18"/>
                <w:szCs w:val="18"/>
              </w:rPr>
              <w:t>306,430</w:t>
            </w:r>
          </w:p>
        </w:tc>
        <w:tc>
          <w:tcPr>
            <w:tcW w:w="236" w:type="dxa"/>
            <w:tcBorders>
              <w:top w:val="nil"/>
              <w:left w:val="nil"/>
              <w:bottom w:val="nil"/>
              <w:right w:val="nil"/>
            </w:tcBorders>
            <w:shd w:val="clear" w:color="FFFFFF" w:fill="FFFFFF"/>
            <w:noWrap/>
            <w:vAlign w:val="bottom"/>
            <w:hideMark/>
          </w:tcPr>
          <w:p w14:paraId="31B0F72C" w14:textId="77777777" w:rsidR="00A43992" w:rsidRDefault="00A43992" w:rsidP="007211E3">
            <w:pPr>
              <w:rPr>
                <w:rFonts w:ascii="Arial" w:hAnsi="Arial" w:cs="Arial"/>
                <w:sz w:val="18"/>
                <w:szCs w:val="18"/>
              </w:rPr>
            </w:pPr>
            <w:r>
              <w:rPr>
                <w:rFonts w:ascii="Arial" w:hAnsi="Arial" w:cs="Arial"/>
                <w:sz w:val="18"/>
                <w:szCs w:val="18"/>
              </w:rPr>
              <w:t> </w:t>
            </w:r>
          </w:p>
        </w:tc>
        <w:tc>
          <w:tcPr>
            <w:tcW w:w="1249" w:type="dxa"/>
            <w:tcBorders>
              <w:top w:val="nil"/>
              <w:left w:val="nil"/>
              <w:bottom w:val="nil"/>
              <w:right w:val="nil"/>
            </w:tcBorders>
            <w:shd w:val="clear" w:color="FFFFFF" w:fill="FFFFFF"/>
            <w:noWrap/>
            <w:vAlign w:val="bottom"/>
            <w:hideMark/>
          </w:tcPr>
          <w:p w14:paraId="6D072567" w14:textId="77777777" w:rsidR="00A43992" w:rsidRDefault="00A43992" w:rsidP="007211E3">
            <w:pPr>
              <w:jc w:val="right"/>
              <w:rPr>
                <w:rFonts w:ascii="Arial" w:hAnsi="Arial" w:cs="Arial"/>
                <w:sz w:val="18"/>
                <w:szCs w:val="18"/>
              </w:rPr>
            </w:pPr>
            <w:r>
              <w:rPr>
                <w:rFonts w:ascii="Arial" w:hAnsi="Arial" w:cs="Arial"/>
                <w:sz w:val="18"/>
                <w:szCs w:val="18"/>
              </w:rPr>
              <w:t xml:space="preserve">136,482 </w:t>
            </w:r>
          </w:p>
        </w:tc>
      </w:tr>
      <w:tr w:rsidR="00A43992" w14:paraId="012B60EF" w14:textId="77777777" w:rsidTr="007211E3">
        <w:trPr>
          <w:trHeight w:val="255"/>
        </w:trPr>
        <w:tc>
          <w:tcPr>
            <w:tcW w:w="6353" w:type="dxa"/>
            <w:tcBorders>
              <w:top w:val="nil"/>
              <w:left w:val="nil"/>
              <w:bottom w:val="nil"/>
              <w:right w:val="nil"/>
            </w:tcBorders>
            <w:shd w:val="clear" w:color="FFFFFF" w:fill="FFFFFF"/>
            <w:noWrap/>
            <w:vAlign w:val="bottom"/>
            <w:hideMark/>
          </w:tcPr>
          <w:p w14:paraId="27C09271" w14:textId="77777777" w:rsidR="00A43992" w:rsidRDefault="00A43992" w:rsidP="007211E3">
            <w:pPr>
              <w:ind w:firstLineChars="100" w:firstLine="180"/>
              <w:rPr>
                <w:rFonts w:ascii="Arial" w:hAnsi="Arial" w:cs="Arial"/>
                <w:sz w:val="18"/>
                <w:szCs w:val="18"/>
              </w:rPr>
            </w:pPr>
            <w:r>
              <w:rPr>
                <w:rFonts w:ascii="Arial" w:hAnsi="Arial" w:cs="Arial"/>
                <w:sz w:val="18"/>
                <w:szCs w:val="18"/>
              </w:rPr>
              <w:t>Other receivables</w:t>
            </w:r>
          </w:p>
        </w:tc>
        <w:tc>
          <w:tcPr>
            <w:tcW w:w="1249" w:type="dxa"/>
            <w:tcBorders>
              <w:top w:val="nil"/>
              <w:left w:val="nil"/>
              <w:bottom w:val="nil"/>
              <w:right w:val="nil"/>
            </w:tcBorders>
            <w:shd w:val="clear" w:color="FFFFFF" w:fill="FFFFFF"/>
            <w:noWrap/>
            <w:vAlign w:val="bottom"/>
            <w:hideMark/>
          </w:tcPr>
          <w:p w14:paraId="21BECF85" w14:textId="77777777" w:rsidR="00A43992" w:rsidRDefault="00A43992" w:rsidP="007211E3">
            <w:pPr>
              <w:jc w:val="right"/>
              <w:rPr>
                <w:rFonts w:ascii="Arial" w:hAnsi="Arial" w:cs="Arial"/>
                <w:b/>
                <w:bCs/>
                <w:sz w:val="18"/>
                <w:szCs w:val="18"/>
              </w:rPr>
            </w:pPr>
            <w:r>
              <w:rPr>
                <w:rFonts w:ascii="Arial" w:hAnsi="Arial" w:cs="Arial"/>
                <w:b/>
                <w:bCs/>
                <w:sz w:val="18"/>
                <w:szCs w:val="18"/>
              </w:rPr>
              <w:t>1,415</w:t>
            </w:r>
          </w:p>
        </w:tc>
        <w:tc>
          <w:tcPr>
            <w:tcW w:w="236" w:type="dxa"/>
            <w:tcBorders>
              <w:top w:val="nil"/>
              <w:left w:val="nil"/>
              <w:bottom w:val="nil"/>
              <w:right w:val="nil"/>
            </w:tcBorders>
            <w:shd w:val="clear" w:color="FFFFFF" w:fill="FFFFFF"/>
            <w:noWrap/>
            <w:vAlign w:val="bottom"/>
            <w:hideMark/>
          </w:tcPr>
          <w:p w14:paraId="302BEC52" w14:textId="77777777" w:rsidR="00A43992" w:rsidRDefault="00A43992" w:rsidP="007211E3">
            <w:pPr>
              <w:rPr>
                <w:rFonts w:ascii="Arial" w:hAnsi="Arial" w:cs="Arial"/>
                <w:sz w:val="18"/>
                <w:szCs w:val="18"/>
              </w:rPr>
            </w:pPr>
            <w:r>
              <w:rPr>
                <w:rFonts w:ascii="Arial" w:hAnsi="Arial" w:cs="Arial"/>
                <w:sz w:val="18"/>
                <w:szCs w:val="18"/>
              </w:rPr>
              <w:t> </w:t>
            </w:r>
          </w:p>
        </w:tc>
        <w:tc>
          <w:tcPr>
            <w:tcW w:w="1249" w:type="dxa"/>
            <w:tcBorders>
              <w:top w:val="nil"/>
              <w:left w:val="nil"/>
              <w:bottom w:val="nil"/>
              <w:right w:val="nil"/>
            </w:tcBorders>
            <w:shd w:val="clear" w:color="FFFFFF" w:fill="FFFFFF"/>
            <w:noWrap/>
            <w:vAlign w:val="bottom"/>
            <w:hideMark/>
          </w:tcPr>
          <w:p w14:paraId="2015D8D0" w14:textId="77777777" w:rsidR="00A43992" w:rsidRDefault="00A43992" w:rsidP="007211E3">
            <w:pPr>
              <w:jc w:val="right"/>
              <w:rPr>
                <w:rFonts w:ascii="Arial" w:hAnsi="Arial" w:cs="Arial"/>
                <w:sz w:val="18"/>
                <w:szCs w:val="18"/>
              </w:rPr>
            </w:pPr>
            <w:r>
              <w:rPr>
                <w:rFonts w:ascii="Arial" w:hAnsi="Arial" w:cs="Arial"/>
                <w:sz w:val="18"/>
                <w:szCs w:val="18"/>
              </w:rPr>
              <w:t xml:space="preserve">231 </w:t>
            </w:r>
          </w:p>
        </w:tc>
      </w:tr>
      <w:tr w:rsidR="00A43992" w14:paraId="128F7DF8" w14:textId="77777777" w:rsidTr="007211E3">
        <w:trPr>
          <w:trHeight w:val="255"/>
        </w:trPr>
        <w:tc>
          <w:tcPr>
            <w:tcW w:w="6353" w:type="dxa"/>
            <w:tcBorders>
              <w:top w:val="nil"/>
              <w:left w:val="nil"/>
              <w:bottom w:val="nil"/>
              <w:right w:val="nil"/>
            </w:tcBorders>
            <w:shd w:val="clear" w:color="FFFFFF" w:fill="FFFFFF"/>
            <w:noWrap/>
            <w:vAlign w:val="bottom"/>
            <w:hideMark/>
          </w:tcPr>
          <w:p w14:paraId="78325B3B" w14:textId="77777777" w:rsidR="00A43992" w:rsidRDefault="00A43992" w:rsidP="007211E3">
            <w:pPr>
              <w:ind w:firstLineChars="100" w:firstLine="180"/>
              <w:rPr>
                <w:rFonts w:ascii="Arial" w:hAnsi="Arial" w:cs="Arial"/>
                <w:b/>
                <w:bCs/>
                <w:sz w:val="18"/>
                <w:szCs w:val="18"/>
              </w:rPr>
            </w:pPr>
            <w:r>
              <w:rPr>
                <w:rFonts w:ascii="Arial" w:hAnsi="Arial" w:cs="Arial"/>
                <w:b/>
                <w:bCs/>
                <w:sz w:val="18"/>
                <w:szCs w:val="18"/>
              </w:rPr>
              <w:t>Total loans and receivables</w:t>
            </w:r>
          </w:p>
        </w:tc>
        <w:tc>
          <w:tcPr>
            <w:tcW w:w="1249" w:type="dxa"/>
            <w:tcBorders>
              <w:top w:val="single" w:sz="4" w:space="0" w:color="auto"/>
              <w:left w:val="nil"/>
              <w:bottom w:val="single" w:sz="4" w:space="0" w:color="auto"/>
              <w:right w:val="nil"/>
            </w:tcBorders>
            <w:shd w:val="clear" w:color="FFFFFF" w:fill="FFFFFF"/>
            <w:noWrap/>
            <w:vAlign w:val="bottom"/>
            <w:hideMark/>
          </w:tcPr>
          <w:p w14:paraId="3EE2DF4B" w14:textId="77777777" w:rsidR="00A43992" w:rsidRDefault="00A43992" w:rsidP="007211E3">
            <w:pPr>
              <w:jc w:val="right"/>
              <w:rPr>
                <w:rFonts w:ascii="Arial" w:hAnsi="Arial" w:cs="Arial"/>
                <w:b/>
                <w:bCs/>
                <w:sz w:val="18"/>
                <w:szCs w:val="18"/>
              </w:rPr>
            </w:pPr>
            <w:r>
              <w:rPr>
                <w:rFonts w:ascii="Arial" w:hAnsi="Arial" w:cs="Arial"/>
                <w:b/>
                <w:bCs/>
                <w:sz w:val="18"/>
                <w:szCs w:val="18"/>
              </w:rPr>
              <w:t>307,845</w:t>
            </w:r>
          </w:p>
        </w:tc>
        <w:tc>
          <w:tcPr>
            <w:tcW w:w="236" w:type="dxa"/>
            <w:tcBorders>
              <w:top w:val="nil"/>
              <w:left w:val="nil"/>
              <w:bottom w:val="nil"/>
              <w:right w:val="nil"/>
            </w:tcBorders>
            <w:shd w:val="clear" w:color="FFFFFF" w:fill="FFFFFF"/>
            <w:noWrap/>
            <w:vAlign w:val="bottom"/>
            <w:hideMark/>
          </w:tcPr>
          <w:p w14:paraId="209D252D" w14:textId="77777777" w:rsidR="00A43992" w:rsidRDefault="00A43992" w:rsidP="007211E3">
            <w:pPr>
              <w:rPr>
                <w:rFonts w:ascii="Arial" w:hAnsi="Arial" w:cs="Arial"/>
                <w:sz w:val="18"/>
                <w:szCs w:val="18"/>
              </w:rPr>
            </w:pPr>
            <w:r>
              <w:rPr>
                <w:rFonts w:ascii="Arial" w:hAnsi="Arial" w:cs="Arial"/>
                <w:sz w:val="18"/>
                <w:szCs w:val="18"/>
              </w:rPr>
              <w:t> </w:t>
            </w:r>
          </w:p>
        </w:tc>
        <w:tc>
          <w:tcPr>
            <w:tcW w:w="1249" w:type="dxa"/>
            <w:tcBorders>
              <w:top w:val="single" w:sz="4" w:space="0" w:color="auto"/>
              <w:left w:val="nil"/>
              <w:bottom w:val="single" w:sz="4" w:space="0" w:color="auto"/>
              <w:right w:val="nil"/>
            </w:tcBorders>
            <w:shd w:val="clear" w:color="FFFFFF" w:fill="FFFFFF"/>
            <w:noWrap/>
            <w:vAlign w:val="bottom"/>
            <w:hideMark/>
          </w:tcPr>
          <w:p w14:paraId="47A7FC86" w14:textId="77777777" w:rsidR="00A43992" w:rsidRDefault="00A43992" w:rsidP="007211E3">
            <w:pPr>
              <w:jc w:val="right"/>
              <w:rPr>
                <w:rFonts w:ascii="Arial" w:hAnsi="Arial" w:cs="Arial"/>
                <w:b/>
                <w:bCs/>
                <w:sz w:val="18"/>
                <w:szCs w:val="18"/>
              </w:rPr>
            </w:pPr>
            <w:r>
              <w:rPr>
                <w:rFonts w:ascii="Arial" w:hAnsi="Arial" w:cs="Arial"/>
                <w:b/>
                <w:bCs/>
                <w:sz w:val="18"/>
                <w:szCs w:val="18"/>
              </w:rPr>
              <w:t>136,713</w:t>
            </w:r>
          </w:p>
        </w:tc>
      </w:tr>
      <w:tr w:rsidR="00A43992" w14:paraId="77F013D4" w14:textId="77777777" w:rsidTr="007211E3">
        <w:trPr>
          <w:trHeight w:val="255"/>
        </w:trPr>
        <w:tc>
          <w:tcPr>
            <w:tcW w:w="6353" w:type="dxa"/>
            <w:tcBorders>
              <w:top w:val="nil"/>
              <w:left w:val="nil"/>
              <w:bottom w:val="nil"/>
              <w:right w:val="nil"/>
            </w:tcBorders>
            <w:shd w:val="clear" w:color="FFFFFF" w:fill="FFFFFF"/>
            <w:noWrap/>
            <w:vAlign w:val="bottom"/>
            <w:hideMark/>
          </w:tcPr>
          <w:p w14:paraId="25E04C0B" w14:textId="77777777" w:rsidR="00A43992" w:rsidRDefault="00A43992" w:rsidP="007211E3">
            <w:pPr>
              <w:ind w:firstLineChars="100" w:firstLine="180"/>
              <w:rPr>
                <w:rFonts w:ascii="Arial" w:hAnsi="Arial" w:cs="Arial"/>
                <w:sz w:val="18"/>
                <w:szCs w:val="18"/>
              </w:rPr>
            </w:pPr>
            <w:r>
              <w:rPr>
                <w:rFonts w:ascii="Arial" w:hAnsi="Arial" w:cs="Arial"/>
                <w:sz w:val="18"/>
                <w:szCs w:val="18"/>
              </w:rPr>
              <w:t> </w:t>
            </w:r>
          </w:p>
        </w:tc>
        <w:tc>
          <w:tcPr>
            <w:tcW w:w="1249" w:type="dxa"/>
            <w:tcBorders>
              <w:top w:val="nil"/>
              <w:left w:val="nil"/>
              <w:bottom w:val="nil"/>
              <w:right w:val="nil"/>
            </w:tcBorders>
            <w:shd w:val="clear" w:color="FFFFFF" w:fill="FFFFFF"/>
            <w:noWrap/>
            <w:vAlign w:val="bottom"/>
            <w:hideMark/>
          </w:tcPr>
          <w:p w14:paraId="28D1F746" w14:textId="77777777" w:rsidR="00A43992" w:rsidRDefault="00A43992" w:rsidP="007211E3">
            <w:pPr>
              <w:rPr>
                <w:rFonts w:ascii="Arial" w:hAnsi="Arial" w:cs="Arial"/>
                <w:sz w:val="18"/>
                <w:szCs w:val="18"/>
              </w:rPr>
            </w:pPr>
            <w:r>
              <w:rPr>
                <w:rFonts w:ascii="Arial" w:hAnsi="Arial" w:cs="Arial"/>
                <w:sz w:val="18"/>
                <w:szCs w:val="18"/>
              </w:rPr>
              <w:t> </w:t>
            </w:r>
          </w:p>
        </w:tc>
        <w:tc>
          <w:tcPr>
            <w:tcW w:w="236" w:type="dxa"/>
            <w:tcBorders>
              <w:top w:val="nil"/>
              <w:left w:val="nil"/>
              <w:bottom w:val="nil"/>
              <w:right w:val="nil"/>
            </w:tcBorders>
            <w:shd w:val="clear" w:color="FFFFFF" w:fill="FFFFFF"/>
            <w:noWrap/>
            <w:vAlign w:val="bottom"/>
            <w:hideMark/>
          </w:tcPr>
          <w:p w14:paraId="1A07F187" w14:textId="77777777" w:rsidR="00A43992" w:rsidRDefault="00A43992" w:rsidP="007211E3">
            <w:pPr>
              <w:rPr>
                <w:rFonts w:ascii="Arial" w:hAnsi="Arial" w:cs="Arial"/>
                <w:sz w:val="18"/>
                <w:szCs w:val="18"/>
              </w:rPr>
            </w:pPr>
            <w:r>
              <w:rPr>
                <w:rFonts w:ascii="Arial" w:hAnsi="Arial" w:cs="Arial"/>
                <w:sz w:val="18"/>
                <w:szCs w:val="18"/>
              </w:rPr>
              <w:t> </w:t>
            </w:r>
          </w:p>
        </w:tc>
        <w:tc>
          <w:tcPr>
            <w:tcW w:w="1249" w:type="dxa"/>
            <w:tcBorders>
              <w:top w:val="nil"/>
              <w:left w:val="nil"/>
              <w:bottom w:val="nil"/>
              <w:right w:val="nil"/>
            </w:tcBorders>
            <w:shd w:val="clear" w:color="FFFFFF" w:fill="FFFFFF"/>
            <w:noWrap/>
            <w:vAlign w:val="bottom"/>
            <w:hideMark/>
          </w:tcPr>
          <w:p w14:paraId="3DC98B41" w14:textId="77777777" w:rsidR="00A43992" w:rsidRDefault="00A43992" w:rsidP="007211E3">
            <w:pPr>
              <w:rPr>
                <w:rFonts w:ascii="Arial" w:hAnsi="Arial" w:cs="Arial"/>
                <w:sz w:val="18"/>
                <w:szCs w:val="18"/>
              </w:rPr>
            </w:pPr>
            <w:r>
              <w:rPr>
                <w:rFonts w:ascii="Arial" w:hAnsi="Arial" w:cs="Arial"/>
                <w:sz w:val="18"/>
                <w:szCs w:val="18"/>
              </w:rPr>
              <w:t> </w:t>
            </w:r>
          </w:p>
        </w:tc>
      </w:tr>
      <w:tr w:rsidR="00A43992" w14:paraId="0B4718E0" w14:textId="77777777" w:rsidTr="007211E3">
        <w:trPr>
          <w:trHeight w:val="255"/>
        </w:trPr>
        <w:tc>
          <w:tcPr>
            <w:tcW w:w="6353" w:type="dxa"/>
            <w:tcBorders>
              <w:top w:val="nil"/>
              <w:left w:val="nil"/>
              <w:bottom w:val="nil"/>
              <w:right w:val="nil"/>
            </w:tcBorders>
            <w:shd w:val="clear" w:color="FFFFFF" w:fill="FFFFFF"/>
            <w:vAlign w:val="bottom"/>
            <w:hideMark/>
          </w:tcPr>
          <w:p w14:paraId="50359657" w14:textId="77777777" w:rsidR="00A43992" w:rsidRDefault="00A43992" w:rsidP="007211E3">
            <w:pPr>
              <w:rPr>
                <w:rFonts w:ascii="Arial" w:hAnsi="Arial" w:cs="Arial"/>
                <w:b/>
                <w:bCs/>
                <w:sz w:val="18"/>
                <w:szCs w:val="18"/>
              </w:rPr>
            </w:pPr>
            <w:r>
              <w:rPr>
                <w:rFonts w:ascii="Arial" w:hAnsi="Arial" w:cs="Arial"/>
                <w:b/>
                <w:bCs/>
                <w:sz w:val="18"/>
                <w:szCs w:val="18"/>
              </w:rPr>
              <w:t>Total financial assets</w:t>
            </w:r>
          </w:p>
        </w:tc>
        <w:tc>
          <w:tcPr>
            <w:tcW w:w="1249" w:type="dxa"/>
            <w:tcBorders>
              <w:top w:val="single" w:sz="4" w:space="0" w:color="auto"/>
              <w:left w:val="nil"/>
              <w:bottom w:val="single" w:sz="4" w:space="0" w:color="auto"/>
              <w:right w:val="nil"/>
            </w:tcBorders>
            <w:shd w:val="clear" w:color="FFFFFF" w:fill="FFFFFF"/>
            <w:noWrap/>
            <w:vAlign w:val="bottom"/>
            <w:hideMark/>
          </w:tcPr>
          <w:p w14:paraId="32D557DB" w14:textId="77777777" w:rsidR="00A43992" w:rsidRDefault="00A43992" w:rsidP="007211E3">
            <w:pPr>
              <w:jc w:val="right"/>
              <w:rPr>
                <w:rFonts w:ascii="Arial" w:hAnsi="Arial" w:cs="Arial"/>
                <w:b/>
                <w:bCs/>
                <w:sz w:val="18"/>
                <w:szCs w:val="18"/>
              </w:rPr>
            </w:pPr>
            <w:r>
              <w:rPr>
                <w:rFonts w:ascii="Arial" w:hAnsi="Arial" w:cs="Arial"/>
                <w:b/>
                <w:bCs/>
                <w:sz w:val="18"/>
                <w:szCs w:val="18"/>
              </w:rPr>
              <w:t>341,039</w:t>
            </w:r>
          </w:p>
        </w:tc>
        <w:tc>
          <w:tcPr>
            <w:tcW w:w="236" w:type="dxa"/>
            <w:tcBorders>
              <w:top w:val="nil"/>
              <w:left w:val="nil"/>
              <w:bottom w:val="nil"/>
              <w:right w:val="nil"/>
            </w:tcBorders>
            <w:shd w:val="clear" w:color="FFFFFF" w:fill="FFFFFF"/>
            <w:noWrap/>
            <w:vAlign w:val="bottom"/>
            <w:hideMark/>
          </w:tcPr>
          <w:p w14:paraId="3D9834A4" w14:textId="77777777" w:rsidR="00A43992" w:rsidRDefault="00A43992" w:rsidP="007211E3">
            <w:pPr>
              <w:rPr>
                <w:rFonts w:ascii="Arial" w:hAnsi="Arial" w:cs="Arial"/>
                <w:sz w:val="18"/>
                <w:szCs w:val="18"/>
              </w:rPr>
            </w:pPr>
            <w:r>
              <w:rPr>
                <w:rFonts w:ascii="Arial" w:hAnsi="Arial" w:cs="Arial"/>
                <w:sz w:val="18"/>
                <w:szCs w:val="18"/>
              </w:rPr>
              <w:t> </w:t>
            </w:r>
          </w:p>
        </w:tc>
        <w:tc>
          <w:tcPr>
            <w:tcW w:w="1249" w:type="dxa"/>
            <w:tcBorders>
              <w:top w:val="single" w:sz="4" w:space="0" w:color="auto"/>
              <w:left w:val="nil"/>
              <w:bottom w:val="single" w:sz="4" w:space="0" w:color="auto"/>
              <w:right w:val="nil"/>
            </w:tcBorders>
            <w:shd w:val="clear" w:color="FFFFFF" w:fill="FFFFFF"/>
            <w:noWrap/>
            <w:vAlign w:val="bottom"/>
            <w:hideMark/>
          </w:tcPr>
          <w:p w14:paraId="13284761" w14:textId="77777777" w:rsidR="00A43992" w:rsidRDefault="00A43992" w:rsidP="007211E3">
            <w:pPr>
              <w:jc w:val="right"/>
              <w:rPr>
                <w:rFonts w:ascii="Arial" w:hAnsi="Arial" w:cs="Arial"/>
                <w:b/>
                <w:bCs/>
                <w:sz w:val="18"/>
                <w:szCs w:val="18"/>
              </w:rPr>
            </w:pPr>
            <w:r>
              <w:rPr>
                <w:rFonts w:ascii="Arial" w:hAnsi="Arial" w:cs="Arial"/>
                <w:b/>
                <w:bCs/>
                <w:sz w:val="18"/>
                <w:szCs w:val="18"/>
              </w:rPr>
              <w:t>136,713</w:t>
            </w:r>
          </w:p>
        </w:tc>
      </w:tr>
      <w:tr w:rsidR="00A43992" w14:paraId="70A456FF" w14:textId="77777777" w:rsidTr="007211E3">
        <w:trPr>
          <w:trHeight w:val="255"/>
        </w:trPr>
        <w:tc>
          <w:tcPr>
            <w:tcW w:w="6353" w:type="dxa"/>
            <w:tcBorders>
              <w:top w:val="nil"/>
              <w:left w:val="nil"/>
              <w:bottom w:val="nil"/>
              <w:right w:val="nil"/>
            </w:tcBorders>
            <w:shd w:val="clear" w:color="FFFFFF" w:fill="FFFFFF"/>
            <w:noWrap/>
            <w:vAlign w:val="bottom"/>
            <w:hideMark/>
          </w:tcPr>
          <w:p w14:paraId="41920B89" w14:textId="77777777" w:rsidR="00A43992" w:rsidRDefault="00A43992" w:rsidP="007211E3">
            <w:pPr>
              <w:rPr>
                <w:rFonts w:ascii="Arial" w:hAnsi="Arial" w:cs="Arial"/>
                <w:sz w:val="18"/>
                <w:szCs w:val="18"/>
              </w:rPr>
            </w:pPr>
            <w:r>
              <w:rPr>
                <w:rFonts w:ascii="Arial" w:hAnsi="Arial" w:cs="Arial"/>
                <w:sz w:val="18"/>
                <w:szCs w:val="18"/>
              </w:rPr>
              <w:t> </w:t>
            </w:r>
          </w:p>
        </w:tc>
        <w:tc>
          <w:tcPr>
            <w:tcW w:w="1249" w:type="dxa"/>
            <w:tcBorders>
              <w:top w:val="nil"/>
              <w:left w:val="nil"/>
              <w:bottom w:val="nil"/>
              <w:right w:val="nil"/>
            </w:tcBorders>
            <w:shd w:val="clear" w:color="FFFFFF" w:fill="FFFFFF"/>
            <w:noWrap/>
            <w:vAlign w:val="bottom"/>
            <w:hideMark/>
          </w:tcPr>
          <w:p w14:paraId="1AD16F86" w14:textId="77777777" w:rsidR="00A43992" w:rsidRDefault="00A43992" w:rsidP="007211E3">
            <w:pPr>
              <w:rPr>
                <w:rFonts w:ascii="Arial" w:hAnsi="Arial" w:cs="Arial"/>
                <w:b/>
                <w:bCs/>
                <w:sz w:val="18"/>
                <w:szCs w:val="18"/>
              </w:rPr>
            </w:pPr>
            <w:r>
              <w:rPr>
                <w:rFonts w:ascii="Arial" w:hAnsi="Arial" w:cs="Arial"/>
                <w:b/>
                <w:bCs/>
                <w:sz w:val="18"/>
                <w:szCs w:val="18"/>
              </w:rPr>
              <w:t> </w:t>
            </w:r>
          </w:p>
        </w:tc>
        <w:tc>
          <w:tcPr>
            <w:tcW w:w="236" w:type="dxa"/>
            <w:tcBorders>
              <w:top w:val="nil"/>
              <w:left w:val="nil"/>
              <w:bottom w:val="nil"/>
              <w:right w:val="nil"/>
            </w:tcBorders>
            <w:shd w:val="clear" w:color="FFFFFF" w:fill="FFFFFF"/>
            <w:noWrap/>
            <w:vAlign w:val="bottom"/>
            <w:hideMark/>
          </w:tcPr>
          <w:p w14:paraId="6FB0189B" w14:textId="77777777" w:rsidR="00A43992" w:rsidRDefault="00A43992" w:rsidP="007211E3">
            <w:pPr>
              <w:rPr>
                <w:rFonts w:ascii="Arial" w:hAnsi="Arial" w:cs="Arial"/>
                <w:sz w:val="18"/>
                <w:szCs w:val="18"/>
              </w:rPr>
            </w:pPr>
            <w:r>
              <w:rPr>
                <w:rFonts w:ascii="Arial" w:hAnsi="Arial" w:cs="Arial"/>
                <w:sz w:val="18"/>
                <w:szCs w:val="18"/>
              </w:rPr>
              <w:t> </w:t>
            </w:r>
          </w:p>
        </w:tc>
        <w:tc>
          <w:tcPr>
            <w:tcW w:w="1249" w:type="dxa"/>
            <w:tcBorders>
              <w:top w:val="nil"/>
              <w:left w:val="nil"/>
              <w:bottom w:val="nil"/>
              <w:right w:val="nil"/>
            </w:tcBorders>
            <w:shd w:val="clear" w:color="FFFFFF" w:fill="FFFFFF"/>
            <w:noWrap/>
            <w:vAlign w:val="bottom"/>
            <w:hideMark/>
          </w:tcPr>
          <w:p w14:paraId="51ACE399" w14:textId="77777777" w:rsidR="00A43992" w:rsidRDefault="00A43992" w:rsidP="007211E3">
            <w:pPr>
              <w:rPr>
                <w:rFonts w:ascii="Arial" w:hAnsi="Arial" w:cs="Arial"/>
                <w:sz w:val="18"/>
                <w:szCs w:val="18"/>
              </w:rPr>
            </w:pPr>
            <w:r>
              <w:rPr>
                <w:rFonts w:ascii="Arial" w:hAnsi="Arial" w:cs="Arial"/>
                <w:sz w:val="18"/>
                <w:szCs w:val="18"/>
              </w:rPr>
              <w:t> </w:t>
            </w:r>
          </w:p>
        </w:tc>
      </w:tr>
      <w:tr w:rsidR="00A43992" w14:paraId="548DE99A" w14:textId="77777777" w:rsidTr="007211E3">
        <w:trPr>
          <w:trHeight w:val="255"/>
        </w:trPr>
        <w:tc>
          <w:tcPr>
            <w:tcW w:w="6353" w:type="dxa"/>
            <w:tcBorders>
              <w:top w:val="nil"/>
              <w:left w:val="nil"/>
              <w:bottom w:val="nil"/>
              <w:right w:val="nil"/>
            </w:tcBorders>
            <w:shd w:val="clear" w:color="FFFFFF" w:fill="FFFFFF"/>
            <w:vAlign w:val="bottom"/>
            <w:hideMark/>
          </w:tcPr>
          <w:p w14:paraId="6BAA5C7C" w14:textId="77777777" w:rsidR="00A43992" w:rsidRDefault="00A43992" w:rsidP="007211E3">
            <w:pPr>
              <w:rPr>
                <w:rFonts w:ascii="Arial" w:hAnsi="Arial" w:cs="Arial"/>
                <w:b/>
                <w:bCs/>
                <w:sz w:val="18"/>
                <w:szCs w:val="18"/>
              </w:rPr>
            </w:pPr>
            <w:r>
              <w:rPr>
                <w:rFonts w:ascii="Arial" w:hAnsi="Arial" w:cs="Arial"/>
                <w:b/>
                <w:bCs/>
                <w:sz w:val="18"/>
                <w:szCs w:val="18"/>
              </w:rPr>
              <w:lastRenderedPageBreak/>
              <w:t>Financial liabilities</w:t>
            </w:r>
          </w:p>
        </w:tc>
        <w:tc>
          <w:tcPr>
            <w:tcW w:w="1249" w:type="dxa"/>
            <w:tcBorders>
              <w:top w:val="nil"/>
              <w:left w:val="nil"/>
              <w:bottom w:val="nil"/>
              <w:right w:val="nil"/>
            </w:tcBorders>
            <w:shd w:val="clear" w:color="FFFFFF" w:fill="FFFFFF"/>
            <w:noWrap/>
            <w:vAlign w:val="bottom"/>
            <w:hideMark/>
          </w:tcPr>
          <w:p w14:paraId="01AAF7F6" w14:textId="77777777" w:rsidR="00A43992" w:rsidRDefault="00A43992" w:rsidP="007211E3">
            <w:pPr>
              <w:rPr>
                <w:rFonts w:ascii="Arial" w:hAnsi="Arial" w:cs="Arial"/>
                <w:b/>
                <w:bCs/>
                <w:sz w:val="18"/>
                <w:szCs w:val="18"/>
              </w:rPr>
            </w:pPr>
            <w:r>
              <w:rPr>
                <w:rFonts w:ascii="Arial" w:hAnsi="Arial" w:cs="Arial"/>
                <w:b/>
                <w:bCs/>
                <w:sz w:val="18"/>
                <w:szCs w:val="18"/>
              </w:rPr>
              <w:t> </w:t>
            </w:r>
          </w:p>
        </w:tc>
        <w:tc>
          <w:tcPr>
            <w:tcW w:w="236" w:type="dxa"/>
            <w:tcBorders>
              <w:top w:val="nil"/>
              <w:left w:val="nil"/>
              <w:bottom w:val="nil"/>
              <w:right w:val="nil"/>
            </w:tcBorders>
            <w:shd w:val="clear" w:color="FFFFFF" w:fill="FFFFFF"/>
            <w:noWrap/>
            <w:vAlign w:val="bottom"/>
            <w:hideMark/>
          </w:tcPr>
          <w:p w14:paraId="16F75609" w14:textId="77777777" w:rsidR="00A43992" w:rsidRDefault="00A43992" w:rsidP="007211E3">
            <w:pPr>
              <w:rPr>
                <w:rFonts w:ascii="Arial" w:hAnsi="Arial" w:cs="Arial"/>
                <w:sz w:val="18"/>
                <w:szCs w:val="18"/>
              </w:rPr>
            </w:pPr>
            <w:r>
              <w:rPr>
                <w:rFonts w:ascii="Arial" w:hAnsi="Arial" w:cs="Arial"/>
                <w:sz w:val="18"/>
                <w:szCs w:val="18"/>
              </w:rPr>
              <w:t> </w:t>
            </w:r>
          </w:p>
        </w:tc>
        <w:tc>
          <w:tcPr>
            <w:tcW w:w="1249" w:type="dxa"/>
            <w:tcBorders>
              <w:top w:val="nil"/>
              <w:left w:val="nil"/>
              <w:bottom w:val="nil"/>
              <w:right w:val="nil"/>
            </w:tcBorders>
            <w:shd w:val="clear" w:color="FFFFFF" w:fill="FFFFFF"/>
            <w:noWrap/>
            <w:vAlign w:val="bottom"/>
            <w:hideMark/>
          </w:tcPr>
          <w:p w14:paraId="29AC5D8E" w14:textId="77777777" w:rsidR="00A43992" w:rsidRDefault="00A43992" w:rsidP="007211E3">
            <w:pPr>
              <w:rPr>
                <w:rFonts w:ascii="Arial" w:hAnsi="Arial" w:cs="Arial"/>
                <w:sz w:val="18"/>
                <w:szCs w:val="18"/>
              </w:rPr>
            </w:pPr>
            <w:r>
              <w:rPr>
                <w:rFonts w:ascii="Arial" w:hAnsi="Arial" w:cs="Arial"/>
                <w:sz w:val="18"/>
                <w:szCs w:val="18"/>
              </w:rPr>
              <w:t> </w:t>
            </w:r>
          </w:p>
        </w:tc>
      </w:tr>
      <w:tr w:rsidR="00A43992" w14:paraId="439727F2" w14:textId="77777777" w:rsidTr="007211E3">
        <w:trPr>
          <w:trHeight w:val="255"/>
        </w:trPr>
        <w:tc>
          <w:tcPr>
            <w:tcW w:w="6353" w:type="dxa"/>
            <w:tcBorders>
              <w:top w:val="nil"/>
              <w:left w:val="nil"/>
              <w:bottom w:val="nil"/>
              <w:right w:val="nil"/>
            </w:tcBorders>
            <w:shd w:val="clear" w:color="FFFFFF" w:fill="FFFFFF"/>
            <w:vAlign w:val="bottom"/>
            <w:hideMark/>
          </w:tcPr>
          <w:p w14:paraId="63478AB1" w14:textId="77777777" w:rsidR="00A43992" w:rsidRDefault="00A43992" w:rsidP="007211E3">
            <w:pPr>
              <w:rPr>
                <w:rFonts w:ascii="Arial" w:hAnsi="Arial" w:cs="Arial"/>
                <w:b/>
                <w:bCs/>
                <w:sz w:val="18"/>
                <w:szCs w:val="18"/>
              </w:rPr>
            </w:pPr>
            <w:r>
              <w:rPr>
                <w:rFonts w:ascii="Arial" w:hAnsi="Arial" w:cs="Arial"/>
                <w:b/>
                <w:bCs/>
                <w:sz w:val="18"/>
                <w:szCs w:val="18"/>
              </w:rPr>
              <w:t xml:space="preserve">At </w:t>
            </w:r>
            <w:proofErr w:type="spellStart"/>
            <w:r>
              <w:rPr>
                <w:rFonts w:ascii="Arial" w:hAnsi="Arial" w:cs="Arial"/>
                <w:b/>
                <w:bCs/>
                <w:sz w:val="18"/>
                <w:szCs w:val="18"/>
              </w:rPr>
              <w:t>amortised</w:t>
            </w:r>
            <w:proofErr w:type="spellEnd"/>
            <w:r>
              <w:rPr>
                <w:rFonts w:ascii="Arial" w:hAnsi="Arial" w:cs="Arial"/>
                <w:b/>
                <w:bCs/>
                <w:sz w:val="18"/>
                <w:szCs w:val="18"/>
              </w:rPr>
              <w:t xml:space="preserve"> cost</w:t>
            </w:r>
          </w:p>
        </w:tc>
        <w:tc>
          <w:tcPr>
            <w:tcW w:w="1249" w:type="dxa"/>
            <w:tcBorders>
              <w:top w:val="nil"/>
              <w:left w:val="nil"/>
              <w:bottom w:val="nil"/>
              <w:right w:val="nil"/>
            </w:tcBorders>
            <w:shd w:val="clear" w:color="FFFFFF" w:fill="FFFFFF"/>
            <w:noWrap/>
            <w:vAlign w:val="bottom"/>
            <w:hideMark/>
          </w:tcPr>
          <w:p w14:paraId="4AA088A9" w14:textId="77777777" w:rsidR="00A43992" w:rsidRDefault="00A43992" w:rsidP="007211E3">
            <w:pPr>
              <w:rPr>
                <w:rFonts w:ascii="Arial" w:hAnsi="Arial" w:cs="Arial"/>
                <w:b/>
                <w:bCs/>
                <w:sz w:val="18"/>
                <w:szCs w:val="18"/>
              </w:rPr>
            </w:pPr>
            <w:r>
              <w:rPr>
                <w:rFonts w:ascii="Arial" w:hAnsi="Arial" w:cs="Arial"/>
                <w:b/>
                <w:bCs/>
                <w:sz w:val="18"/>
                <w:szCs w:val="18"/>
              </w:rPr>
              <w:t> </w:t>
            </w:r>
          </w:p>
        </w:tc>
        <w:tc>
          <w:tcPr>
            <w:tcW w:w="236" w:type="dxa"/>
            <w:tcBorders>
              <w:top w:val="nil"/>
              <w:left w:val="nil"/>
              <w:bottom w:val="nil"/>
              <w:right w:val="nil"/>
            </w:tcBorders>
            <w:shd w:val="clear" w:color="FFFFFF" w:fill="FFFFFF"/>
            <w:noWrap/>
            <w:vAlign w:val="bottom"/>
            <w:hideMark/>
          </w:tcPr>
          <w:p w14:paraId="0BA78581" w14:textId="77777777" w:rsidR="00A43992" w:rsidRDefault="00A43992" w:rsidP="007211E3">
            <w:pPr>
              <w:rPr>
                <w:rFonts w:ascii="Arial" w:hAnsi="Arial" w:cs="Arial"/>
                <w:sz w:val="18"/>
                <w:szCs w:val="18"/>
              </w:rPr>
            </w:pPr>
            <w:r>
              <w:rPr>
                <w:rFonts w:ascii="Arial" w:hAnsi="Arial" w:cs="Arial"/>
                <w:sz w:val="18"/>
                <w:szCs w:val="18"/>
              </w:rPr>
              <w:t> </w:t>
            </w:r>
          </w:p>
        </w:tc>
        <w:tc>
          <w:tcPr>
            <w:tcW w:w="1249" w:type="dxa"/>
            <w:tcBorders>
              <w:top w:val="nil"/>
              <w:left w:val="nil"/>
              <w:bottom w:val="nil"/>
              <w:right w:val="nil"/>
            </w:tcBorders>
            <w:shd w:val="clear" w:color="FFFFFF" w:fill="FFFFFF"/>
            <w:noWrap/>
            <w:vAlign w:val="bottom"/>
            <w:hideMark/>
          </w:tcPr>
          <w:p w14:paraId="34B94BA1" w14:textId="77777777" w:rsidR="00A43992" w:rsidRDefault="00A43992" w:rsidP="007211E3">
            <w:pPr>
              <w:rPr>
                <w:rFonts w:ascii="Arial" w:hAnsi="Arial" w:cs="Arial"/>
                <w:sz w:val="18"/>
                <w:szCs w:val="18"/>
              </w:rPr>
            </w:pPr>
            <w:r>
              <w:rPr>
                <w:rFonts w:ascii="Arial" w:hAnsi="Arial" w:cs="Arial"/>
                <w:sz w:val="18"/>
                <w:szCs w:val="18"/>
              </w:rPr>
              <w:t> </w:t>
            </w:r>
          </w:p>
        </w:tc>
      </w:tr>
      <w:tr w:rsidR="00A43992" w14:paraId="2CE1158D" w14:textId="77777777" w:rsidTr="007211E3">
        <w:trPr>
          <w:trHeight w:val="255"/>
        </w:trPr>
        <w:tc>
          <w:tcPr>
            <w:tcW w:w="6353" w:type="dxa"/>
            <w:tcBorders>
              <w:top w:val="nil"/>
              <w:left w:val="nil"/>
              <w:bottom w:val="nil"/>
              <w:right w:val="nil"/>
            </w:tcBorders>
            <w:shd w:val="clear" w:color="FFFFFF" w:fill="FFFFFF"/>
            <w:noWrap/>
            <w:vAlign w:val="bottom"/>
            <w:hideMark/>
          </w:tcPr>
          <w:p w14:paraId="18E43B32" w14:textId="77777777" w:rsidR="00A43992" w:rsidRDefault="00A43992" w:rsidP="007211E3">
            <w:pPr>
              <w:ind w:firstLineChars="100" w:firstLine="180"/>
              <w:rPr>
                <w:rFonts w:ascii="Arial" w:hAnsi="Arial" w:cs="Arial"/>
                <w:sz w:val="18"/>
                <w:szCs w:val="18"/>
              </w:rPr>
            </w:pPr>
            <w:r>
              <w:rPr>
                <w:rFonts w:ascii="Arial" w:hAnsi="Arial" w:cs="Arial"/>
                <w:sz w:val="18"/>
                <w:szCs w:val="18"/>
              </w:rPr>
              <w:t>Supplier payables</w:t>
            </w:r>
          </w:p>
        </w:tc>
        <w:tc>
          <w:tcPr>
            <w:tcW w:w="1249" w:type="dxa"/>
            <w:tcBorders>
              <w:top w:val="nil"/>
              <w:left w:val="nil"/>
              <w:bottom w:val="nil"/>
              <w:right w:val="nil"/>
            </w:tcBorders>
            <w:shd w:val="clear" w:color="FFFFFF" w:fill="FFFFFF"/>
            <w:noWrap/>
            <w:vAlign w:val="bottom"/>
            <w:hideMark/>
          </w:tcPr>
          <w:p w14:paraId="06BF9D32" w14:textId="77777777" w:rsidR="00A43992" w:rsidRDefault="00A43992" w:rsidP="007211E3">
            <w:pPr>
              <w:jc w:val="right"/>
              <w:rPr>
                <w:rFonts w:ascii="Arial" w:hAnsi="Arial" w:cs="Arial"/>
                <w:b/>
                <w:bCs/>
                <w:sz w:val="18"/>
                <w:szCs w:val="18"/>
              </w:rPr>
            </w:pPr>
            <w:r>
              <w:rPr>
                <w:rFonts w:ascii="Arial" w:hAnsi="Arial" w:cs="Arial"/>
                <w:b/>
                <w:bCs/>
                <w:sz w:val="18"/>
                <w:szCs w:val="18"/>
              </w:rPr>
              <w:t>25,349</w:t>
            </w:r>
          </w:p>
        </w:tc>
        <w:tc>
          <w:tcPr>
            <w:tcW w:w="236" w:type="dxa"/>
            <w:tcBorders>
              <w:top w:val="nil"/>
              <w:left w:val="nil"/>
              <w:bottom w:val="nil"/>
              <w:right w:val="nil"/>
            </w:tcBorders>
            <w:shd w:val="clear" w:color="FFFFFF" w:fill="FFFFFF"/>
            <w:noWrap/>
            <w:vAlign w:val="bottom"/>
            <w:hideMark/>
          </w:tcPr>
          <w:p w14:paraId="7FFE4B32" w14:textId="77777777" w:rsidR="00A43992" w:rsidRDefault="00A43992" w:rsidP="007211E3">
            <w:pPr>
              <w:rPr>
                <w:rFonts w:ascii="Arial" w:hAnsi="Arial" w:cs="Arial"/>
                <w:sz w:val="18"/>
                <w:szCs w:val="18"/>
              </w:rPr>
            </w:pPr>
            <w:r>
              <w:rPr>
                <w:rFonts w:ascii="Arial" w:hAnsi="Arial" w:cs="Arial"/>
                <w:sz w:val="18"/>
                <w:szCs w:val="18"/>
              </w:rPr>
              <w:t> </w:t>
            </w:r>
          </w:p>
        </w:tc>
        <w:tc>
          <w:tcPr>
            <w:tcW w:w="1249" w:type="dxa"/>
            <w:tcBorders>
              <w:top w:val="nil"/>
              <w:left w:val="nil"/>
              <w:bottom w:val="nil"/>
              <w:right w:val="nil"/>
            </w:tcBorders>
            <w:shd w:val="clear" w:color="FFFFFF" w:fill="FFFFFF"/>
            <w:noWrap/>
            <w:vAlign w:val="bottom"/>
            <w:hideMark/>
          </w:tcPr>
          <w:p w14:paraId="5997BAAB" w14:textId="77777777" w:rsidR="00A43992" w:rsidRDefault="00A43992" w:rsidP="007211E3">
            <w:pPr>
              <w:jc w:val="right"/>
              <w:rPr>
                <w:rFonts w:ascii="Arial" w:hAnsi="Arial" w:cs="Arial"/>
                <w:sz w:val="18"/>
                <w:szCs w:val="18"/>
              </w:rPr>
            </w:pPr>
            <w:r>
              <w:rPr>
                <w:rFonts w:ascii="Arial" w:hAnsi="Arial" w:cs="Arial"/>
                <w:sz w:val="18"/>
                <w:szCs w:val="18"/>
              </w:rPr>
              <w:t xml:space="preserve">14,022 </w:t>
            </w:r>
          </w:p>
        </w:tc>
      </w:tr>
      <w:tr w:rsidR="00A43992" w14:paraId="78D223C5" w14:textId="77777777" w:rsidTr="007211E3">
        <w:trPr>
          <w:trHeight w:val="255"/>
        </w:trPr>
        <w:tc>
          <w:tcPr>
            <w:tcW w:w="6353" w:type="dxa"/>
            <w:tcBorders>
              <w:top w:val="nil"/>
              <w:left w:val="nil"/>
              <w:bottom w:val="nil"/>
              <w:right w:val="nil"/>
            </w:tcBorders>
            <w:shd w:val="clear" w:color="FFFFFF" w:fill="FFFFFF"/>
            <w:noWrap/>
            <w:vAlign w:val="bottom"/>
            <w:hideMark/>
          </w:tcPr>
          <w:p w14:paraId="52049D7C" w14:textId="77777777" w:rsidR="00A43992" w:rsidRDefault="00A43992" w:rsidP="007211E3">
            <w:pPr>
              <w:ind w:firstLineChars="100" w:firstLine="180"/>
              <w:rPr>
                <w:rFonts w:ascii="Arial" w:hAnsi="Arial" w:cs="Arial"/>
                <w:sz w:val="18"/>
                <w:szCs w:val="18"/>
              </w:rPr>
            </w:pPr>
            <w:r>
              <w:rPr>
                <w:rFonts w:ascii="Arial" w:hAnsi="Arial" w:cs="Arial"/>
                <w:sz w:val="18"/>
                <w:szCs w:val="18"/>
              </w:rPr>
              <w:t>Participant plan payables</w:t>
            </w:r>
          </w:p>
        </w:tc>
        <w:tc>
          <w:tcPr>
            <w:tcW w:w="1249" w:type="dxa"/>
            <w:tcBorders>
              <w:top w:val="nil"/>
              <w:left w:val="nil"/>
              <w:bottom w:val="nil"/>
              <w:right w:val="nil"/>
            </w:tcBorders>
            <w:shd w:val="clear" w:color="FFFFFF" w:fill="FFFFFF"/>
            <w:noWrap/>
            <w:vAlign w:val="bottom"/>
            <w:hideMark/>
          </w:tcPr>
          <w:p w14:paraId="161A8108" w14:textId="77777777" w:rsidR="00A43992" w:rsidRDefault="00A43992" w:rsidP="007211E3">
            <w:pPr>
              <w:jc w:val="right"/>
              <w:rPr>
                <w:rFonts w:ascii="Arial" w:hAnsi="Arial" w:cs="Arial"/>
                <w:b/>
                <w:bCs/>
                <w:sz w:val="18"/>
                <w:szCs w:val="18"/>
              </w:rPr>
            </w:pPr>
            <w:r>
              <w:rPr>
                <w:rFonts w:ascii="Arial" w:hAnsi="Arial" w:cs="Arial"/>
                <w:b/>
                <w:bCs/>
                <w:sz w:val="18"/>
                <w:szCs w:val="18"/>
              </w:rPr>
              <w:t>-</w:t>
            </w:r>
          </w:p>
        </w:tc>
        <w:tc>
          <w:tcPr>
            <w:tcW w:w="236" w:type="dxa"/>
            <w:tcBorders>
              <w:top w:val="nil"/>
              <w:left w:val="nil"/>
              <w:bottom w:val="nil"/>
              <w:right w:val="nil"/>
            </w:tcBorders>
            <w:shd w:val="clear" w:color="FFFFFF" w:fill="FFFFFF"/>
            <w:noWrap/>
            <w:vAlign w:val="bottom"/>
            <w:hideMark/>
          </w:tcPr>
          <w:p w14:paraId="11D4C15D" w14:textId="77777777" w:rsidR="00A43992" w:rsidRDefault="00A43992" w:rsidP="007211E3">
            <w:pPr>
              <w:rPr>
                <w:rFonts w:ascii="Arial" w:hAnsi="Arial" w:cs="Arial"/>
                <w:sz w:val="18"/>
                <w:szCs w:val="18"/>
              </w:rPr>
            </w:pPr>
            <w:r>
              <w:rPr>
                <w:rFonts w:ascii="Arial" w:hAnsi="Arial" w:cs="Arial"/>
                <w:sz w:val="18"/>
                <w:szCs w:val="18"/>
              </w:rPr>
              <w:t> </w:t>
            </w:r>
          </w:p>
        </w:tc>
        <w:tc>
          <w:tcPr>
            <w:tcW w:w="1249" w:type="dxa"/>
            <w:tcBorders>
              <w:top w:val="nil"/>
              <w:left w:val="nil"/>
              <w:bottom w:val="nil"/>
              <w:right w:val="nil"/>
            </w:tcBorders>
            <w:shd w:val="clear" w:color="FFFFFF" w:fill="FFFFFF"/>
            <w:noWrap/>
            <w:vAlign w:val="bottom"/>
            <w:hideMark/>
          </w:tcPr>
          <w:p w14:paraId="2A0ABBC4" w14:textId="77777777" w:rsidR="00A43992" w:rsidRDefault="00A43992" w:rsidP="007211E3">
            <w:pPr>
              <w:jc w:val="right"/>
              <w:rPr>
                <w:rFonts w:ascii="Arial" w:hAnsi="Arial" w:cs="Arial"/>
                <w:sz w:val="18"/>
                <w:szCs w:val="18"/>
              </w:rPr>
            </w:pPr>
            <w:r>
              <w:rPr>
                <w:rFonts w:ascii="Arial" w:hAnsi="Arial" w:cs="Arial"/>
                <w:sz w:val="18"/>
                <w:szCs w:val="18"/>
              </w:rPr>
              <w:t xml:space="preserve">2,632 </w:t>
            </w:r>
          </w:p>
        </w:tc>
      </w:tr>
      <w:tr w:rsidR="00A43992" w14:paraId="745485B9" w14:textId="77777777" w:rsidTr="007211E3">
        <w:trPr>
          <w:trHeight w:val="255"/>
        </w:trPr>
        <w:tc>
          <w:tcPr>
            <w:tcW w:w="6353" w:type="dxa"/>
            <w:tcBorders>
              <w:top w:val="nil"/>
              <w:left w:val="nil"/>
              <w:bottom w:val="nil"/>
              <w:right w:val="nil"/>
            </w:tcBorders>
            <w:shd w:val="clear" w:color="FFFFFF" w:fill="FFFFFF"/>
            <w:noWrap/>
            <w:vAlign w:val="bottom"/>
            <w:hideMark/>
          </w:tcPr>
          <w:p w14:paraId="30B3270A" w14:textId="77777777" w:rsidR="00A43992" w:rsidRDefault="00A43992" w:rsidP="007211E3">
            <w:pPr>
              <w:ind w:firstLineChars="100" w:firstLine="180"/>
              <w:rPr>
                <w:rFonts w:ascii="Arial" w:hAnsi="Arial" w:cs="Arial"/>
                <w:sz w:val="18"/>
                <w:szCs w:val="18"/>
              </w:rPr>
            </w:pPr>
            <w:r>
              <w:rPr>
                <w:rFonts w:ascii="Arial" w:hAnsi="Arial" w:cs="Arial"/>
                <w:sz w:val="18"/>
                <w:szCs w:val="18"/>
              </w:rPr>
              <w:t>Other payables</w:t>
            </w:r>
          </w:p>
        </w:tc>
        <w:tc>
          <w:tcPr>
            <w:tcW w:w="1249" w:type="dxa"/>
            <w:tcBorders>
              <w:top w:val="nil"/>
              <w:left w:val="nil"/>
              <w:bottom w:val="nil"/>
              <w:right w:val="nil"/>
            </w:tcBorders>
            <w:shd w:val="clear" w:color="FFFFFF" w:fill="FFFFFF"/>
            <w:noWrap/>
            <w:vAlign w:val="bottom"/>
            <w:hideMark/>
          </w:tcPr>
          <w:p w14:paraId="63ED88D1" w14:textId="77777777" w:rsidR="00A43992" w:rsidRDefault="00A43992" w:rsidP="007211E3">
            <w:pPr>
              <w:jc w:val="right"/>
              <w:rPr>
                <w:rFonts w:ascii="Arial" w:hAnsi="Arial" w:cs="Arial"/>
                <w:b/>
                <w:bCs/>
                <w:sz w:val="18"/>
                <w:szCs w:val="18"/>
              </w:rPr>
            </w:pPr>
            <w:r>
              <w:rPr>
                <w:rFonts w:ascii="Arial" w:hAnsi="Arial" w:cs="Arial"/>
                <w:b/>
                <w:bCs/>
                <w:sz w:val="18"/>
                <w:szCs w:val="18"/>
              </w:rPr>
              <w:t>2,611</w:t>
            </w:r>
          </w:p>
        </w:tc>
        <w:tc>
          <w:tcPr>
            <w:tcW w:w="236" w:type="dxa"/>
            <w:tcBorders>
              <w:top w:val="nil"/>
              <w:left w:val="nil"/>
              <w:bottom w:val="nil"/>
              <w:right w:val="nil"/>
            </w:tcBorders>
            <w:shd w:val="clear" w:color="FFFFFF" w:fill="FFFFFF"/>
            <w:noWrap/>
            <w:vAlign w:val="bottom"/>
            <w:hideMark/>
          </w:tcPr>
          <w:p w14:paraId="2AA6A021" w14:textId="77777777" w:rsidR="00A43992" w:rsidRDefault="00A43992" w:rsidP="007211E3">
            <w:pPr>
              <w:rPr>
                <w:rFonts w:ascii="Arial" w:hAnsi="Arial" w:cs="Arial"/>
                <w:sz w:val="18"/>
                <w:szCs w:val="18"/>
              </w:rPr>
            </w:pPr>
            <w:r>
              <w:rPr>
                <w:rFonts w:ascii="Arial" w:hAnsi="Arial" w:cs="Arial"/>
                <w:sz w:val="18"/>
                <w:szCs w:val="18"/>
              </w:rPr>
              <w:t> </w:t>
            </w:r>
          </w:p>
        </w:tc>
        <w:tc>
          <w:tcPr>
            <w:tcW w:w="1249" w:type="dxa"/>
            <w:tcBorders>
              <w:top w:val="nil"/>
              <w:left w:val="nil"/>
              <w:bottom w:val="nil"/>
              <w:right w:val="nil"/>
            </w:tcBorders>
            <w:shd w:val="clear" w:color="FFFFFF" w:fill="FFFFFF"/>
            <w:noWrap/>
            <w:vAlign w:val="bottom"/>
            <w:hideMark/>
          </w:tcPr>
          <w:p w14:paraId="5559E289" w14:textId="77777777" w:rsidR="00A43992" w:rsidRDefault="00A43992" w:rsidP="007211E3">
            <w:pPr>
              <w:jc w:val="right"/>
              <w:rPr>
                <w:rFonts w:ascii="Arial" w:hAnsi="Arial" w:cs="Arial"/>
                <w:sz w:val="18"/>
                <w:szCs w:val="18"/>
              </w:rPr>
            </w:pPr>
            <w:r>
              <w:rPr>
                <w:rFonts w:ascii="Arial" w:hAnsi="Arial" w:cs="Arial"/>
                <w:sz w:val="18"/>
                <w:szCs w:val="18"/>
              </w:rPr>
              <w:t xml:space="preserve">7,961 </w:t>
            </w:r>
          </w:p>
        </w:tc>
      </w:tr>
      <w:tr w:rsidR="00A43992" w14:paraId="6B9A8CFF" w14:textId="77777777" w:rsidTr="007211E3">
        <w:trPr>
          <w:trHeight w:val="255"/>
        </w:trPr>
        <w:tc>
          <w:tcPr>
            <w:tcW w:w="6353" w:type="dxa"/>
            <w:tcBorders>
              <w:top w:val="nil"/>
              <w:left w:val="nil"/>
              <w:bottom w:val="nil"/>
              <w:right w:val="nil"/>
            </w:tcBorders>
            <w:shd w:val="clear" w:color="FFFFFF" w:fill="FFFFFF"/>
            <w:vAlign w:val="bottom"/>
            <w:hideMark/>
          </w:tcPr>
          <w:p w14:paraId="699AEFE2" w14:textId="77777777" w:rsidR="00A43992" w:rsidRDefault="00A43992" w:rsidP="007211E3">
            <w:pPr>
              <w:rPr>
                <w:rFonts w:ascii="Arial" w:hAnsi="Arial" w:cs="Arial"/>
                <w:b/>
                <w:bCs/>
                <w:sz w:val="18"/>
                <w:szCs w:val="18"/>
              </w:rPr>
            </w:pPr>
            <w:r>
              <w:rPr>
                <w:rFonts w:ascii="Arial" w:hAnsi="Arial" w:cs="Arial"/>
                <w:b/>
                <w:bCs/>
                <w:sz w:val="18"/>
                <w:szCs w:val="18"/>
              </w:rPr>
              <w:t>Total financial liabilities</w:t>
            </w:r>
          </w:p>
        </w:tc>
        <w:tc>
          <w:tcPr>
            <w:tcW w:w="1249" w:type="dxa"/>
            <w:tcBorders>
              <w:top w:val="single" w:sz="4" w:space="0" w:color="auto"/>
              <w:left w:val="nil"/>
              <w:bottom w:val="single" w:sz="4" w:space="0" w:color="auto"/>
              <w:right w:val="nil"/>
            </w:tcBorders>
            <w:shd w:val="clear" w:color="FFFFFF" w:fill="FFFFFF"/>
            <w:noWrap/>
            <w:vAlign w:val="bottom"/>
            <w:hideMark/>
          </w:tcPr>
          <w:p w14:paraId="77F19DAB" w14:textId="77777777" w:rsidR="00A43992" w:rsidRDefault="00A43992" w:rsidP="007211E3">
            <w:pPr>
              <w:jc w:val="right"/>
              <w:rPr>
                <w:rFonts w:ascii="Arial" w:hAnsi="Arial" w:cs="Arial"/>
                <w:b/>
                <w:bCs/>
                <w:sz w:val="18"/>
                <w:szCs w:val="18"/>
              </w:rPr>
            </w:pPr>
            <w:r>
              <w:rPr>
                <w:rFonts w:ascii="Arial" w:hAnsi="Arial" w:cs="Arial"/>
                <w:b/>
                <w:bCs/>
                <w:sz w:val="18"/>
                <w:szCs w:val="18"/>
              </w:rPr>
              <w:t>27,960</w:t>
            </w:r>
          </w:p>
        </w:tc>
        <w:tc>
          <w:tcPr>
            <w:tcW w:w="236" w:type="dxa"/>
            <w:tcBorders>
              <w:top w:val="nil"/>
              <w:left w:val="nil"/>
              <w:bottom w:val="nil"/>
              <w:right w:val="nil"/>
            </w:tcBorders>
            <w:shd w:val="clear" w:color="FFFFFF" w:fill="FFFFFF"/>
            <w:noWrap/>
            <w:vAlign w:val="bottom"/>
            <w:hideMark/>
          </w:tcPr>
          <w:p w14:paraId="0B3AB0E5" w14:textId="77777777" w:rsidR="00A43992" w:rsidRDefault="00A43992" w:rsidP="007211E3">
            <w:pPr>
              <w:rPr>
                <w:rFonts w:ascii="Arial" w:hAnsi="Arial" w:cs="Arial"/>
                <w:sz w:val="18"/>
                <w:szCs w:val="18"/>
              </w:rPr>
            </w:pPr>
            <w:r>
              <w:rPr>
                <w:rFonts w:ascii="Arial" w:hAnsi="Arial" w:cs="Arial"/>
                <w:sz w:val="18"/>
                <w:szCs w:val="18"/>
              </w:rPr>
              <w:t> </w:t>
            </w:r>
          </w:p>
        </w:tc>
        <w:tc>
          <w:tcPr>
            <w:tcW w:w="1249" w:type="dxa"/>
            <w:tcBorders>
              <w:top w:val="single" w:sz="4" w:space="0" w:color="auto"/>
              <w:left w:val="nil"/>
              <w:bottom w:val="single" w:sz="4" w:space="0" w:color="auto"/>
              <w:right w:val="nil"/>
            </w:tcBorders>
            <w:shd w:val="clear" w:color="FFFFFF" w:fill="FFFFFF"/>
            <w:noWrap/>
            <w:vAlign w:val="bottom"/>
            <w:hideMark/>
          </w:tcPr>
          <w:p w14:paraId="65A0F9C3" w14:textId="77777777" w:rsidR="00A43992" w:rsidRDefault="00A43992" w:rsidP="007211E3">
            <w:pPr>
              <w:jc w:val="right"/>
              <w:rPr>
                <w:rFonts w:ascii="Arial" w:hAnsi="Arial" w:cs="Arial"/>
                <w:sz w:val="18"/>
                <w:szCs w:val="18"/>
              </w:rPr>
            </w:pPr>
            <w:r>
              <w:rPr>
                <w:rFonts w:ascii="Arial" w:hAnsi="Arial" w:cs="Arial"/>
                <w:sz w:val="18"/>
                <w:szCs w:val="18"/>
              </w:rPr>
              <w:t>24,615</w:t>
            </w:r>
          </w:p>
        </w:tc>
      </w:tr>
    </w:tbl>
    <w:p w14:paraId="232006B4" w14:textId="77777777" w:rsidR="00A43992" w:rsidRDefault="00A43992" w:rsidP="00A43992">
      <w:pPr>
        <w:spacing w:line="240" w:lineRule="auto"/>
      </w:pPr>
      <w:bookmarkStart w:id="491" w:name="RANGE!D7:G33"/>
      <w:bookmarkStart w:id="492" w:name="RANGE!D7:G28"/>
      <w:bookmarkStart w:id="493" w:name="RANGE!D7:G25"/>
      <w:bookmarkStart w:id="494" w:name="RANGE!D7:G18"/>
      <w:bookmarkStart w:id="495" w:name="RANGE!D7:G50"/>
      <w:bookmarkStart w:id="496" w:name="RANGE!D6:G49"/>
      <w:bookmarkStart w:id="497" w:name="RANGE!D6:D50"/>
      <w:bookmarkStart w:id="498" w:name="RANGE!D6:G50"/>
      <w:bookmarkStart w:id="499" w:name="_Toc443469551"/>
      <w:bookmarkStart w:id="500" w:name="_Toc444065806"/>
      <w:bookmarkStart w:id="501" w:name="_Toc444080003"/>
      <w:bookmarkEnd w:id="491"/>
      <w:bookmarkEnd w:id="492"/>
      <w:bookmarkEnd w:id="493"/>
      <w:bookmarkEnd w:id="494"/>
      <w:bookmarkEnd w:id="495"/>
      <w:bookmarkEnd w:id="496"/>
      <w:bookmarkEnd w:id="497"/>
      <w:bookmarkEnd w:id="498"/>
    </w:p>
    <w:p w14:paraId="1EADE8CE" w14:textId="77777777" w:rsidR="00A43992" w:rsidRPr="005E5430" w:rsidRDefault="00A43992" w:rsidP="00A43992">
      <w:pPr>
        <w:spacing w:line="240" w:lineRule="auto"/>
        <w:outlineLvl w:val="0"/>
        <w:rPr>
          <w:rFonts w:ascii="Arial" w:hAnsi="Arial" w:cs="Arial"/>
          <w:sz w:val="18"/>
          <w:szCs w:val="18"/>
        </w:rPr>
      </w:pPr>
      <w:r w:rsidRPr="005E5430">
        <w:rPr>
          <w:rFonts w:ascii="Arial" w:hAnsi="Arial" w:cs="Arial"/>
          <w:sz w:val="18"/>
          <w:szCs w:val="18"/>
        </w:rPr>
        <w:t xml:space="preserve">No financial instruments have transferred between categories during the period. </w:t>
      </w:r>
    </w:p>
    <w:p w14:paraId="10C8F045" w14:textId="77777777" w:rsidR="00A43992" w:rsidRDefault="00A43992" w:rsidP="00A43992">
      <w:pPr>
        <w:spacing w:line="240" w:lineRule="auto"/>
        <w:rPr>
          <w:rFonts w:ascii="Arial" w:hAnsi="Arial" w:cs="Arial"/>
          <w:sz w:val="18"/>
          <w:szCs w:val="18"/>
        </w:rPr>
      </w:pPr>
    </w:p>
    <w:p w14:paraId="07B63AD8" w14:textId="77777777" w:rsidR="00A43992" w:rsidRPr="005E5430" w:rsidRDefault="00A43992" w:rsidP="00A43992">
      <w:pPr>
        <w:spacing w:line="240" w:lineRule="auto"/>
      </w:pPr>
      <w:r w:rsidRPr="005E5430">
        <w:rPr>
          <w:rFonts w:ascii="Arial" w:hAnsi="Arial" w:cs="Arial"/>
          <w:sz w:val="18"/>
          <w:szCs w:val="18"/>
        </w:rPr>
        <w:t xml:space="preserve">The carrying amount of the Agency’s financial instruments shown above </w:t>
      </w:r>
      <w:r>
        <w:rPr>
          <w:rFonts w:ascii="Arial" w:hAnsi="Arial" w:cs="Arial"/>
          <w:sz w:val="18"/>
          <w:szCs w:val="18"/>
        </w:rPr>
        <w:t xml:space="preserve">represents </w:t>
      </w:r>
      <w:r w:rsidRPr="005E5430">
        <w:rPr>
          <w:rFonts w:ascii="Arial" w:hAnsi="Arial" w:cs="Arial"/>
          <w:sz w:val="18"/>
          <w:szCs w:val="18"/>
        </w:rPr>
        <w:t>their fair value.</w:t>
      </w:r>
      <w:r w:rsidRPr="005E5430">
        <w:t xml:space="preserve"> </w:t>
      </w:r>
    </w:p>
    <w:p w14:paraId="74FC37A6" w14:textId="77777777" w:rsidR="00A43992" w:rsidRDefault="00A43992" w:rsidP="00A43992">
      <w:pPr>
        <w:spacing w:line="240" w:lineRule="auto"/>
      </w:pPr>
      <w:r>
        <w:br w:type="page"/>
      </w:r>
    </w:p>
    <w:p w14:paraId="0AEFCA94" w14:textId="77777777" w:rsidR="00A43992" w:rsidRDefault="00A43992" w:rsidP="00A43992">
      <w:pPr>
        <w:spacing w:line="240" w:lineRule="auto"/>
      </w:pPr>
    </w:p>
    <w:p w14:paraId="2C3B3934" w14:textId="77777777" w:rsidR="00A43992" w:rsidRPr="0051679A" w:rsidRDefault="00A43992" w:rsidP="00A43992">
      <w:pPr>
        <w:pStyle w:val="PolicyheadingDept"/>
        <w:outlineLvl w:val="0"/>
        <w:rPr>
          <w:sz w:val="24"/>
          <w:szCs w:val="24"/>
        </w:rPr>
      </w:pPr>
      <w:r w:rsidRPr="0051679A">
        <w:t>Accounting Policy</w:t>
      </w:r>
    </w:p>
    <w:p w14:paraId="770E4486" w14:textId="77777777" w:rsidR="00A43992" w:rsidRPr="0051679A" w:rsidRDefault="00A43992" w:rsidP="00A43992">
      <w:pPr>
        <w:pStyle w:val="PolicytextDept"/>
        <w:outlineLvl w:val="0"/>
        <w:rPr>
          <w:i/>
          <w:iCs/>
          <w:u w:val="single"/>
        </w:rPr>
      </w:pPr>
      <w:r w:rsidRPr="0051679A">
        <w:rPr>
          <w:i/>
          <w:iCs/>
          <w:u w:val="single"/>
        </w:rPr>
        <w:t>Financial liabilities</w:t>
      </w:r>
    </w:p>
    <w:p w14:paraId="7967B134" w14:textId="77777777" w:rsidR="00A43992" w:rsidRPr="0051679A" w:rsidRDefault="00A43992" w:rsidP="00A43992">
      <w:pPr>
        <w:pStyle w:val="PolicytextDept"/>
      </w:pPr>
      <w:r w:rsidRPr="0051679A">
        <w:t>Financial liabilities, including supplier and other payables, are initially measured at fair value, net of transaction costs.  These liabilities are subsequently measured at amortised cost using the effective interest method, with interest expense recognised on an ef</w:t>
      </w:r>
      <w:r>
        <w:t xml:space="preserve">fective yield basis.  </w:t>
      </w:r>
    </w:p>
    <w:p w14:paraId="1A0600B8" w14:textId="77777777" w:rsidR="00A43992" w:rsidRPr="005E5430" w:rsidRDefault="00A43992" w:rsidP="00A43992">
      <w:pPr>
        <w:pStyle w:val="PolicytextDept"/>
      </w:pPr>
      <w:r w:rsidRPr="0051679A">
        <w:t>Liabilities are recognised to the extent that the goods or services have been received (and irrespective of having been invoiced).</w:t>
      </w:r>
    </w:p>
    <w:p w14:paraId="73564AD0" w14:textId="77777777" w:rsidR="00A43992" w:rsidRDefault="00A43992" w:rsidP="00A43992">
      <w:pPr>
        <w:spacing w:line="240" w:lineRule="auto"/>
      </w:pPr>
    </w:p>
    <w:tbl>
      <w:tblPr>
        <w:tblW w:w="9087" w:type="dxa"/>
        <w:tblInd w:w="80" w:type="dxa"/>
        <w:tblLayout w:type="fixed"/>
        <w:tblLook w:val="04A0" w:firstRow="1" w:lastRow="0" w:firstColumn="1" w:lastColumn="0" w:noHBand="0" w:noVBand="1"/>
      </w:tblPr>
      <w:tblGrid>
        <w:gridCol w:w="6353"/>
        <w:gridCol w:w="1249"/>
        <w:gridCol w:w="236"/>
        <w:gridCol w:w="1249"/>
      </w:tblGrid>
      <w:tr w:rsidR="00A43992" w14:paraId="1C2BA415" w14:textId="77777777" w:rsidTr="007211E3">
        <w:trPr>
          <w:trHeight w:val="255"/>
        </w:trPr>
        <w:tc>
          <w:tcPr>
            <w:tcW w:w="6353" w:type="dxa"/>
            <w:tcBorders>
              <w:top w:val="nil"/>
              <w:left w:val="nil"/>
              <w:bottom w:val="nil"/>
              <w:right w:val="nil"/>
            </w:tcBorders>
            <w:shd w:val="clear" w:color="FFFFFF" w:fill="FFFFFF"/>
            <w:noWrap/>
            <w:vAlign w:val="bottom"/>
            <w:hideMark/>
          </w:tcPr>
          <w:p w14:paraId="508101B3" w14:textId="77777777" w:rsidR="00A43992" w:rsidRDefault="00A43992" w:rsidP="007211E3">
            <w:pPr>
              <w:rPr>
                <w:rFonts w:ascii="Arial" w:hAnsi="Arial" w:cs="Arial"/>
                <w:sz w:val="18"/>
                <w:szCs w:val="18"/>
              </w:rPr>
            </w:pPr>
            <w:bookmarkStart w:id="502" w:name="Note_FIBTABLE1" w:colFirst="0" w:colLast="0"/>
            <w:r>
              <w:rPr>
                <w:rFonts w:ascii="Arial" w:hAnsi="Arial" w:cs="Arial"/>
                <w:sz w:val="18"/>
                <w:szCs w:val="18"/>
              </w:rPr>
              <w:t> </w:t>
            </w:r>
          </w:p>
        </w:tc>
        <w:tc>
          <w:tcPr>
            <w:tcW w:w="1249" w:type="dxa"/>
            <w:tcBorders>
              <w:top w:val="nil"/>
              <w:left w:val="nil"/>
              <w:bottom w:val="nil"/>
              <w:right w:val="nil"/>
            </w:tcBorders>
            <w:shd w:val="clear" w:color="FFFFFF" w:fill="FFFFFF"/>
            <w:vAlign w:val="bottom"/>
            <w:hideMark/>
          </w:tcPr>
          <w:p w14:paraId="002B1EDA" w14:textId="77777777" w:rsidR="00A43992" w:rsidRDefault="00A43992" w:rsidP="007211E3">
            <w:pPr>
              <w:jc w:val="right"/>
              <w:rPr>
                <w:rFonts w:ascii="Arial" w:hAnsi="Arial" w:cs="Arial"/>
                <w:b/>
                <w:bCs/>
                <w:sz w:val="18"/>
                <w:szCs w:val="18"/>
              </w:rPr>
            </w:pPr>
            <w:r>
              <w:rPr>
                <w:rFonts w:ascii="Arial" w:hAnsi="Arial" w:cs="Arial"/>
                <w:b/>
                <w:bCs/>
                <w:sz w:val="18"/>
                <w:szCs w:val="18"/>
              </w:rPr>
              <w:t>2016</w:t>
            </w:r>
          </w:p>
        </w:tc>
        <w:tc>
          <w:tcPr>
            <w:tcW w:w="236" w:type="dxa"/>
            <w:tcBorders>
              <w:top w:val="nil"/>
              <w:left w:val="nil"/>
              <w:bottom w:val="nil"/>
              <w:right w:val="nil"/>
            </w:tcBorders>
            <w:shd w:val="clear" w:color="FFFFFF" w:fill="FFFFFF"/>
            <w:noWrap/>
            <w:vAlign w:val="bottom"/>
            <w:hideMark/>
          </w:tcPr>
          <w:p w14:paraId="114B371D" w14:textId="77777777" w:rsidR="00A43992" w:rsidRDefault="00A43992" w:rsidP="007211E3">
            <w:pPr>
              <w:rPr>
                <w:rFonts w:ascii="Arial" w:hAnsi="Arial" w:cs="Arial"/>
                <w:sz w:val="18"/>
                <w:szCs w:val="18"/>
              </w:rPr>
            </w:pPr>
            <w:r>
              <w:rPr>
                <w:rFonts w:ascii="Arial" w:hAnsi="Arial" w:cs="Arial"/>
                <w:sz w:val="18"/>
                <w:szCs w:val="18"/>
              </w:rPr>
              <w:t> </w:t>
            </w:r>
          </w:p>
        </w:tc>
        <w:tc>
          <w:tcPr>
            <w:tcW w:w="1249" w:type="dxa"/>
            <w:tcBorders>
              <w:top w:val="nil"/>
              <w:left w:val="nil"/>
              <w:bottom w:val="nil"/>
              <w:right w:val="nil"/>
            </w:tcBorders>
            <w:shd w:val="clear" w:color="FFFFFF" w:fill="FFFFFF"/>
            <w:vAlign w:val="bottom"/>
            <w:hideMark/>
          </w:tcPr>
          <w:p w14:paraId="0D8E0392" w14:textId="77777777" w:rsidR="00A43992" w:rsidRDefault="00A43992" w:rsidP="007211E3">
            <w:pPr>
              <w:jc w:val="right"/>
              <w:rPr>
                <w:rFonts w:ascii="Arial" w:hAnsi="Arial" w:cs="Arial"/>
                <w:sz w:val="18"/>
                <w:szCs w:val="18"/>
              </w:rPr>
            </w:pPr>
            <w:r>
              <w:rPr>
                <w:rFonts w:ascii="Arial" w:hAnsi="Arial" w:cs="Arial"/>
                <w:sz w:val="18"/>
                <w:szCs w:val="18"/>
              </w:rPr>
              <w:t>2015</w:t>
            </w:r>
          </w:p>
        </w:tc>
      </w:tr>
      <w:bookmarkEnd w:id="502"/>
      <w:tr w:rsidR="00A43992" w14:paraId="6AA731AA" w14:textId="77777777" w:rsidTr="007211E3">
        <w:trPr>
          <w:trHeight w:val="255"/>
        </w:trPr>
        <w:tc>
          <w:tcPr>
            <w:tcW w:w="6353" w:type="dxa"/>
            <w:tcBorders>
              <w:top w:val="nil"/>
              <w:left w:val="nil"/>
              <w:bottom w:val="nil"/>
              <w:right w:val="nil"/>
            </w:tcBorders>
            <w:shd w:val="clear" w:color="FFFFFF" w:fill="FFFFFF"/>
            <w:noWrap/>
            <w:vAlign w:val="bottom"/>
            <w:hideMark/>
          </w:tcPr>
          <w:p w14:paraId="51426D76" w14:textId="77777777" w:rsidR="00A43992" w:rsidRDefault="00A43992" w:rsidP="007211E3">
            <w:pPr>
              <w:rPr>
                <w:rFonts w:ascii="Arial" w:hAnsi="Arial" w:cs="Arial"/>
                <w:sz w:val="18"/>
                <w:szCs w:val="18"/>
              </w:rPr>
            </w:pPr>
            <w:r>
              <w:rPr>
                <w:rFonts w:ascii="Arial" w:hAnsi="Arial" w:cs="Arial"/>
                <w:sz w:val="18"/>
                <w:szCs w:val="18"/>
              </w:rPr>
              <w:t> </w:t>
            </w:r>
          </w:p>
        </w:tc>
        <w:tc>
          <w:tcPr>
            <w:tcW w:w="1249" w:type="dxa"/>
            <w:tcBorders>
              <w:top w:val="nil"/>
              <w:left w:val="nil"/>
              <w:bottom w:val="nil"/>
              <w:right w:val="nil"/>
            </w:tcBorders>
            <w:shd w:val="clear" w:color="FFFFFF" w:fill="FFFFFF"/>
            <w:vAlign w:val="bottom"/>
            <w:hideMark/>
          </w:tcPr>
          <w:p w14:paraId="7C6E1DE2" w14:textId="77777777" w:rsidR="00A43992" w:rsidRDefault="00A43992" w:rsidP="007211E3">
            <w:pPr>
              <w:jc w:val="right"/>
              <w:rPr>
                <w:rFonts w:ascii="Arial" w:hAnsi="Arial" w:cs="Arial"/>
                <w:b/>
                <w:bCs/>
                <w:sz w:val="18"/>
                <w:szCs w:val="18"/>
              </w:rPr>
            </w:pPr>
            <w:r>
              <w:rPr>
                <w:rFonts w:ascii="Arial" w:hAnsi="Arial" w:cs="Arial"/>
                <w:b/>
                <w:bCs/>
                <w:sz w:val="18"/>
                <w:szCs w:val="18"/>
              </w:rPr>
              <w:t>$'000</w:t>
            </w:r>
          </w:p>
        </w:tc>
        <w:tc>
          <w:tcPr>
            <w:tcW w:w="236" w:type="dxa"/>
            <w:tcBorders>
              <w:top w:val="nil"/>
              <w:left w:val="nil"/>
              <w:bottom w:val="nil"/>
              <w:right w:val="nil"/>
            </w:tcBorders>
            <w:shd w:val="clear" w:color="FFFFFF" w:fill="FFFFFF"/>
            <w:noWrap/>
            <w:vAlign w:val="bottom"/>
            <w:hideMark/>
          </w:tcPr>
          <w:p w14:paraId="277D5506" w14:textId="77777777" w:rsidR="00A43992" w:rsidRDefault="00A43992" w:rsidP="007211E3">
            <w:pPr>
              <w:rPr>
                <w:rFonts w:ascii="Arial" w:hAnsi="Arial" w:cs="Arial"/>
                <w:sz w:val="18"/>
                <w:szCs w:val="18"/>
              </w:rPr>
            </w:pPr>
            <w:r>
              <w:rPr>
                <w:rFonts w:ascii="Arial" w:hAnsi="Arial" w:cs="Arial"/>
                <w:sz w:val="18"/>
                <w:szCs w:val="18"/>
              </w:rPr>
              <w:t> </w:t>
            </w:r>
          </w:p>
        </w:tc>
        <w:tc>
          <w:tcPr>
            <w:tcW w:w="1249" w:type="dxa"/>
            <w:tcBorders>
              <w:top w:val="nil"/>
              <w:left w:val="nil"/>
              <w:bottom w:val="nil"/>
              <w:right w:val="nil"/>
            </w:tcBorders>
            <w:shd w:val="clear" w:color="FFFFFF" w:fill="FFFFFF"/>
            <w:vAlign w:val="bottom"/>
            <w:hideMark/>
          </w:tcPr>
          <w:p w14:paraId="0E338CA4" w14:textId="77777777" w:rsidR="00A43992" w:rsidRDefault="00A43992" w:rsidP="007211E3">
            <w:pPr>
              <w:jc w:val="right"/>
              <w:rPr>
                <w:rFonts w:ascii="Arial" w:hAnsi="Arial" w:cs="Arial"/>
                <w:sz w:val="18"/>
                <w:szCs w:val="18"/>
              </w:rPr>
            </w:pPr>
            <w:r>
              <w:rPr>
                <w:rFonts w:ascii="Arial" w:hAnsi="Arial" w:cs="Arial"/>
                <w:sz w:val="18"/>
                <w:szCs w:val="18"/>
              </w:rPr>
              <w:t>$'000</w:t>
            </w:r>
          </w:p>
        </w:tc>
      </w:tr>
      <w:tr w:rsidR="00A43992" w14:paraId="5F3EA7B8" w14:textId="77777777" w:rsidTr="007211E3">
        <w:trPr>
          <w:trHeight w:val="255"/>
        </w:trPr>
        <w:tc>
          <w:tcPr>
            <w:tcW w:w="6353" w:type="dxa"/>
            <w:tcBorders>
              <w:top w:val="nil"/>
              <w:left w:val="nil"/>
              <w:bottom w:val="nil"/>
              <w:right w:val="nil"/>
            </w:tcBorders>
            <w:shd w:val="clear" w:color="FFFFFF" w:fill="FFFFFF"/>
            <w:noWrap/>
            <w:vAlign w:val="bottom"/>
            <w:hideMark/>
          </w:tcPr>
          <w:p w14:paraId="2B29288A" w14:textId="77777777" w:rsidR="00A43992" w:rsidRDefault="00A43992" w:rsidP="007211E3">
            <w:pPr>
              <w:rPr>
                <w:rFonts w:ascii="Arial" w:hAnsi="Arial" w:cs="Arial"/>
                <w:b/>
                <w:bCs/>
                <w:sz w:val="18"/>
                <w:szCs w:val="18"/>
                <w:u w:val="single"/>
              </w:rPr>
            </w:pPr>
            <w:bookmarkStart w:id="503" w:name="RANGE!D11:D20"/>
            <w:r>
              <w:rPr>
                <w:rFonts w:ascii="Arial" w:hAnsi="Arial" w:cs="Arial"/>
                <w:b/>
                <w:bCs/>
                <w:sz w:val="18"/>
                <w:szCs w:val="18"/>
                <w:u w:val="single"/>
              </w:rPr>
              <w:t>Note 5.2B: Net gains or losses on financial assets</w:t>
            </w:r>
            <w:bookmarkEnd w:id="503"/>
          </w:p>
        </w:tc>
        <w:tc>
          <w:tcPr>
            <w:tcW w:w="1249" w:type="dxa"/>
            <w:tcBorders>
              <w:top w:val="nil"/>
              <w:left w:val="nil"/>
              <w:bottom w:val="nil"/>
              <w:right w:val="nil"/>
            </w:tcBorders>
            <w:shd w:val="clear" w:color="FFFFFF" w:fill="FFFFFF"/>
            <w:noWrap/>
            <w:vAlign w:val="bottom"/>
            <w:hideMark/>
          </w:tcPr>
          <w:p w14:paraId="6505118B" w14:textId="77777777" w:rsidR="00A43992" w:rsidRDefault="00A43992" w:rsidP="007211E3">
            <w:pPr>
              <w:rPr>
                <w:rFonts w:ascii="Arial" w:hAnsi="Arial" w:cs="Arial"/>
                <w:sz w:val="18"/>
                <w:szCs w:val="18"/>
              </w:rPr>
            </w:pPr>
            <w:r>
              <w:rPr>
                <w:rFonts w:ascii="Arial" w:hAnsi="Arial" w:cs="Arial"/>
                <w:sz w:val="18"/>
                <w:szCs w:val="18"/>
              </w:rPr>
              <w:t> </w:t>
            </w:r>
          </w:p>
        </w:tc>
        <w:tc>
          <w:tcPr>
            <w:tcW w:w="236" w:type="dxa"/>
            <w:tcBorders>
              <w:top w:val="nil"/>
              <w:left w:val="nil"/>
              <w:bottom w:val="nil"/>
              <w:right w:val="nil"/>
            </w:tcBorders>
            <w:shd w:val="clear" w:color="FFFFFF" w:fill="FFFFFF"/>
            <w:noWrap/>
            <w:vAlign w:val="bottom"/>
            <w:hideMark/>
          </w:tcPr>
          <w:p w14:paraId="0E7EF26B" w14:textId="77777777" w:rsidR="00A43992" w:rsidRDefault="00A43992" w:rsidP="007211E3">
            <w:pPr>
              <w:rPr>
                <w:rFonts w:ascii="Arial" w:hAnsi="Arial" w:cs="Arial"/>
                <w:sz w:val="18"/>
                <w:szCs w:val="18"/>
              </w:rPr>
            </w:pPr>
            <w:r>
              <w:rPr>
                <w:rFonts w:ascii="Arial" w:hAnsi="Arial" w:cs="Arial"/>
                <w:sz w:val="18"/>
                <w:szCs w:val="18"/>
              </w:rPr>
              <w:t> </w:t>
            </w:r>
          </w:p>
        </w:tc>
        <w:tc>
          <w:tcPr>
            <w:tcW w:w="1249" w:type="dxa"/>
            <w:tcBorders>
              <w:top w:val="nil"/>
              <w:left w:val="nil"/>
              <w:bottom w:val="nil"/>
              <w:right w:val="nil"/>
            </w:tcBorders>
            <w:shd w:val="clear" w:color="FFFFFF" w:fill="FFFFFF"/>
            <w:noWrap/>
            <w:vAlign w:val="bottom"/>
            <w:hideMark/>
          </w:tcPr>
          <w:p w14:paraId="37269C15" w14:textId="77777777" w:rsidR="00A43992" w:rsidRDefault="00A43992" w:rsidP="007211E3">
            <w:pPr>
              <w:rPr>
                <w:rFonts w:ascii="Arial" w:hAnsi="Arial" w:cs="Arial"/>
                <w:sz w:val="18"/>
                <w:szCs w:val="18"/>
              </w:rPr>
            </w:pPr>
            <w:r>
              <w:rPr>
                <w:rFonts w:ascii="Arial" w:hAnsi="Arial" w:cs="Arial"/>
                <w:sz w:val="18"/>
                <w:szCs w:val="18"/>
              </w:rPr>
              <w:t> </w:t>
            </w:r>
          </w:p>
        </w:tc>
      </w:tr>
      <w:tr w:rsidR="00A43992" w14:paraId="73563A12" w14:textId="77777777" w:rsidTr="007211E3">
        <w:trPr>
          <w:trHeight w:val="255"/>
        </w:trPr>
        <w:tc>
          <w:tcPr>
            <w:tcW w:w="6353" w:type="dxa"/>
            <w:tcBorders>
              <w:top w:val="nil"/>
              <w:left w:val="nil"/>
              <w:bottom w:val="nil"/>
              <w:right w:val="nil"/>
            </w:tcBorders>
            <w:shd w:val="clear" w:color="FFFFFF" w:fill="FFFFFF"/>
            <w:vAlign w:val="bottom"/>
            <w:hideMark/>
          </w:tcPr>
          <w:p w14:paraId="01B532BC" w14:textId="77777777" w:rsidR="00A43992" w:rsidRDefault="00A43992" w:rsidP="007211E3">
            <w:pPr>
              <w:rPr>
                <w:rFonts w:ascii="Arial" w:hAnsi="Arial" w:cs="Arial"/>
                <w:b/>
                <w:bCs/>
                <w:sz w:val="18"/>
                <w:szCs w:val="18"/>
              </w:rPr>
            </w:pPr>
            <w:r>
              <w:rPr>
                <w:rFonts w:ascii="Arial" w:hAnsi="Arial" w:cs="Arial"/>
                <w:b/>
                <w:bCs/>
                <w:sz w:val="18"/>
                <w:szCs w:val="18"/>
              </w:rPr>
              <w:t>Held-to-maturity investments</w:t>
            </w:r>
          </w:p>
        </w:tc>
        <w:tc>
          <w:tcPr>
            <w:tcW w:w="1249" w:type="dxa"/>
            <w:tcBorders>
              <w:top w:val="nil"/>
              <w:left w:val="nil"/>
              <w:bottom w:val="nil"/>
              <w:right w:val="nil"/>
            </w:tcBorders>
            <w:shd w:val="clear" w:color="FFFFFF" w:fill="FFFFFF"/>
            <w:noWrap/>
            <w:vAlign w:val="bottom"/>
            <w:hideMark/>
          </w:tcPr>
          <w:p w14:paraId="1F681790" w14:textId="77777777" w:rsidR="00A43992" w:rsidRDefault="00A43992" w:rsidP="007211E3">
            <w:pPr>
              <w:rPr>
                <w:rFonts w:ascii="Arial" w:hAnsi="Arial" w:cs="Arial"/>
                <w:sz w:val="18"/>
                <w:szCs w:val="18"/>
              </w:rPr>
            </w:pPr>
            <w:r>
              <w:rPr>
                <w:rFonts w:ascii="Arial" w:hAnsi="Arial" w:cs="Arial"/>
                <w:sz w:val="18"/>
                <w:szCs w:val="18"/>
              </w:rPr>
              <w:t> </w:t>
            </w:r>
          </w:p>
        </w:tc>
        <w:tc>
          <w:tcPr>
            <w:tcW w:w="236" w:type="dxa"/>
            <w:tcBorders>
              <w:top w:val="nil"/>
              <w:left w:val="nil"/>
              <w:bottom w:val="nil"/>
              <w:right w:val="nil"/>
            </w:tcBorders>
            <w:shd w:val="clear" w:color="FFFFFF" w:fill="FFFFFF"/>
            <w:noWrap/>
            <w:vAlign w:val="bottom"/>
            <w:hideMark/>
          </w:tcPr>
          <w:p w14:paraId="775CAACE" w14:textId="77777777" w:rsidR="00A43992" w:rsidRDefault="00A43992" w:rsidP="007211E3">
            <w:pPr>
              <w:rPr>
                <w:rFonts w:ascii="Arial" w:hAnsi="Arial" w:cs="Arial"/>
                <w:sz w:val="18"/>
                <w:szCs w:val="18"/>
              </w:rPr>
            </w:pPr>
            <w:r>
              <w:rPr>
                <w:rFonts w:ascii="Arial" w:hAnsi="Arial" w:cs="Arial"/>
                <w:sz w:val="18"/>
                <w:szCs w:val="18"/>
              </w:rPr>
              <w:t> </w:t>
            </w:r>
          </w:p>
        </w:tc>
        <w:tc>
          <w:tcPr>
            <w:tcW w:w="1249" w:type="dxa"/>
            <w:tcBorders>
              <w:top w:val="nil"/>
              <w:left w:val="nil"/>
              <w:bottom w:val="nil"/>
              <w:right w:val="nil"/>
            </w:tcBorders>
            <w:shd w:val="clear" w:color="FFFFFF" w:fill="FFFFFF"/>
            <w:noWrap/>
            <w:vAlign w:val="bottom"/>
            <w:hideMark/>
          </w:tcPr>
          <w:p w14:paraId="39119A38" w14:textId="77777777" w:rsidR="00A43992" w:rsidRDefault="00A43992" w:rsidP="007211E3">
            <w:pPr>
              <w:rPr>
                <w:rFonts w:ascii="Arial" w:hAnsi="Arial" w:cs="Arial"/>
                <w:sz w:val="18"/>
                <w:szCs w:val="18"/>
              </w:rPr>
            </w:pPr>
            <w:r>
              <w:rPr>
                <w:rFonts w:ascii="Arial" w:hAnsi="Arial" w:cs="Arial"/>
                <w:sz w:val="18"/>
                <w:szCs w:val="18"/>
              </w:rPr>
              <w:t> </w:t>
            </w:r>
          </w:p>
        </w:tc>
      </w:tr>
      <w:tr w:rsidR="00A43992" w14:paraId="79CE3492" w14:textId="77777777" w:rsidTr="007211E3">
        <w:trPr>
          <w:trHeight w:val="255"/>
        </w:trPr>
        <w:tc>
          <w:tcPr>
            <w:tcW w:w="6353" w:type="dxa"/>
            <w:tcBorders>
              <w:top w:val="nil"/>
              <w:left w:val="nil"/>
              <w:bottom w:val="nil"/>
              <w:right w:val="nil"/>
            </w:tcBorders>
            <w:shd w:val="clear" w:color="FFFFFF" w:fill="FFFFFF"/>
            <w:vAlign w:val="bottom"/>
            <w:hideMark/>
          </w:tcPr>
          <w:p w14:paraId="4DFEBBAD" w14:textId="77777777" w:rsidR="00A43992" w:rsidRDefault="00A43992" w:rsidP="007211E3">
            <w:pPr>
              <w:ind w:firstLineChars="100" w:firstLine="180"/>
              <w:rPr>
                <w:rFonts w:ascii="Arial" w:hAnsi="Arial" w:cs="Arial"/>
                <w:sz w:val="18"/>
                <w:szCs w:val="18"/>
              </w:rPr>
            </w:pPr>
            <w:r>
              <w:rPr>
                <w:rFonts w:ascii="Arial" w:hAnsi="Arial" w:cs="Arial"/>
                <w:sz w:val="18"/>
                <w:szCs w:val="18"/>
              </w:rPr>
              <w:t>Interest revenue</w:t>
            </w:r>
          </w:p>
        </w:tc>
        <w:tc>
          <w:tcPr>
            <w:tcW w:w="1249" w:type="dxa"/>
            <w:tcBorders>
              <w:top w:val="nil"/>
              <w:left w:val="nil"/>
              <w:bottom w:val="nil"/>
              <w:right w:val="nil"/>
            </w:tcBorders>
            <w:shd w:val="clear" w:color="FFFFFF" w:fill="FFFFFF"/>
            <w:noWrap/>
            <w:vAlign w:val="bottom"/>
            <w:hideMark/>
          </w:tcPr>
          <w:p w14:paraId="4072AE7E" w14:textId="77777777" w:rsidR="00A43992" w:rsidRDefault="00A43992" w:rsidP="007211E3">
            <w:pPr>
              <w:jc w:val="right"/>
              <w:rPr>
                <w:rFonts w:ascii="Arial" w:hAnsi="Arial" w:cs="Arial"/>
                <w:b/>
                <w:bCs/>
                <w:sz w:val="18"/>
                <w:szCs w:val="18"/>
              </w:rPr>
            </w:pPr>
            <w:r>
              <w:rPr>
                <w:rFonts w:ascii="Arial" w:hAnsi="Arial" w:cs="Arial"/>
                <w:b/>
                <w:bCs/>
                <w:sz w:val="18"/>
                <w:szCs w:val="18"/>
              </w:rPr>
              <w:t>2,169</w:t>
            </w:r>
          </w:p>
        </w:tc>
        <w:tc>
          <w:tcPr>
            <w:tcW w:w="236" w:type="dxa"/>
            <w:tcBorders>
              <w:top w:val="nil"/>
              <w:left w:val="nil"/>
              <w:bottom w:val="nil"/>
              <w:right w:val="nil"/>
            </w:tcBorders>
            <w:shd w:val="clear" w:color="FFFFFF" w:fill="FFFFFF"/>
            <w:noWrap/>
            <w:vAlign w:val="bottom"/>
            <w:hideMark/>
          </w:tcPr>
          <w:p w14:paraId="0A9CFF07" w14:textId="77777777" w:rsidR="00A43992" w:rsidRDefault="00A43992" w:rsidP="007211E3">
            <w:pPr>
              <w:rPr>
                <w:rFonts w:ascii="Arial" w:hAnsi="Arial" w:cs="Arial"/>
                <w:sz w:val="18"/>
                <w:szCs w:val="18"/>
              </w:rPr>
            </w:pPr>
            <w:r>
              <w:rPr>
                <w:rFonts w:ascii="Arial" w:hAnsi="Arial" w:cs="Arial"/>
                <w:sz w:val="18"/>
                <w:szCs w:val="18"/>
              </w:rPr>
              <w:t> </w:t>
            </w:r>
          </w:p>
        </w:tc>
        <w:tc>
          <w:tcPr>
            <w:tcW w:w="1249" w:type="dxa"/>
            <w:tcBorders>
              <w:top w:val="nil"/>
              <w:left w:val="nil"/>
              <w:bottom w:val="nil"/>
              <w:right w:val="nil"/>
            </w:tcBorders>
            <w:shd w:val="clear" w:color="FFFFFF" w:fill="FFFFFF"/>
            <w:noWrap/>
            <w:vAlign w:val="bottom"/>
            <w:hideMark/>
          </w:tcPr>
          <w:p w14:paraId="43F06E8F" w14:textId="77777777" w:rsidR="00A43992" w:rsidRDefault="00A43992" w:rsidP="007211E3">
            <w:pPr>
              <w:jc w:val="right"/>
              <w:rPr>
                <w:rFonts w:ascii="Arial" w:hAnsi="Arial" w:cs="Arial"/>
                <w:sz w:val="18"/>
                <w:szCs w:val="18"/>
              </w:rPr>
            </w:pPr>
            <w:r>
              <w:rPr>
                <w:rFonts w:ascii="Arial" w:hAnsi="Arial" w:cs="Arial"/>
                <w:sz w:val="18"/>
                <w:szCs w:val="18"/>
              </w:rPr>
              <w:t xml:space="preserve"> -</w:t>
            </w:r>
          </w:p>
        </w:tc>
      </w:tr>
      <w:tr w:rsidR="00A43992" w14:paraId="0868159E" w14:textId="77777777" w:rsidTr="007211E3">
        <w:trPr>
          <w:trHeight w:val="255"/>
        </w:trPr>
        <w:tc>
          <w:tcPr>
            <w:tcW w:w="6353" w:type="dxa"/>
            <w:tcBorders>
              <w:top w:val="nil"/>
              <w:left w:val="nil"/>
              <w:bottom w:val="nil"/>
              <w:right w:val="nil"/>
            </w:tcBorders>
            <w:shd w:val="clear" w:color="FFFFFF" w:fill="FFFFFF"/>
            <w:vAlign w:val="bottom"/>
            <w:hideMark/>
          </w:tcPr>
          <w:p w14:paraId="76C3AFF5" w14:textId="77777777" w:rsidR="00A43992" w:rsidRDefault="00A43992" w:rsidP="007211E3">
            <w:pPr>
              <w:rPr>
                <w:rFonts w:ascii="Arial" w:hAnsi="Arial" w:cs="Arial"/>
                <w:b/>
                <w:bCs/>
                <w:sz w:val="18"/>
                <w:szCs w:val="18"/>
              </w:rPr>
            </w:pPr>
            <w:r>
              <w:rPr>
                <w:rFonts w:ascii="Arial" w:hAnsi="Arial" w:cs="Arial"/>
                <w:b/>
                <w:bCs/>
                <w:sz w:val="18"/>
                <w:szCs w:val="18"/>
              </w:rPr>
              <w:t>Net gain on held-to-maturity investments</w:t>
            </w:r>
          </w:p>
        </w:tc>
        <w:tc>
          <w:tcPr>
            <w:tcW w:w="1249" w:type="dxa"/>
            <w:tcBorders>
              <w:top w:val="single" w:sz="4" w:space="0" w:color="auto"/>
              <w:left w:val="nil"/>
              <w:bottom w:val="single" w:sz="4" w:space="0" w:color="auto"/>
              <w:right w:val="nil"/>
            </w:tcBorders>
            <w:shd w:val="clear" w:color="FFFFFF" w:fill="FFFFFF"/>
            <w:noWrap/>
            <w:vAlign w:val="bottom"/>
            <w:hideMark/>
          </w:tcPr>
          <w:p w14:paraId="4C425200" w14:textId="77777777" w:rsidR="00A43992" w:rsidRDefault="00A43992" w:rsidP="007211E3">
            <w:pPr>
              <w:jc w:val="right"/>
              <w:rPr>
                <w:rFonts w:ascii="Arial" w:hAnsi="Arial" w:cs="Arial"/>
                <w:b/>
                <w:bCs/>
                <w:sz w:val="18"/>
                <w:szCs w:val="18"/>
              </w:rPr>
            </w:pPr>
            <w:r>
              <w:rPr>
                <w:rFonts w:ascii="Arial" w:hAnsi="Arial" w:cs="Arial"/>
                <w:b/>
                <w:bCs/>
                <w:sz w:val="18"/>
                <w:szCs w:val="18"/>
              </w:rPr>
              <w:t>2,169</w:t>
            </w:r>
          </w:p>
        </w:tc>
        <w:tc>
          <w:tcPr>
            <w:tcW w:w="236" w:type="dxa"/>
            <w:tcBorders>
              <w:top w:val="nil"/>
              <w:left w:val="nil"/>
              <w:bottom w:val="nil"/>
              <w:right w:val="nil"/>
            </w:tcBorders>
            <w:shd w:val="clear" w:color="FFFFFF" w:fill="FFFFFF"/>
            <w:noWrap/>
            <w:vAlign w:val="bottom"/>
            <w:hideMark/>
          </w:tcPr>
          <w:p w14:paraId="2750978D" w14:textId="77777777" w:rsidR="00A43992" w:rsidRDefault="00A43992" w:rsidP="007211E3">
            <w:pPr>
              <w:rPr>
                <w:rFonts w:ascii="Arial" w:hAnsi="Arial" w:cs="Arial"/>
                <w:sz w:val="18"/>
                <w:szCs w:val="18"/>
              </w:rPr>
            </w:pPr>
            <w:r>
              <w:rPr>
                <w:rFonts w:ascii="Arial" w:hAnsi="Arial" w:cs="Arial"/>
                <w:sz w:val="18"/>
                <w:szCs w:val="18"/>
              </w:rPr>
              <w:t> </w:t>
            </w:r>
          </w:p>
        </w:tc>
        <w:tc>
          <w:tcPr>
            <w:tcW w:w="1249" w:type="dxa"/>
            <w:tcBorders>
              <w:top w:val="single" w:sz="4" w:space="0" w:color="auto"/>
              <w:left w:val="nil"/>
              <w:bottom w:val="single" w:sz="4" w:space="0" w:color="auto"/>
              <w:right w:val="nil"/>
            </w:tcBorders>
            <w:shd w:val="clear" w:color="FFFFFF" w:fill="FFFFFF"/>
            <w:noWrap/>
            <w:vAlign w:val="bottom"/>
            <w:hideMark/>
          </w:tcPr>
          <w:p w14:paraId="59D2D5FC" w14:textId="77777777" w:rsidR="00A43992" w:rsidRDefault="00A43992" w:rsidP="007211E3">
            <w:pPr>
              <w:jc w:val="right"/>
              <w:rPr>
                <w:rFonts w:ascii="Arial" w:hAnsi="Arial" w:cs="Arial"/>
                <w:sz w:val="18"/>
                <w:szCs w:val="18"/>
              </w:rPr>
            </w:pPr>
            <w:r>
              <w:rPr>
                <w:rFonts w:ascii="Arial" w:hAnsi="Arial" w:cs="Arial"/>
                <w:sz w:val="18"/>
                <w:szCs w:val="18"/>
              </w:rPr>
              <w:t>-</w:t>
            </w:r>
          </w:p>
        </w:tc>
      </w:tr>
      <w:tr w:rsidR="00A43992" w14:paraId="3A97EF65" w14:textId="77777777" w:rsidTr="007211E3">
        <w:trPr>
          <w:trHeight w:val="255"/>
        </w:trPr>
        <w:tc>
          <w:tcPr>
            <w:tcW w:w="6353" w:type="dxa"/>
            <w:tcBorders>
              <w:top w:val="nil"/>
              <w:left w:val="nil"/>
              <w:bottom w:val="nil"/>
              <w:right w:val="nil"/>
            </w:tcBorders>
            <w:shd w:val="clear" w:color="FFFFFF" w:fill="FFFFFF"/>
            <w:noWrap/>
            <w:vAlign w:val="bottom"/>
            <w:hideMark/>
          </w:tcPr>
          <w:p w14:paraId="1C12058C" w14:textId="77777777" w:rsidR="00A43992" w:rsidRDefault="00A43992" w:rsidP="007211E3">
            <w:pPr>
              <w:rPr>
                <w:rFonts w:ascii="Arial" w:hAnsi="Arial" w:cs="Arial"/>
                <w:sz w:val="18"/>
                <w:szCs w:val="18"/>
              </w:rPr>
            </w:pPr>
            <w:r>
              <w:rPr>
                <w:rFonts w:ascii="Arial" w:hAnsi="Arial" w:cs="Arial"/>
                <w:sz w:val="18"/>
                <w:szCs w:val="18"/>
              </w:rPr>
              <w:t> </w:t>
            </w:r>
          </w:p>
        </w:tc>
        <w:tc>
          <w:tcPr>
            <w:tcW w:w="1249" w:type="dxa"/>
            <w:tcBorders>
              <w:top w:val="nil"/>
              <w:left w:val="nil"/>
              <w:bottom w:val="nil"/>
              <w:right w:val="nil"/>
            </w:tcBorders>
            <w:shd w:val="clear" w:color="FFFFFF" w:fill="FFFFFF"/>
            <w:noWrap/>
            <w:vAlign w:val="bottom"/>
            <w:hideMark/>
          </w:tcPr>
          <w:p w14:paraId="7A6B99B5" w14:textId="77777777" w:rsidR="00A43992" w:rsidRDefault="00A43992" w:rsidP="007211E3">
            <w:pPr>
              <w:rPr>
                <w:rFonts w:ascii="Arial" w:hAnsi="Arial" w:cs="Arial"/>
                <w:b/>
                <w:bCs/>
                <w:sz w:val="18"/>
                <w:szCs w:val="18"/>
              </w:rPr>
            </w:pPr>
            <w:r>
              <w:rPr>
                <w:rFonts w:ascii="Arial" w:hAnsi="Arial" w:cs="Arial"/>
                <w:b/>
                <w:bCs/>
                <w:sz w:val="18"/>
                <w:szCs w:val="18"/>
              </w:rPr>
              <w:t> </w:t>
            </w:r>
          </w:p>
        </w:tc>
        <w:tc>
          <w:tcPr>
            <w:tcW w:w="236" w:type="dxa"/>
            <w:tcBorders>
              <w:top w:val="nil"/>
              <w:left w:val="nil"/>
              <w:bottom w:val="nil"/>
              <w:right w:val="nil"/>
            </w:tcBorders>
            <w:shd w:val="clear" w:color="FFFFFF" w:fill="FFFFFF"/>
            <w:noWrap/>
            <w:vAlign w:val="bottom"/>
            <w:hideMark/>
          </w:tcPr>
          <w:p w14:paraId="0CF4AA65" w14:textId="77777777" w:rsidR="00A43992" w:rsidRDefault="00A43992" w:rsidP="007211E3">
            <w:pPr>
              <w:rPr>
                <w:rFonts w:ascii="Arial" w:hAnsi="Arial" w:cs="Arial"/>
                <w:sz w:val="18"/>
                <w:szCs w:val="18"/>
              </w:rPr>
            </w:pPr>
            <w:r>
              <w:rPr>
                <w:rFonts w:ascii="Arial" w:hAnsi="Arial" w:cs="Arial"/>
                <w:sz w:val="18"/>
                <w:szCs w:val="18"/>
              </w:rPr>
              <w:t> </w:t>
            </w:r>
          </w:p>
        </w:tc>
        <w:tc>
          <w:tcPr>
            <w:tcW w:w="1249" w:type="dxa"/>
            <w:tcBorders>
              <w:top w:val="nil"/>
              <w:left w:val="nil"/>
              <w:bottom w:val="nil"/>
              <w:right w:val="nil"/>
            </w:tcBorders>
            <w:shd w:val="clear" w:color="FFFFFF" w:fill="FFFFFF"/>
            <w:noWrap/>
            <w:vAlign w:val="bottom"/>
            <w:hideMark/>
          </w:tcPr>
          <w:p w14:paraId="21399F10" w14:textId="77777777" w:rsidR="00A43992" w:rsidRDefault="00A43992" w:rsidP="007211E3">
            <w:pPr>
              <w:rPr>
                <w:rFonts w:ascii="Arial" w:hAnsi="Arial" w:cs="Arial"/>
                <w:sz w:val="18"/>
                <w:szCs w:val="18"/>
              </w:rPr>
            </w:pPr>
            <w:r>
              <w:rPr>
                <w:rFonts w:ascii="Arial" w:hAnsi="Arial" w:cs="Arial"/>
                <w:sz w:val="18"/>
                <w:szCs w:val="18"/>
              </w:rPr>
              <w:t> </w:t>
            </w:r>
          </w:p>
        </w:tc>
      </w:tr>
      <w:tr w:rsidR="00A43992" w14:paraId="43E1E2CE" w14:textId="77777777" w:rsidTr="007211E3">
        <w:trPr>
          <w:trHeight w:val="255"/>
        </w:trPr>
        <w:tc>
          <w:tcPr>
            <w:tcW w:w="6353" w:type="dxa"/>
            <w:tcBorders>
              <w:top w:val="nil"/>
              <w:left w:val="nil"/>
              <w:bottom w:val="nil"/>
              <w:right w:val="nil"/>
            </w:tcBorders>
            <w:shd w:val="clear" w:color="FFFFFF" w:fill="FFFFFF"/>
            <w:vAlign w:val="bottom"/>
            <w:hideMark/>
          </w:tcPr>
          <w:p w14:paraId="71C7D393" w14:textId="77777777" w:rsidR="00A43992" w:rsidRDefault="00A43992" w:rsidP="007211E3">
            <w:pPr>
              <w:rPr>
                <w:rFonts w:ascii="Arial" w:hAnsi="Arial" w:cs="Arial"/>
                <w:b/>
                <w:bCs/>
                <w:sz w:val="18"/>
                <w:szCs w:val="18"/>
              </w:rPr>
            </w:pPr>
            <w:r>
              <w:rPr>
                <w:rFonts w:ascii="Arial" w:hAnsi="Arial" w:cs="Arial"/>
                <w:b/>
                <w:bCs/>
                <w:sz w:val="18"/>
                <w:szCs w:val="18"/>
              </w:rPr>
              <w:t>Loans and receivables</w:t>
            </w:r>
          </w:p>
        </w:tc>
        <w:tc>
          <w:tcPr>
            <w:tcW w:w="1249" w:type="dxa"/>
            <w:tcBorders>
              <w:top w:val="nil"/>
              <w:left w:val="nil"/>
              <w:bottom w:val="nil"/>
              <w:right w:val="nil"/>
            </w:tcBorders>
            <w:shd w:val="clear" w:color="FFFFFF" w:fill="FFFFFF"/>
            <w:noWrap/>
            <w:vAlign w:val="bottom"/>
            <w:hideMark/>
          </w:tcPr>
          <w:p w14:paraId="1A0C9F19" w14:textId="77777777" w:rsidR="00A43992" w:rsidRDefault="00A43992" w:rsidP="007211E3">
            <w:pPr>
              <w:rPr>
                <w:rFonts w:ascii="Arial" w:hAnsi="Arial" w:cs="Arial"/>
                <w:b/>
                <w:bCs/>
                <w:sz w:val="18"/>
                <w:szCs w:val="18"/>
              </w:rPr>
            </w:pPr>
            <w:r>
              <w:rPr>
                <w:rFonts w:ascii="Arial" w:hAnsi="Arial" w:cs="Arial"/>
                <w:b/>
                <w:bCs/>
                <w:sz w:val="18"/>
                <w:szCs w:val="18"/>
              </w:rPr>
              <w:t> </w:t>
            </w:r>
          </w:p>
        </w:tc>
        <w:tc>
          <w:tcPr>
            <w:tcW w:w="236" w:type="dxa"/>
            <w:tcBorders>
              <w:top w:val="nil"/>
              <w:left w:val="nil"/>
              <w:bottom w:val="nil"/>
              <w:right w:val="nil"/>
            </w:tcBorders>
            <w:shd w:val="clear" w:color="FFFFFF" w:fill="FFFFFF"/>
            <w:noWrap/>
            <w:vAlign w:val="bottom"/>
            <w:hideMark/>
          </w:tcPr>
          <w:p w14:paraId="71403CC0" w14:textId="77777777" w:rsidR="00A43992" w:rsidRDefault="00A43992" w:rsidP="007211E3">
            <w:pPr>
              <w:rPr>
                <w:rFonts w:ascii="Arial" w:hAnsi="Arial" w:cs="Arial"/>
                <w:sz w:val="18"/>
                <w:szCs w:val="18"/>
              </w:rPr>
            </w:pPr>
            <w:r>
              <w:rPr>
                <w:rFonts w:ascii="Arial" w:hAnsi="Arial" w:cs="Arial"/>
                <w:sz w:val="18"/>
                <w:szCs w:val="18"/>
              </w:rPr>
              <w:t> </w:t>
            </w:r>
          </w:p>
        </w:tc>
        <w:tc>
          <w:tcPr>
            <w:tcW w:w="1249" w:type="dxa"/>
            <w:tcBorders>
              <w:top w:val="nil"/>
              <w:left w:val="nil"/>
              <w:bottom w:val="nil"/>
              <w:right w:val="nil"/>
            </w:tcBorders>
            <w:shd w:val="clear" w:color="FFFFFF" w:fill="FFFFFF"/>
            <w:noWrap/>
            <w:vAlign w:val="bottom"/>
            <w:hideMark/>
          </w:tcPr>
          <w:p w14:paraId="48677435" w14:textId="77777777" w:rsidR="00A43992" w:rsidRDefault="00A43992" w:rsidP="007211E3">
            <w:pPr>
              <w:rPr>
                <w:rFonts w:ascii="Arial" w:hAnsi="Arial" w:cs="Arial"/>
                <w:sz w:val="18"/>
                <w:szCs w:val="18"/>
              </w:rPr>
            </w:pPr>
            <w:r>
              <w:rPr>
                <w:rFonts w:ascii="Arial" w:hAnsi="Arial" w:cs="Arial"/>
                <w:sz w:val="18"/>
                <w:szCs w:val="18"/>
              </w:rPr>
              <w:t> </w:t>
            </w:r>
          </w:p>
        </w:tc>
      </w:tr>
      <w:tr w:rsidR="00A43992" w14:paraId="59E91191" w14:textId="77777777" w:rsidTr="007211E3">
        <w:trPr>
          <w:trHeight w:val="255"/>
        </w:trPr>
        <w:tc>
          <w:tcPr>
            <w:tcW w:w="6353" w:type="dxa"/>
            <w:tcBorders>
              <w:top w:val="nil"/>
              <w:left w:val="nil"/>
              <w:bottom w:val="nil"/>
              <w:right w:val="nil"/>
            </w:tcBorders>
            <w:shd w:val="clear" w:color="FFFFFF" w:fill="FFFFFF"/>
            <w:vAlign w:val="bottom"/>
            <w:hideMark/>
          </w:tcPr>
          <w:p w14:paraId="4BC6D29A" w14:textId="77777777" w:rsidR="00A43992" w:rsidRDefault="00A43992" w:rsidP="007211E3">
            <w:pPr>
              <w:rPr>
                <w:rFonts w:ascii="Arial" w:hAnsi="Arial" w:cs="Arial"/>
                <w:sz w:val="18"/>
                <w:szCs w:val="18"/>
              </w:rPr>
            </w:pPr>
            <w:r>
              <w:rPr>
                <w:rFonts w:ascii="Arial" w:hAnsi="Arial" w:cs="Arial"/>
                <w:sz w:val="18"/>
                <w:szCs w:val="18"/>
              </w:rPr>
              <w:t>Interest revenue</w:t>
            </w:r>
          </w:p>
        </w:tc>
        <w:tc>
          <w:tcPr>
            <w:tcW w:w="1249" w:type="dxa"/>
            <w:tcBorders>
              <w:top w:val="nil"/>
              <w:left w:val="nil"/>
              <w:bottom w:val="nil"/>
              <w:right w:val="nil"/>
            </w:tcBorders>
            <w:shd w:val="clear" w:color="FFFFFF" w:fill="FFFFFF"/>
            <w:noWrap/>
            <w:vAlign w:val="bottom"/>
            <w:hideMark/>
          </w:tcPr>
          <w:p w14:paraId="258A28A7" w14:textId="77777777" w:rsidR="00A43992" w:rsidRDefault="00A43992" w:rsidP="007211E3">
            <w:pPr>
              <w:jc w:val="right"/>
              <w:rPr>
                <w:rFonts w:ascii="Arial" w:hAnsi="Arial" w:cs="Arial"/>
                <w:b/>
                <w:bCs/>
                <w:sz w:val="18"/>
                <w:szCs w:val="18"/>
              </w:rPr>
            </w:pPr>
            <w:r>
              <w:rPr>
                <w:rFonts w:ascii="Arial" w:hAnsi="Arial" w:cs="Arial"/>
                <w:b/>
                <w:bCs/>
                <w:sz w:val="18"/>
                <w:szCs w:val="18"/>
              </w:rPr>
              <w:t>4,050</w:t>
            </w:r>
          </w:p>
        </w:tc>
        <w:tc>
          <w:tcPr>
            <w:tcW w:w="236" w:type="dxa"/>
            <w:tcBorders>
              <w:top w:val="nil"/>
              <w:left w:val="nil"/>
              <w:bottom w:val="nil"/>
              <w:right w:val="nil"/>
            </w:tcBorders>
            <w:shd w:val="clear" w:color="FFFFFF" w:fill="FFFFFF"/>
            <w:noWrap/>
            <w:vAlign w:val="bottom"/>
            <w:hideMark/>
          </w:tcPr>
          <w:p w14:paraId="404645D1" w14:textId="77777777" w:rsidR="00A43992" w:rsidRDefault="00A43992" w:rsidP="007211E3">
            <w:pPr>
              <w:rPr>
                <w:rFonts w:ascii="Arial" w:hAnsi="Arial" w:cs="Arial"/>
                <w:sz w:val="18"/>
                <w:szCs w:val="18"/>
              </w:rPr>
            </w:pPr>
            <w:r>
              <w:rPr>
                <w:rFonts w:ascii="Arial" w:hAnsi="Arial" w:cs="Arial"/>
                <w:sz w:val="18"/>
                <w:szCs w:val="18"/>
              </w:rPr>
              <w:t> </w:t>
            </w:r>
          </w:p>
        </w:tc>
        <w:tc>
          <w:tcPr>
            <w:tcW w:w="1249" w:type="dxa"/>
            <w:tcBorders>
              <w:top w:val="nil"/>
              <w:left w:val="nil"/>
              <w:bottom w:val="nil"/>
              <w:right w:val="nil"/>
            </w:tcBorders>
            <w:shd w:val="clear" w:color="FFFFFF" w:fill="FFFFFF"/>
            <w:noWrap/>
            <w:vAlign w:val="bottom"/>
            <w:hideMark/>
          </w:tcPr>
          <w:p w14:paraId="62F130C6" w14:textId="77777777" w:rsidR="00A43992" w:rsidRDefault="00A43992" w:rsidP="007211E3">
            <w:pPr>
              <w:jc w:val="right"/>
              <w:rPr>
                <w:rFonts w:ascii="Arial" w:hAnsi="Arial" w:cs="Arial"/>
                <w:sz w:val="18"/>
                <w:szCs w:val="18"/>
              </w:rPr>
            </w:pPr>
            <w:r>
              <w:rPr>
                <w:rFonts w:ascii="Arial" w:hAnsi="Arial" w:cs="Arial"/>
                <w:sz w:val="18"/>
                <w:szCs w:val="18"/>
              </w:rPr>
              <w:t xml:space="preserve">4,705 </w:t>
            </w:r>
          </w:p>
        </w:tc>
      </w:tr>
      <w:tr w:rsidR="00A43992" w14:paraId="2B9FFE8C" w14:textId="77777777" w:rsidTr="007211E3">
        <w:trPr>
          <w:trHeight w:val="255"/>
        </w:trPr>
        <w:tc>
          <w:tcPr>
            <w:tcW w:w="6353" w:type="dxa"/>
            <w:tcBorders>
              <w:top w:val="nil"/>
              <w:left w:val="nil"/>
              <w:bottom w:val="nil"/>
              <w:right w:val="nil"/>
            </w:tcBorders>
            <w:shd w:val="clear" w:color="FFFFFF" w:fill="FFFFFF"/>
            <w:vAlign w:val="bottom"/>
            <w:hideMark/>
          </w:tcPr>
          <w:p w14:paraId="5D53C842" w14:textId="77777777" w:rsidR="00A43992" w:rsidRDefault="00A43992" w:rsidP="007211E3">
            <w:pPr>
              <w:rPr>
                <w:rFonts w:ascii="Arial" w:hAnsi="Arial" w:cs="Arial"/>
                <w:b/>
                <w:bCs/>
                <w:sz w:val="18"/>
                <w:szCs w:val="18"/>
              </w:rPr>
            </w:pPr>
            <w:r>
              <w:rPr>
                <w:rFonts w:ascii="Arial" w:hAnsi="Arial" w:cs="Arial"/>
                <w:b/>
                <w:bCs/>
                <w:sz w:val="18"/>
                <w:szCs w:val="18"/>
              </w:rPr>
              <w:t>Net gain on loans and receivables</w:t>
            </w:r>
          </w:p>
        </w:tc>
        <w:tc>
          <w:tcPr>
            <w:tcW w:w="1249" w:type="dxa"/>
            <w:tcBorders>
              <w:top w:val="single" w:sz="4" w:space="0" w:color="auto"/>
              <w:left w:val="nil"/>
              <w:bottom w:val="single" w:sz="4" w:space="0" w:color="auto"/>
              <w:right w:val="nil"/>
            </w:tcBorders>
            <w:shd w:val="clear" w:color="FFFFFF" w:fill="FFFFFF"/>
            <w:noWrap/>
            <w:vAlign w:val="bottom"/>
            <w:hideMark/>
          </w:tcPr>
          <w:p w14:paraId="72366AFC" w14:textId="77777777" w:rsidR="00A43992" w:rsidRDefault="00A43992" w:rsidP="007211E3">
            <w:pPr>
              <w:jc w:val="right"/>
              <w:rPr>
                <w:rFonts w:ascii="Arial" w:hAnsi="Arial" w:cs="Arial"/>
                <w:b/>
                <w:bCs/>
                <w:sz w:val="18"/>
                <w:szCs w:val="18"/>
              </w:rPr>
            </w:pPr>
            <w:r>
              <w:rPr>
                <w:rFonts w:ascii="Arial" w:hAnsi="Arial" w:cs="Arial"/>
                <w:b/>
                <w:bCs/>
                <w:sz w:val="18"/>
                <w:szCs w:val="18"/>
              </w:rPr>
              <w:t>4,050</w:t>
            </w:r>
          </w:p>
        </w:tc>
        <w:tc>
          <w:tcPr>
            <w:tcW w:w="236" w:type="dxa"/>
            <w:tcBorders>
              <w:top w:val="nil"/>
              <w:left w:val="nil"/>
              <w:bottom w:val="nil"/>
              <w:right w:val="nil"/>
            </w:tcBorders>
            <w:shd w:val="clear" w:color="FFFFFF" w:fill="FFFFFF"/>
            <w:noWrap/>
            <w:vAlign w:val="bottom"/>
            <w:hideMark/>
          </w:tcPr>
          <w:p w14:paraId="2CB32BAD" w14:textId="77777777" w:rsidR="00A43992" w:rsidRDefault="00A43992" w:rsidP="007211E3">
            <w:pPr>
              <w:rPr>
                <w:rFonts w:ascii="Arial" w:hAnsi="Arial" w:cs="Arial"/>
                <w:sz w:val="18"/>
                <w:szCs w:val="18"/>
              </w:rPr>
            </w:pPr>
            <w:r>
              <w:rPr>
                <w:rFonts w:ascii="Arial" w:hAnsi="Arial" w:cs="Arial"/>
                <w:sz w:val="18"/>
                <w:szCs w:val="18"/>
              </w:rPr>
              <w:t> </w:t>
            </w:r>
          </w:p>
        </w:tc>
        <w:tc>
          <w:tcPr>
            <w:tcW w:w="1249" w:type="dxa"/>
            <w:tcBorders>
              <w:top w:val="single" w:sz="4" w:space="0" w:color="auto"/>
              <w:left w:val="nil"/>
              <w:bottom w:val="single" w:sz="4" w:space="0" w:color="auto"/>
              <w:right w:val="nil"/>
            </w:tcBorders>
            <w:shd w:val="clear" w:color="FFFFFF" w:fill="FFFFFF"/>
            <w:noWrap/>
            <w:vAlign w:val="bottom"/>
            <w:hideMark/>
          </w:tcPr>
          <w:p w14:paraId="709F5580" w14:textId="77777777" w:rsidR="00A43992" w:rsidRDefault="00A43992" w:rsidP="007211E3">
            <w:pPr>
              <w:jc w:val="right"/>
              <w:rPr>
                <w:rFonts w:ascii="Arial" w:hAnsi="Arial" w:cs="Arial"/>
                <w:sz w:val="18"/>
                <w:szCs w:val="18"/>
              </w:rPr>
            </w:pPr>
            <w:r>
              <w:rPr>
                <w:rFonts w:ascii="Arial" w:hAnsi="Arial" w:cs="Arial"/>
                <w:sz w:val="18"/>
                <w:szCs w:val="18"/>
              </w:rPr>
              <w:t>4,705</w:t>
            </w:r>
          </w:p>
        </w:tc>
      </w:tr>
      <w:tr w:rsidR="00A43992" w14:paraId="763283CE" w14:textId="77777777" w:rsidTr="007211E3">
        <w:trPr>
          <w:trHeight w:val="255"/>
        </w:trPr>
        <w:tc>
          <w:tcPr>
            <w:tcW w:w="6353" w:type="dxa"/>
            <w:tcBorders>
              <w:top w:val="nil"/>
              <w:left w:val="nil"/>
              <w:bottom w:val="nil"/>
              <w:right w:val="nil"/>
            </w:tcBorders>
            <w:shd w:val="clear" w:color="FFFFFF" w:fill="FFFFFF"/>
            <w:noWrap/>
            <w:vAlign w:val="bottom"/>
            <w:hideMark/>
          </w:tcPr>
          <w:p w14:paraId="33F4FBD4" w14:textId="77777777" w:rsidR="00A43992" w:rsidRDefault="00A43992" w:rsidP="007211E3">
            <w:pPr>
              <w:rPr>
                <w:rFonts w:ascii="Arial" w:hAnsi="Arial" w:cs="Arial"/>
                <w:sz w:val="18"/>
                <w:szCs w:val="18"/>
              </w:rPr>
            </w:pPr>
            <w:r>
              <w:rPr>
                <w:rFonts w:ascii="Arial" w:hAnsi="Arial" w:cs="Arial"/>
                <w:sz w:val="18"/>
                <w:szCs w:val="18"/>
              </w:rPr>
              <w:t> </w:t>
            </w:r>
          </w:p>
        </w:tc>
        <w:tc>
          <w:tcPr>
            <w:tcW w:w="1249" w:type="dxa"/>
            <w:tcBorders>
              <w:top w:val="nil"/>
              <w:left w:val="nil"/>
              <w:bottom w:val="nil"/>
              <w:right w:val="nil"/>
            </w:tcBorders>
            <w:shd w:val="clear" w:color="FFFFFF" w:fill="FFFFFF"/>
            <w:noWrap/>
            <w:vAlign w:val="bottom"/>
            <w:hideMark/>
          </w:tcPr>
          <w:p w14:paraId="586DCBFB" w14:textId="77777777" w:rsidR="00A43992" w:rsidRDefault="00A43992" w:rsidP="007211E3">
            <w:pPr>
              <w:rPr>
                <w:rFonts w:ascii="Arial" w:hAnsi="Arial" w:cs="Arial"/>
                <w:b/>
                <w:bCs/>
                <w:sz w:val="18"/>
                <w:szCs w:val="18"/>
              </w:rPr>
            </w:pPr>
            <w:r>
              <w:rPr>
                <w:rFonts w:ascii="Arial" w:hAnsi="Arial" w:cs="Arial"/>
                <w:b/>
                <w:bCs/>
                <w:sz w:val="18"/>
                <w:szCs w:val="18"/>
              </w:rPr>
              <w:t> </w:t>
            </w:r>
          </w:p>
        </w:tc>
        <w:tc>
          <w:tcPr>
            <w:tcW w:w="236" w:type="dxa"/>
            <w:tcBorders>
              <w:top w:val="nil"/>
              <w:left w:val="nil"/>
              <w:bottom w:val="nil"/>
              <w:right w:val="nil"/>
            </w:tcBorders>
            <w:shd w:val="clear" w:color="FFFFFF" w:fill="FFFFFF"/>
            <w:noWrap/>
            <w:vAlign w:val="bottom"/>
            <w:hideMark/>
          </w:tcPr>
          <w:p w14:paraId="07373F78" w14:textId="77777777" w:rsidR="00A43992" w:rsidRDefault="00A43992" w:rsidP="007211E3">
            <w:pPr>
              <w:rPr>
                <w:rFonts w:ascii="Arial" w:hAnsi="Arial" w:cs="Arial"/>
                <w:sz w:val="18"/>
                <w:szCs w:val="18"/>
              </w:rPr>
            </w:pPr>
            <w:r>
              <w:rPr>
                <w:rFonts w:ascii="Arial" w:hAnsi="Arial" w:cs="Arial"/>
                <w:sz w:val="18"/>
                <w:szCs w:val="18"/>
              </w:rPr>
              <w:t> </w:t>
            </w:r>
          </w:p>
        </w:tc>
        <w:tc>
          <w:tcPr>
            <w:tcW w:w="1249" w:type="dxa"/>
            <w:tcBorders>
              <w:top w:val="nil"/>
              <w:left w:val="nil"/>
              <w:bottom w:val="nil"/>
              <w:right w:val="nil"/>
            </w:tcBorders>
            <w:shd w:val="clear" w:color="FFFFFF" w:fill="FFFFFF"/>
            <w:noWrap/>
            <w:vAlign w:val="bottom"/>
            <w:hideMark/>
          </w:tcPr>
          <w:p w14:paraId="6D8A858E" w14:textId="77777777" w:rsidR="00A43992" w:rsidRDefault="00A43992" w:rsidP="007211E3">
            <w:pPr>
              <w:rPr>
                <w:rFonts w:ascii="Arial" w:hAnsi="Arial" w:cs="Arial"/>
                <w:sz w:val="18"/>
                <w:szCs w:val="18"/>
              </w:rPr>
            </w:pPr>
            <w:r>
              <w:rPr>
                <w:rFonts w:ascii="Arial" w:hAnsi="Arial" w:cs="Arial"/>
                <w:sz w:val="18"/>
                <w:szCs w:val="18"/>
              </w:rPr>
              <w:t> </w:t>
            </w:r>
          </w:p>
        </w:tc>
      </w:tr>
      <w:tr w:rsidR="00A43992" w14:paraId="6FC7B9C7" w14:textId="77777777" w:rsidTr="007211E3">
        <w:trPr>
          <w:trHeight w:val="255"/>
        </w:trPr>
        <w:tc>
          <w:tcPr>
            <w:tcW w:w="6353" w:type="dxa"/>
            <w:tcBorders>
              <w:top w:val="nil"/>
              <w:left w:val="nil"/>
              <w:bottom w:val="nil"/>
              <w:right w:val="nil"/>
            </w:tcBorders>
            <w:shd w:val="clear" w:color="FFFFFF" w:fill="FFFFFF"/>
            <w:vAlign w:val="bottom"/>
            <w:hideMark/>
          </w:tcPr>
          <w:p w14:paraId="0AF77358" w14:textId="77777777" w:rsidR="00A43992" w:rsidRDefault="00A43992" w:rsidP="007211E3">
            <w:pPr>
              <w:rPr>
                <w:rFonts w:ascii="Arial" w:hAnsi="Arial" w:cs="Arial"/>
                <w:b/>
                <w:bCs/>
                <w:sz w:val="18"/>
                <w:szCs w:val="18"/>
              </w:rPr>
            </w:pPr>
            <w:r>
              <w:rPr>
                <w:rFonts w:ascii="Arial" w:hAnsi="Arial" w:cs="Arial"/>
                <w:b/>
                <w:bCs/>
                <w:sz w:val="18"/>
                <w:szCs w:val="18"/>
              </w:rPr>
              <w:t>Net gain from financial assets</w:t>
            </w:r>
          </w:p>
        </w:tc>
        <w:tc>
          <w:tcPr>
            <w:tcW w:w="1249" w:type="dxa"/>
            <w:tcBorders>
              <w:top w:val="single" w:sz="4" w:space="0" w:color="auto"/>
              <w:left w:val="nil"/>
              <w:bottom w:val="single" w:sz="4" w:space="0" w:color="auto"/>
              <w:right w:val="nil"/>
            </w:tcBorders>
            <w:shd w:val="clear" w:color="FFFFFF" w:fill="FFFFFF"/>
            <w:noWrap/>
            <w:vAlign w:val="bottom"/>
            <w:hideMark/>
          </w:tcPr>
          <w:p w14:paraId="5210B409" w14:textId="77777777" w:rsidR="00A43992" w:rsidRDefault="00A43992" w:rsidP="007211E3">
            <w:pPr>
              <w:jc w:val="right"/>
              <w:rPr>
                <w:rFonts w:ascii="Arial" w:hAnsi="Arial" w:cs="Arial"/>
                <w:b/>
                <w:bCs/>
                <w:sz w:val="18"/>
                <w:szCs w:val="18"/>
              </w:rPr>
            </w:pPr>
            <w:r>
              <w:rPr>
                <w:rFonts w:ascii="Arial" w:hAnsi="Arial" w:cs="Arial"/>
                <w:b/>
                <w:bCs/>
                <w:sz w:val="18"/>
                <w:szCs w:val="18"/>
              </w:rPr>
              <w:t>6,219</w:t>
            </w:r>
          </w:p>
        </w:tc>
        <w:tc>
          <w:tcPr>
            <w:tcW w:w="236" w:type="dxa"/>
            <w:tcBorders>
              <w:top w:val="nil"/>
              <w:left w:val="nil"/>
              <w:bottom w:val="nil"/>
              <w:right w:val="nil"/>
            </w:tcBorders>
            <w:shd w:val="clear" w:color="FFFFFF" w:fill="FFFFFF"/>
            <w:noWrap/>
            <w:vAlign w:val="bottom"/>
            <w:hideMark/>
          </w:tcPr>
          <w:p w14:paraId="65D79888" w14:textId="77777777" w:rsidR="00A43992" w:rsidRDefault="00A43992" w:rsidP="007211E3">
            <w:pPr>
              <w:rPr>
                <w:rFonts w:ascii="Arial" w:hAnsi="Arial" w:cs="Arial"/>
                <w:sz w:val="18"/>
                <w:szCs w:val="18"/>
              </w:rPr>
            </w:pPr>
            <w:r>
              <w:rPr>
                <w:rFonts w:ascii="Arial" w:hAnsi="Arial" w:cs="Arial"/>
                <w:sz w:val="18"/>
                <w:szCs w:val="18"/>
              </w:rPr>
              <w:t> </w:t>
            </w:r>
          </w:p>
        </w:tc>
        <w:tc>
          <w:tcPr>
            <w:tcW w:w="1249" w:type="dxa"/>
            <w:tcBorders>
              <w:top w:val="single" w:sz="4" w:space="0" w:color="auto"/>
              <w:left w:val="nil"/>
              <w:bottom w:val="single" w:sz="4" w:space="0" w:color="auto"/>
              <w:right w:val="nil"/>
            </w:tcBorders>
            <w:shd w:val="clear" w:color="FFFFFF" w:fill="FFFFFF"/>
            <w:noWrap/>
            <w:vAlign w:val="bottom"/>
            <w:hideMark/>
          </w:tcPr>
          <w:p w14:paraId="1B037C64" w14:textId="77777777" w:rsidR="00A43992" w:rsidRDefault="00A43992" w:rsidP="007211E3">
            <w:pPr>
              <w:jc w:val="right"/>
              <w:rPr>
                <w:rFonts w:ascii="Arial" w:hAnsi="Arial" w:cs="Arial"/>
                <w:sz w:val="18"/>
                <w:szCs w:val="18"/>
              </w:rPr>
            </w:pPr>
            <w:r>
              <w:rPr>
                <w:rFonts w:ascii="Arial" w:hAnsi="Arial" w:cs="Arial"/>
                <w:sz w:val="18"/>
                <w:szCs w:val="18"/>
              </w:rPr>
              <w:t>4,705</w:t>
            </w:r>
          </w:p>
        </w:tc>
      </w:tr>
    </w:tbl>
    <w:p w14:paraId="5C2F0300" w14:textId="77777777" w:rsidR="00A43992" w:rsidRPr="005E5430" w:rsidRDefault="00A43992" w:rsidP="00A43992">
      <w:bookmarkStart w:id="504" w:name="RANGE!D7:G29"/>
      <w:bookmarkStart w:id="505" w:name="RANGE!D6:G28"/>
      <w:bookmarkStart w:id="506" w:name="RANGE!D6:D29"/>
      <w:bookmarkStart w:id="507" w:name="RANGE!D6:G29"/>
      <w:bookmarkStart w:id="508" w:name="RANGE!D7:G16"/>
      <w:bookmarkEnd w:id="504"/>
      <w:bookmarkEnd w:id="505"/>
      <w:bookmarkEnd w:id="506"/>
      <w:bookmarkEnd w:id="507"/>
      <w:bookmarkEnd w:id="508"/>
    </w:p>
    <w:p w14:paraId="1292ECA5" w14:textId="77777777" w:rsidR="00A43992" w:rsidRPr="005E5430" w:rsidRDefault="00A43992" w:rsidP="00A43992">
      <w:pPr>
        <w:ind w:left="284" w:hanging="142"/>
        <w:outlineLvl w:val="0"/>
        <w:rPr>
          <w:rFonts w:ascii="Arial" w:hAnsi="Arial" w:cs="Arial"/>
          <w:sz w:val="18"/>
          <w:szCs w:val="18"/>
        </w:rPr>
      </w:pPr>
      <w:r w:rsidRPr="005E5430">
        <w:rPr>
          <w:rFonts w:ascii="Arial" w:hAnsi="Arial" w:cs="Arial"/>
          <w:sz w:val="18"/>
          <w:szCs w:val="18"/>
        </w:rPr>
        <w:t>There were no</w:t>
      </w:r>
      <w:r>
        <w:rPr>
          <w:rFonts w:ascii="Arial" w:hAnsi="Arial" w:cs="Arial"/>
          <w:sz w:val="18"/>
          <w:szCs w:val="18"/>
        </w:rPr>
        <w:t xml:space="preserve"> other</w:t>
      </w:r>
      <w:r w:rsidRPr="005E5430">
        <w:rPr>
          <w:rFonts w:ascii="Arial" w:hAnsi="Arial" w:cs="Arial"/>
          <w:sz w:val="18"/>
          <w:szCs w:val="18"/>
        </w:rPr>
        <w:t xml:space="preserve"> gains or losses on financial liabilities</w:t>
      </w:r>
      <w:r>
        <w:rPr>
          <w:rFonts w:ascii="Arial" w:hAnsi="Arial" w:cs="Arial"/>
          <w:sz w:val="18"/>
          <w:szCs w:val="18"/>
        </w:rPr>
        <w:t xml:space="preserve"> or assets</w:t>
      </w:r>
      <w:r w:rsidRPr="005E5430">
        <w:rPr>
          <w:rFonts w:ascii="Arial" w:hAnsi="Arial" w:cs="Arial"/>
          <w:sz w:val="18"/>
          <w:szCs w:val="18"/>
        </w:rPr>
        <w:t xml:space="preserve"> during the period. </w:t>
      </w:r>
    </w:p>
    <w:p w14:paraId="298D4105" w14:textId="77777777" w:rsidR="00A43992" w:rsidRPr="005E5430" w:rsidRDefault="00A43992" w:rsidP="00A43992">
      <w:pPr>
        <w:spacing w:line="240" w:lineRule="auto"/>
      </w:pPr>
      <w:bookmarkStart w:id="509" w:name="RANGE!D7:H24"/>
      <w:bookmarkStart w:id="510" w:name="RANGE!D7:H23"/>
      <w:bookmarkStart w:id="511" w:name="RANGE!D7:H19"/>
      <w:bookmarkStart w:id="512" w:name="RANGE!D6:H18"/>
      <w:bookmarkStart w:id="513" w:name="RANGE!D6:H19"/>
      <w:bookmarkStart w:id="514" w:name="RANGE!D7:F17"/>
      <w:bookmarkStart w:id="515" w:name="RANGE!D6:F17"/>
      <w:bookmarkEnd w:id="509"/>
      <w:bookmarkEnd w:id="510"/>
      <w:bookmarkEnd w:id="511"/>
      <w:bookmarkEnd w:id="512"/>
      <w:bookmarkEnd w:id="513"/>
      <w:bookmarkEnd w:id="514"/>
      <w:bookmarkEnd w:id="515"/>
    </w:p>
    <w:tbl>
      <w:tblPr>
        <w:tblW w:w="9087" w:type="dxa"/>
        <w:tblInd w:w="80" w:type="dxa"/>
        <w:tblLayout w:type="fixed"/>
        <w:tblLook w:val="04A0" w:firstRow="1" w:lastRow="0" w:firstColumn="1" w:lastColumn="0" w:noHBand="0" w:noVBand="1"/>
      </w:tblPr>
      <w:tblGrid>
        <w:gridCol w:w="2773"/>
        <w:gridCol w:w="1224"/>
        <w:gridCol w:w="1321"/>
        <w:gridCol w:w="1321"/>
        <w:gridCol w:w="1224"/>
        <w:gridCol w:w="1224"/>
      </w:tblGrid>
      <w:tr w:rsidR="00A43992" w14:paraId="07193ED6" w14:textId="77777777" w:rsidTr="007211E3">
        <w:trPr>
          <w:trHeight w:val="255"/>
        </w:trPr>
        <w:tc>
          <w:tcPr>
            <w:tcW w:w="2773" w:type="dxa"/>
            <w:tcBorders>
              <w:top w:val="nil"/>
              <w:left w:val="nil"/>
              <w:bottom w:val="nil"/>
              <w:right w:val="nil"/>
            </w:tcBorders>
            <w:shd w:val="clear" w:color="FFFFFF" w:fill="FFFFFF"/>
            <w:noWrap/>
            <w:vAlign w:val="bottom"/>
            <w:hideMark/>
          </w:tcPr>
          <w:p w14:paraId="2B0436CF" w14:textId="77777777" w:rsidR="00A43992" w:rsidRDefault="00A43992" w:rsidP="007211E3">
            <w:pPr>
              <w:rPr>
                <w:rFonts w:ascii="Arial" w:hAnsi="Arial" w:cs="Arial"/>
                <w:b/>
                <w:bCs/>
                <w:sz w:val="18"/>
                <w:szCs w:val="18"/>
                <w:u w:val="single"/>
              </w:rPr>
            </w:pPr>
            <w:bookmarkStart w:id="516" w:name="RANGE!D7:I24"/>
            <w:bookmarkStart w:id="517" w:name="Note_FIHTABLE1" w:colFirst="0" w:colLast="0"/>
            <w:r>
              <w:rPr>
                <w:rFonts w:ascii="Arial" w:hAnsi="Arial" w:cs="Arial"/>
                <w:b/>
                <w:bCs/>
                <w:sz w:val="18"/>
                <w:szCs w:val="18"/>
                <w:u w:val="single"/>
              </w:rPr>
              <w:t>Note 5.2C: Credit risk</w:t>
            </w:r>
            <w:bookmarkEnd w:id="516"/>
          </w:p>
        </w:tc>
        <w:tc>
          <w:tcPr>
            <w:tcW w:w="1224" w:type="dxa"/>
            <w:tcBorders>
              <w:top w:val="nil"/>
              <w:left w:val="nil"/>
              <w:bottom w:val="nil"/>
              <w:right w:val="nil"/>
            </w:tcBorders>
            <w:shd w:val="clear" w:color="FFFFFF" w:fill="FFFFFF"/>
            <w:noWrap/>
            <w:vAlign w:val="bottom"/>
            <w:hideMark/>
          </w:tcPr>
          <w:p w14:paraId="5BB75C71" w14:textId="77777777" w:rsidR="00A43992" w:rsidRDefault="00A43992" w:rsidP="007211E3">
            <w:pPr>
              <w:rPr>
                <w:rFonts w:ascii="Arial" w:hAnsi="Arial" w:cs="Arial"/>
                <w:sz w:val="18"/>
                <w:szCs w:val="18"/>
              </w:rPr>
            </w:pPr>
            <w:r>
              <w:rPr>
                <w:rFonts w:ascii="Arial" w:hAnsi="Arial" w:cs="Arial"/>
                <w:sz w:val="18"/>
                <w:szCs w:val="18"/>
              </w:rPr>
              <w:t> </w:t>
            </w:r>
          </w:p>
        </w:tc>
        <w:tc>
          <w:tcPr>
            <w:tcW w:w="1321" w:type="dxa"/>
            <w:tcBorders>
              <w:top w:val="nil"/>
              <w:left w:val="nil"/>
              <w:bottom w:val="nil"/>
              <w:right w:val="nil"/>
            </w:tcBorders>
            <w:shd w:val="clear" w:color="FFFFFF" w:fill="FFFFFF"/>
            <w:noWrap/>
            <w:vAlign w:val="bottom"/>
            <w:hideMark/>
          </w:tcPr>
          <w:p w14:paraId="24625290" w14:textId="77777777" w:rsidR="00A43992" w:rsidRDefault="00A43992" w:rsidP="007211E3">
            <w:pPr>
              <w:rPr>
                <w:rFonts w:ascii="Arial" w:hAnsi="Arial" w:cs="Arial"/>
                <w:sz w:val="18"/>
                <w:szCs w:val="18"/>
              </w:rPr>
            </w:pPr>
            <w:r>
              <w:rPr>
                <w:rFonts w:ascii="Arial" w:hAnsi="Arial" w:cs="Arial"/>
                <w:sz w:val="18"/>
                <w:szCs w:val="18"/>
              </w:rPr>
              <w:t> </w:t>
            </w:r>
          </w:p>
        </w:tc>
        <w:tc>
          <w:tcPr>
            <w:tcW w:w="1321" w:type="dxa"/>
            <w:tcBorders>
              <w:top w:val="nil"/>
              <w:left w:val="nil"/>
              <w:bottom w:val="nil"/>
              <w:right w:val="nil"/>
            </w:tcBorders>
            <w:shd w:val="clear" w:color="FFFFFF" w:fill="FFFFFF"/>
            <w:noWrap/>
            <w:vAlign w:val="bottom"/>
            <w:hideMark/>
          </w:tcPr>
          <w:p w14:paraId="6B062D49" w14:textId="77777777" w:rsidR="00A43992" w:rsidRDefault="00A43992" w:rsidP="007211E3">
            <w:pPr>
              <w:rPr>
                <w:rFonts w:ascii="Arial" w:hAnsi="Arial" w:cs="Arial"/>
                <w:sz w:val="18"/>
                <w:szCs w:val="18"/>
              </w:rPr>
            </w:pPr>
            <w:r>
              <w:rPr>
                <w:rFonts w:ascii="Arial" w:hAnsi="Arial" w:cs="Arial"/>
                <w:sz w:val="18"/>
                <w:szCs w:val="18"/>
              </w:rPr>
              <w:t> </w:t>
            </w:r>
          </w:p>
        </w:tc>
        <w:tc>
          <w:tcPr>
            <w:tcW w:w="1224" w:type="dxa"/>
            <w:tcBorders>
              <w:top w:val="nil"/>
              <w:left w:val="nil"/>
              <w:bottom w:val="nil"/>
              <w:right w:val="nil"/>
            </w:tcBorders>
            <w:shd w:val="clear" w:color="FFFFFF" w:fill="FFFFFF"/>
            <w:noWrap/>
            <w:vAlign w:val="bottom"/>
            <w:hideMark/>
          </w:tcPr>
          <w:p w14:paraId="67043497" w14:textId="77777777" w:rsidR="00A43992" w:rsidRDefault="00A43992" w:rsidP="007211E3">
            <w:pPr>
              <w:rPr>
                <w:rFonts w:ascii="Arial" w:hAnsi="Arial" w:cs="Arial"/>
                <w:sz w:val="18"/>
                <w:szCs w:val="18"/>
              </w:rPr>
            </w:pPr>
            <w:r>
              <w:rPr>
                <w:rFonts w:ascii="Arial" w:hAnsi="Arial" w:cs="Arial"/>
                <w:sz w:val="18"/>
                <w:szCs w:val="18"/>
              </w:rPr>
              <w:t> </w:t>
            </w:r>
          </w:p>
        </w:tc>
        <w:tc>
          <w:tcPr>
            <w:tcW w:w="1224" w:type="dxa"/>
            <w:tcBorders>
              <w:top w:val="nil"/>
              <w:left w:val="nil"/>
              <w:bottom w:val="nil"/>
              <w:right w:val="nil"/>
            </w:tcBorders>
            <w:shd w:val="clear" w:color="FFFFFF" w:fill="FFFFFF"/>
            <w:noWrap/>
            <w:vAlign w:val="bottom"/>
            <w:hideMark/>
          </w:tcPr>
          <w:p w14:paraId="2762746D" w14:textId="77777777" w:rsidR="00A43992" w:rsidRDefault="00A43992" w:rsidP="007211E3">
            <w:pPr>
              <w:rPr>
                <w:rFonts w:ascii="Arial" w:hAnsi="Arial" w:cs="Arial"/>
                <w:sz w:val="18"/>
                <w:szCs w:val="18"/>
              </w:rPr>
            </w:pPr>
            <w:r>
              <w:rPr>
                <w:rFonts w:ascii="Arial" w:hAnsi="Arial" w:cs="Arial"/>
                <w:sz w:val="18"/>
                <w:szCs w:val="18"/>
              </w:rPr>
              <w:t> </w:t>
            </w:r>
          </w:p>
        </w:tc>
      </w:tr>
      <w:bookmarkEnd w:id="517"/>
      <w:tr w:rsidR="00A43992" w14:paraId="163CFFE2" w14:textId="77777777" w:rsidTr="007211E3">
        <w:trPr>
          <w:trHeight w:val="1500"/>
        </w:trPr>
        <w:tc>
          <w:tcPr>
            <w:tcW w:w="9087" w:type="dxa"/>
            <w:gridSpan w:val="6"/>
            <w:tcBorders>
              <w:top w:val="nil"/>
              <w:left w:val="nil"/>
              <w:bottom w:val="nil"/>
              <w:right w:val="nil"/>
            </w:tcBorders>
            <w:shd w:val="clear" w:color="FFFFFF" w:fill="FFFFFF"/>
            <w:hideMark/>
          </w:tcPr>
          <w:p w14:paraId="6E8C44EC" w14:textId="77777777" w:rsidR="00A43992" w:rsidRDefault="00A43992" w:rsidP="007211E3">
            <w:pPr>
              <w:rPr>
                <w:rFonts w:ascii="Arial" w:hAnsi="Arial" w:cs="Arial"/>
                <w:sz w:val="18"/>
                <w:szCs w:val="18"/>
              </w:rPr>
            </w:pPr>
            <w:r>
              <w:rPr>
                <w:rFonts w:ascii="Arial" w:hAnsi="Arial" w:cs="Arial"/>
                <w:sz w:val="18"/>
                <w:szCs w:val="18"/>
              </w:rPr>
              <w:t>The Agency's primary credit risk exposure arises from the Agency's business interactions on credit with other receivables. The credit quality of receivables is risk assessed by management taking into account their financial position, past experience, other factors and compliance with the Agency's credit terms.</w:t>
            </w:r>
            <w:r>
              <w:rPr>
                <w:rFonts w:ascii="Arial" w:hAnsi="Arial" w:cs="Arial"/>
                <w:sz w:val="18"/>
                <w:szCs w:val="18"/>
              </w:rPr>
              <w:br/>
            </w:r>
            <w:r>
              <w:rPr>
                <w:rFonts w:ascii="Arial" w:hAnsi="Arial" w:cs="Arial"/>
                <w:sz w:val="18"/>
                <w:szCs w:val="18"/>
              </w:rPr>
              <w:br/>
              <w:t>The Agency assessed the risk of the default on payment and has not created an impairment allowance on receivables considered financial instruments as all amounts are regarded as recoverable.</w:t>
            </w:r>
          </w:p>
        </w:tc>
      </w:tr>
      <w:tr w:rsidR="00A43992" w14:paraId="39E36BEF" w14:textId="77777777" w:rsidTr="007211E3">
        <w:trPr>
          <w:trHeight w:val="255"/>
        </w:trPr>
        <w:tc>
          <w:tcPr>
            <w:tcW w:w="2773" w:type="dxa"/>
            <w:tcBorders>
              <w:top w:val="nil"/>
              <w:left w:val="nil"/>
              <w:bottom w:val="nil"/>
              <w:right w:val="nil"/>
            </w:tcBorders>
            <w:shd w:val="clear" w:color="FFFFFF" w:fill="FFFFFF"/>
            <w:vAlign w:val="bottom"/>
            <w:hideMark/>
          </w:tcPr>
          <w:p w14:paraId="3D31352D" w14:textId="77777777" w:rsidR="00A43992" w:rsidRDefault="00A43992" w:rsidP="007211E3">
            <w:pPr>
              <w:rPr>
                <w:rFonts w:ascii="Arial" w:hAnsi="Arial" w:cs="Arial"/>
                <w:sz w:val="18"/>
                <w:szCs w:val="18"/>
              </w:rPr>
            </w:pPr>
            <w:r>
              <w:rPr>
                <w:rFonts w:ascii="Arial" w:hAnsi="Arial" w:cs="Arial"/>
                <w:sz w:val="18"/>
                <w:szCs w:val="18"/>
              </w:rPr>
              <w:t> </w:t>
            </w:r>
          </w:p>
        </w:tc>
        <w:tc>
          <w:tcPr>
            <w:tcW w:w="1224" w:type="dxa"/>
            <w:tcBorders>
              <w:top w:val="nil"/>
              <w:left w:val="nil"/>
              <w:bottom w:val="nil"/>
              <w:right w:val="nil"/>
            </w:tcBorders>
            <w:shd w:val="clear" w:color="FFFFFF" w:fill="FFFFFF"/>
            <w:vAlign w:val="bottom"/>
            <w:hideMark/>
          </w:tcPr>
          <w:p w14:paraId="23D1E268" w14:textId="77777777" w:rsidR="00A43992" w:rsidRDefault="00A43992" w:rsidP="007211E3">
            <w:pPr>
              <w:rPr>
                <w:rFonts w:ascii="Arial" w:hAnsi="Arial" w:cs="Arial"/>
                <w:sz w:val="18"/>
                <w:szCs w:val="18"/>
              </w:rPr>
            </w:pPr>
            <w:r>
              <w:rPr>
                <w:rFonts w:ascii="Arial" w:hAnsi="Arial" w:cs="Arial"/>
                <w:sz w:val="18"/>
                <w:szCs w:val="18"/>
              </w:rPr>
              <w:t> </w:t>
            </w:r>
          </w:p>
        </w:tc>
        <w:tc>
          <w:tcPr>
            <w:tcW w:w="1321" w:type="dxa"/>
            <w:tcBorders>
              <w:top w:val="nil"/>
              <w:left w:val="nil"/>
              <w:bottom w:val="nil"/>
              <w:right w:val="nil"/>
            </w:tcBorders>
            <w:shd w:val="clear" w:color="FFFFFF" w:fill="FFFFFF"/>
            <w:vAlign w:val="bottom"/>
            <w:hideMark/>
          </w:tcPr>
          <w:p w14:paraId="45E76834" w14:textId="77777777" w:rsidR="00A43992" w:rsidRDefault="00A43992" w:rsidP="007211E3">
            <w:pPr>
              <w:rPr>
                <w:rFonts w:ascii="Arial" w:hAnsi="Arial" w:cs="Arial"/>
                <w:sz w:val="18"/>
                <w:szCs w:val="18"/>
              </w:rPr>
            </w:pPr>
            <w:r>
              <w:rPr>
                <w:rFonts w:ascii="Arial" w:hAnsi="Arial" w:cs="Arial"/>
                <w:sz w:val="18"/>
                <w:szCs w:val="18"/>
              </w:rPr>
              <w:t> </w:t>
            </w:r>
          </w:p>
        </w:tc>
        <w:tc>
          <w:tcPr>
            <w:tcW w:w="1321" w:type="dxa"/>
            <w:tcBorders>
              <w:top w:val="nil"/>
              <w:left w:val="nil"/>
              <w:bottom w:val="nil"/>
              <w:right w:val="nil"/>
            </w:tcBorders>
            <w:shd w:val="clear" w:color="FFFFFF" w:fill="FFFFFF"/>
            <w:vAlign w:val="bottom"/>
            <w:hideMark/>
          </w:tcPr>
          <w:p w14:paraId="5995641D" w14:textId="77777777" w:rsidR="00A43992" w:rsidRDefault="00A43992" w:rsidP="007211E3">
            <w:pPr>
              <w:rPr>
                <w:rFonts w:ascii="Arial" w:hAnsi="Arial" w:cs="Arial"/>
                <w:sz w:val="18"/>
                <w:szCs w:val="18"/>
              </w:rPr>
            </w:pPr>
            <w:r>
              <w:rPr>
                <w:rFonts w:ascii="Arial" w:hAnsi="Arial" w:cs="Arial"/>
                <w:sz w:val="18"/>
                <w:szCs w:val="18"/>
              </w:rPr>
              <w:t> </w:t>
            </w:r>
          </w:p>
        </w:tc>
        <w:tc>
          <w:tcPr>
            <w:tcW w:w="1224" w:type="dxa"/>
            <w:tcBorders>
              <w:top w:val="nil"/>
              <w:left w:val="nil"/>
              <w:bottom w:val="nil"/>
              <w:right w:val="nil"/>
            </w:tcBorders>
            <w:shd w:val="clear" w:color="FFFFFF" w:fill="FFFFFF"/>
            <w:vAlign w:val="bottom"/>
            <w:hideMark/>
          </w:tcPr>
          <w:p w14:paraId="532E827A" w14:textId="77777777" w:rsidR="00A43992" w:rsidRDefault="00A43992" w:rsidP="007211E3">
            <w:pPr>
              <w:rPr>
                <w:rFonts w:ascii="Arial" w:hAnsi="Arial" w:cs="Arial"/>
                <w:sz w:val="18"/>
                <w:szCs w:val="18"/>
              </w:rPr>
            </w:pPr>
            <w:r>
              <w:rPr>
                <w:rFonts w:ascii="Arial" w:hAnsi="Arial" w:cs="Arial"/>
                <w:sz w:val="18"/>
                <w:szCs w:val="18"/>
              </w:rPr>
              <w:t> </w:t>
            </w:r>
          </w:p>
        </w:tc>
        <w:tc>
          <w:tcPr>
            <w:tcW w:w="1224" w:type="dxa"/>
            <w:tcBorders>
              <w:top w:val="nil"/>
              <w:left w:val="nil"/>
              <w:bottom w:val="nil"/>
              <w:right w:val="nil"/>
            </w:tcBorders>
            <w:shd w:val="clear" w:color="FFFFFF" w:fill="FFFFFF"/>
            <w:vAlign w:val="bottom"/>
            <w:hideMark/>
          </w:tcPr>
          <w:p w14:paraId="3A506946" w14:textId="77777777" w:rsidR="00A43992" w:rsidRDefault="00A43992" w:rsidP="007211E3">
            <w:pPr>
              <w:rPr>
                <w:rFonts w:ascii="Arial" w:hAnsi="Arial" w:cs="Arial"/>
                <w:sz w:val="18"/>
                <w:szCs w:val="18"/>
              </w:rPr>
            </w:pPr>
            <w:r>
              <w:rPr>
                <w:rFonts w:ascii="Arial" w:hAnsi="Arial" w:cs="Arial"/>
                <w:sz w:val="18"/>
                <w:szCs w:val="18"/>
              </w:rPr>
              <w:t> </w:t>
            </w:r>
          </w:p>
        </w:tc>
      </w:tr>
      <w:tr w:rsidR="00A43992" w14:paraId="64B4E3E2" w14:textId="77777777" w:rsidTr="007211E3">
        <w:trPr>
          <w:trHeight w:val="495"/>
        </w:trPr>
        <w:tc>
          <w:tcPr>
            <w:tcW w:w="9087" w:type="dxa"/>
            <w:gridSpan w:val="6"/>
            <w:tcBorders>
              <w:top w:val="nil"/>
              <w:left w:val="nil"/>
              <w:bottom w:val="nil"/>
              <w:right w:val="nil"/>
            </w:tcBorders>
            <w:shd w:val="clear" w:color="FFFFFF" w:fill="FFFFFF"/>
            <w:vAlign w:val="bottom"/>
            <w:hideMark/>
          </w:tcPr>
          <w:p w14:paraId="64B090EE" w14:textId="77777777" w:rsidR="00A43992" w:rsidRDefault="00A43992" w:rsidP="007211E3">
            <w:pPr>
              <w:rPr>
                <w:rFonts w:ascii="Arial" w:hAnsi="Arial" w:cs="Arial"/>
                <w:sz w:val="18"/>
                <w:szCs w:val="18"/>
              </w:rPr>
            </w:pPr>
            <w:r>
              <w:rPr>
                <w:rFonts w:ascii="Arial" w:hAnsi="Arial" w:cs="Arial"/>
                <w:sz w:val="18"/>
                <w:szCs w:val="18"/>
              </w:rPr>
              <w:t>The following table illustrates the Agency's maximum exposure to credit risk, excluding any collateral or credit enhancements.</w:t>
            </w:r>
          </w:p>
        </w:tc>
      </w:tr>
      <w:tr w:rsidR="00A43992" w14:paraId="6285DABA" w14:textId="77777777" w:rsidTr="007211E3">
        <w:trPr>
          <w:trHeight w:val="255"/>
        </w:trPr>
        <w:tc>
          <w:tcPr>
            <w:tcW w:w="2773" w:type="dxa"/>
            <w:tcBorders>
              <w:top w:val="nil"/>
              <w:left w:val="nil"/>
              <w:bottom w:val="nil"/>
              <w:right w:val="nil"/>
            </w:tcBorders>
            <w:shd w:val="clear" w:color="FFFFFF" w:fill="FFFFFF"/>
            <w:noWrap/>
            <w:vAlign w:val="bottom"/>
            <w:hideMark/>
          </w:tcPr>
          <w:p w14:paraId="0A9744C0" w14:textId="77777777" w:rsidR="00A43992" w:rsidRDefault="00A43992" w:rsidP="007211E3">
            <w:pPr>
              <w:rPr>
                <w:rFonts w:ascii="Arial" w:hAnsi="Arial" w:cs="Arial"/>
                <w:sz w:val="18"/>
                <w:szCs w:val="18"/>
              </w:rPr>
            </w:pPr>
            <w:r>
              <w:rPr>
                <w:rFonts w:ascii="Arial" w:hAnsi="Arial" w:cs="Arial"/>
                <w:sz w:val="18"/>
                <w:szCs w:val="18"/>
              </w:rPr>
              <w:lastRenderedPageBreak/>
              <w:t> </w:t>
            </w:r>
          </w:p>
        </w:tc>
        <w:tc>
          <w:tcPr>
            <w:tcW w:w="1224" w:type="dxa"/>
            <w:tcBorders>
              <w:top w:val="nil"/>
              <w:left w:val="nil"/>
              <w:bottom w:val="nil"/>
              <w:right w:val="nil"/>
            </w:tcBorders>
            <w:shd w:val="clear" w:color="FFFFFF" w:fill="FFFFFF"/>
            <w:noWrap/>
            <w:vAlign w:val="bottom"/>
            <w:hideMark/>
          </w:tcPr>
          <w:p w14:paraId="68351F96" w14:textId="77777777" w:rsidR="00A43992" w:rsidRDefault="00A43992" w:rsidP="007211E3">
            <w:pPr>
              <w:rPr>
                <w:rFonts w:ascii="Arial" w:hAnsi="Arial" w:cs="Arial"/>
                <w:sz w:val="18"/>
                <w:szCs w:val="18"/>
              </w:rPr>
            </w:pPr>
            <w:r>
              <w:rPr>
                <w:rFonts w:ascii="Arial" w:hAnsi="Arial" w:cs="Arial"/>
                <w:sz w:val="18"/>
                <w:szCs w:val="18"/>
              </w:rPr>
              <w:t> </w:t>
            </w:r>
          </w:p>
        </w:tc>
        <w:tc>
          <w:tcPr>
            <w:tcW w:w="1321" w:type="dxa"/>
            <w:tcBorders>
              <w:top w:val="nil"/>
              <w:left w:val="nil"/>
              <w:bottom w:val="nil"/>
              <w:right w:val="nil"/>
            </w:tcBorders>
            <w:shd w:val="clear" w:color="FFFFFF" w:fill="FFFFFF"/>
            <w:noWrap/>
            <w:vAlign w:val="bottom"/>
            <w:hideMark/>
          </w:tcPr>
          <w:p w14:paraId="5909B347" w14:textId="77777777" w:rsidR="00A43992" w:rsidRDefault="00A43992" w:rsidP="007211E3">
            <w:pPr>
              <w:rPr>
                <w:rFonts w:ascii="Arial" w:hAnsi="Arial" w:cs="Arial"/>
                <w:sz w:val="18"/>
                <w:szCs w:val="18"/>
              </w:rPr>
            </w:pPr>
            <w:r>
              <w:rPr>
                <w:rFonts w:ascii="Arial" w:hAnsi="Arial" w:cs="Arial"/>
                <w:sz w:val="18"/>
                <w:szCs w:val="18"/>
              </w:rPr>
              <w:t> </w:t>
            </w:r>
          </w:p>
        </w:tc>
        <w:tc>
          <w:tcPr>
            <w:tcW w:w="1321" w:type="dxa"/>
            <w:tcBorders>
              <w:top w:val="nil"/>
              <w:left w:val="nil"/>
              <w:bottom w:val="nil"/>
              <w:right w:val="nil"/>
            </w:tcBorders>
            <w:shd w:val="clear" w:color="FFFFFF" w:fill="FFFFFF"/>
            <w:noWrap/>
            <w:vAlign w:val="bottom"/>
            <w:hideMark/>
          </w:tcPr>
          <w:p w14:paraId="642F994F" w14:textId="77777777" w:rsidR="00A43992" w:rsidRDefault="00A43992" w:rsidP="007211E3">
            <w:pPr>
              <w:rPr>
                <w:rFonts w:ascii="Arial" w:hAnsi="Arial" w:cs="Arial"/>
                <w:sz w:val="18"/>
                <w:szCs w:val="18"/>
              </w:rPr>
            </w:pPr>
            <w:r>
              <w:rPr>
                <w:rFonts w:ascii="Arial" w:hAnsi="Arial" w:cs="Arial"/>
                <w:sz w:val="18"/>
                <w:szCs w:val="18"/>
              </w:rPr>
              <w:t> </w:t>
            </w:r>
          </w:p>
        </w:tc>
        <w:tc>
          <w:tcPr>
            <w:tcW w:w="1224" w:type="dxa"/>
            <w:tcBorders>
              <w:top w:val="nil"/>
              <w:left w:val="nil"/>
              <w:bottom w:val="nil"/>
              <w:right w:val="nil"/>
            </w:tcBorders>
            <w:shd w:val="clear" w:color="FFFFFF" w:fill="FFFFFF"/>
            <w:noWrap/>
            <w:vAlign w:val="bottom"/>
            <w:hideMark/>
          </w:tcPr>
          <w:p w14:paraId="111968D5" w14:textId="77777777" w:rsidR="00A43992" w:rsidRDefault="00A43992" w:rsidP="007211E3">
            <w:pPr>
              <w:rPr>
                <w:rFonts w:ascii="Arial" w:hAnsi="Arial" w:cs="Arial"/>
                <w:sz w:val="18"/>
                <w:szCs w:val="18"/>
              </w:rPr>
            </w:pPr>
            <w:r>
              <w:rPr>
                <w:rFonts w:ascii="Arial" w:hAnsi="Arial" w:cs="Arial"/>
                <w:sz w:val="18"/>
                <w:szCs w:val="18"/>
              </w:rPr>
              <w:t> </w:t>
            </w:r>
          </w:p>
        </w:tc>
        <w:tc>
          <w:tcPr>
            <w:tcW w:w="1224" w:type="dxa"/>
            <w:tcBorders>
              <w:top w:val="nil"/>
              <w:left w:val="nil"/>
              <w:bottom w:val="nil"/>
              <w:right w:val="nil"/>
            </w:tcBorders>
            <w:shd w:val="clear" w:color="FFFFFF" w:fill="FFFFFF"/>
            <w:noWrap/>
            <w:vAlign w:val="bottom"/>
            <w:hideMark/>
          </w:tcPr>
          <w:p w14:paraId="16D773E5" w14:textId="77777777" w:rsidR="00A43992" w:rsidRDefault="00A43992" w:rsidP="007211E3">
            <w:pPr>
              <w:rPr>
                <w:rFonts w:ascii="Arial" w:hAnsi="Arial" w:cs="Arial"/>
                <w:sz w:val="18"/>
                <w:szCs w:val="18"/>
              </w:rPr>
            </w:pPr>
            <w:r>
              <w:rPr>
                <w:rFonts w:ascii="Arial" w:hAnsi="Arial" w:cs="Arial"/>
                <w:sz w:val="18"/>
                <w:szCs w:val="18"/>
              </w:rPr>
              <w:t> </w:t>
            </w:r>
          </w:p>
        </w:tc>
      </w:tr>
      <w:tr w:rsidR="00A43992" w14:paraId="60954CD9" w14:textId="77777777" w:rsidTr="007211E3">
        <w:trPr>
          <w:trHeight w:val="255"/>
        </w:trPr>
        <w:tc>
          <w:tcPr>
            <w:tcW w:w="2773" w:type="dxa"/>
            <w:tcBorders>
              <w:top w:val="single" w:sz="4" w:space="0" w:color="auto"/>
              <w:left w:val="nil"/>
              <w:bottom w:val="nil"/>
              <w:right w:val="nil"/>
            </w:tcBorders>
            <w:shd w:val="clear" w:color="FFFFFF" w:fill="FFFFFF"/>
            <w:noWrap/>
            <w:vAlign w:val="bottom"/>
            <w:hideMark/>
          </w:tcPr>
          <w:p w14:paraId="4424F6CC" w14:textId="77777777" w:rsidR="00A43992" w:rsidRDefault="00A43992" w:rsidP="007211E3">
            <w:pPr>
              <w:rPr>
                <w:rFonts w:ascii="Arial" w:hAnsi="Arial" w:cs="Arial"/>
                <w:sz w:val="18"/>
                <w:szCs w:val="18"/>
              </w:rPr>
            </w:pPr>
            <w:r>
              <w:rPr>
                <w:rFonts w:ascii="Arial" w:hAnsi="Arial" w:cs="Arial"/>
                <w:sz w:val="18"/>
                <w:szCs w:val="18"/>
              </w:rPr>
              <w:t> </w:t>
            </w:r>
          </w:p>
        </w:tc>
        <w:tc>
          <w:tcPr>
            <w:tcW w:w="1224" w:type="dxa"/>
            <w:tcBorders>
              <w:top w:val="single" w:sz="4" w:space="0" w:color="auto"/>
              <w:left w:val="nil"/>
              <w:bottom w:val="nil"/>
              <w:right w:val="nil"/>
            </w:tcBorders>
            <w:shd w:val="clear" w:color="FFFFFF" w:fill="FFFFFF"/>
            <w:noWrap/>
            <w:vAlign w:val="bottom"/>
            <w:hideMark/>
          </w:tcPr>
          <w:p w14:paraId="591CD928" w14:textId="77777777" w:rsidR="00A43992" w:rsidRDefault="00A43992" w:rsidP="007211E3">
            <w:pPr>
              <w:rPr>
                <w:rFonts w:ascii="Arial" w:hAnsi="Arial" w:cs="Arial"/>
                <w:b/>
                <w:bCs/>
                <w:sz w:val="18"/>
                <w:szCs w:val="18"/>
              </w:rPr>
            </w:pPr>
            <w:r>
              <w:rPr>
                <w:rFonts w:ascii="Arial" w:hAnsi="Arial" w:cs="Arial"/>
                <w:b/>
                <w:bCs/>
                <w:sz w:val="18"/>
                <w:szCs w:val="18"/>
              </w:rPr>
              <w:t> </w:t>
            </w:r>
          </w:p>
        </w:tc>
        <w:tc>
          <w:tcPr>
            <w:tcW w:w="1321" w:type="dxa"/>
            <w:tcBorders>
              <w:top w:val="single" w:sz="4" w:space="0" w:color="auto"/>
              <w:left w:val="nil"/>
              <w:bottom w:val="nil"/>
              <w:right w:val="nil"/>
            </w:tcBorders>
            <w:shd w:val="clear" w:color="FFFFFF" w:fill="FFFFFF"/>
            <w:noWrap/>
            <w:vAlign w:val="bottom"/>
            <w:hideMark/>
          </w:tcPr>
          <w:p w14:paraId="42C3C6B2" w14:textId="77777777" w:rsidR="00A43992" w:rsidRDefault="00A43992" w:rsidP="007211E3">
            <w:pPr>
              <w:rPr>
                <w:rFonts w:ascii="Arial" w:hAnsi="Arial" w:cs="Arial"/>
                <w:b/>
                <w:bCs/>
                <w:sz w:val="18"/>
                <w:szCs w:val="18"/>
              </w:rPr>
            </w:pPr>
            <w:r>
              <w:rPr>
                <w:rFonts w:ascii="Arial" w:hAnsi="Arial" w:cs="Arial"/>
                <w:b/>
                <w:bCs/>
                <w:sz w:val="18"/>
                <w:szCs w:val="18"/>
              </w:rPr>
              <w:t> </w:t>
            </w:r>
          </w:p>
        </w:tc>
        <w:tc>
          <w:tcPr>
            <w:tcW w:w="1321" w:type="dxa"/>
            <w:tcBorders>
              <w:top w:val="single" w:sz="4" w:space="0" w:color="auto"/>
              <w:left w:val="nil"/>
              <w:bottom w:val="nil"/>
              <w:right w:val="nil"/>
            </w:tcBorders>
            <w:shd w:val="clear" w:color="FFFFFF" w:fill="FFFFFF"/>
            <w:noWrap/>
            <w:vAlign w:val="bottom"/>
            <w:hideMark/>
          </w:tcPr>
          <w:p w14:paraId="6BAA7B78" w14:textId="77777777" w:rsidR="00A43992" w:rsidRDefault="00A43992" w:rsidP="007211E3">
            <w:pPr>
              <w:rPr>
                <w:rFonts w:ascii="Arial" w:hAnsi="Arial" w:cs="Arial"/>
                <w:b/>
                <w:bCs/>
                <w:sz w:val="18"/>
                <w:szCs w:val="18"/>
              </w:rPr>
            </w:pPr>
            <w:r>
              <w:rPr>
                <w:rFonts w:ascii="Arial" w:hAnsi="Arial" w:cs="Arial"/>
                <w:b/>
                <w:bCs/>
                <w:sz w:val="18"/>
                <w:szCs w:val="18"/>
              </w:rPr>
              <w:t> </w:t>
            </w:r>
          </w:p>
        </w:tc>
        <w:tc>
          <w:tcPr>
            <w:tcW w:w="1224" w:type="dxa"/>
            <w:tcBorders>
              <w:top w:val="single" w:sz="4" w:space="0" w:color="auto"/>
              <w:left w:val="nil"/>
              <w:bottom w:val="nil"/>
              <w:right w:val="nil"/>
            </w:tcBorders>
            <w:shd w:val="clear" w:color="FFFFFF" w:fill="FFFFFF"/>
            <w:vAlign w:val="bottom"/>
            <w:hideMark/>
          </w:tcPr>
          <w:p w14:paraId="064F9E83" w14:textId="77777777" w:rsidR="00A43992" w:rsidRDefault="00A43992" w:rsidP="007211E3">
            <w:pPr>
              <w:jc w:val="right"/>
              <w:rPr>
                <w:rFonts w:ascii="Arial" w:hAnsi="Arial" w:cs="Arial"/>
                <w:b/>
                <w:bCs/>
                <w:sz w:val="18"/>
                <w:szCs w:val="18"/>
              </w:rPr>
            </w:pPr>
            <w:r>
              <w:rPr>
                <w:rFonts w:ascii="Arial" w:hAnsi="Arial" w:cs="Arial"/>
                <w:b/>
                <w:bCs/>
                <w:sz w:val="18"/>
                <w:szCs w:val="18"/>
              </w:rPr>
              <w:t>2016</w:t>
            </w:r>
          </w:p>
        </w:tc>
        <w:tc>
          <w:tcPr>
            <w:tcW w:w="1224" w:type="dxa"/>
            <w:tcBorders>
              <w:top w:val="single" w:sz="4" w:space="0" w:color="auto"/>
              <w:left w:val="nil"/>
              <w:bottom w:val="nil"/>
              <w:right w:val="nil"/>
            </w:tcBorders>
            <w:shd w:val="clear" w:color="FFFFFF" w:fill="FFFFFF"/>
            <w:vAlign w:val="bottom"/>
            <w:hideMark/>
          </w:tcPr>
          <w:p w14:paraId="3780BB11" w14:textId="77777777" w:rsidR="00A43992" w:rsidRDefault="00A43992" w:rsidP="007211E3">
            <w:pPr>
              <w:jc w:val="right"/>
              <w:rPr>
                <w:rFonts w:ascii="Arial" w:hAnsi="Arial" w:cs="Arial"/>
                <w:sz w:val="18"/>
                <w:szCs w:val="18"/>
              </w:rPr>
            </w:pPr>
            <w:r>
              <w:rPr>
                <w:rFonts w:ascii="Arial" w:hAnsi="Arial" w:cs="Arial"/>
                <w:sz w:val="18"/>
                <w:szCs w:val="18"/>
              </w:rPr>
              <w:t>2015</w:t>
            </w:r>
          </w:p>
        </w:tc>
      </w:tr>
      <w:tr w:rsidR="00A43992" w14:paraId="0F0C1266" w14:textId="77777777" w:rsidTr="007211E3">
        <w:trPr>
          <w:trHeight w:val="255"/>
        </w:trPr>
        <w:tc>
          <w:tcPr>
            <w:tcW w:w="2773" w:type="dxa"/>
            <w:tcBorders>
              <w:top w:val="nil"/>
              <w:left w:val="nil"/>
              <w:bottom w:val="single" w:sz="4" w:space="0" w:color="auto"/>
              <w:right w:val="nil"/>
            </w:tcBorders>
            <w:shd w:val="clear" w:color="FFFFFF" w:fill="FFFFFF"/>
            <w:noWrap/>
            <w:vAlign w:val="bottom"/>
            <w:hideMark/>
          </w:tcPr>
          <w:p w14:paraId="5AB1FA38" w14:textId="77777777" w:rsidR="00A43992" w:rsidRDefault="00A43992" w:rsidP="007211E3">
            <w:pPr>
              <w:rPr>
                <w:rFonts w:ascii="Arial" w:hAnsi="Arial" w:cs="Arial"/>
                <w:sz w:val="18"/>
                <w:szCs w:val="18"/>
              </w:rPr>
            </w:pPr>
            <w:r>
              <w:rPr>
                <w:rFonts w:ascii="Arial" w:hAnsi="Arial" w:cs="Arial"/>
                <w:sz w:val="18"/>
                <w:szCs w:val="18"/>
              </w:rPr>
              <w:t> </w:t>
            </w:r>
          </w:p>
        </w:tc>
        <w:tc>
          <w:tcPr>
            <w:tcW w:w="1224" w:type="dxa"/>
            <w:tcBorders>
              <w:top w:val="nil"/>
              <w:left w:val="nil"/>
              <w:bottom w:val="single" w:sz="4" w:space="0" w:color="auto"/>
              <w:right w:val="nil"/>
            </w:tcBorders>
            <w:shd w:val="clear" w:color="FFFFFF" w:fill="FFFFFF"/>
            <w:noWrap/>
            <w:vAlign w:val="bottom"/>
            <w:hideMark/>
          </w:tcPr>
          <w:p w14:paraId="78D92AEE" w14:textId="77777777" w:rsidR="00A43992" w:rsidRDefault="00A43992" w:rsidP="007211E3">
            <w:pPr>
              <w:rPr>
                <w:rFonts w:ascii="Arial" w:hAnsi="Arial" w:cs="Arial"/>
                <w:b/>
                <w:bCs/>
                <w:sz w:val="18"/>
                <w:szCs w:val="18"/>
              </w:rPr>
            </w:pPr>
            <w:r>
              <w:rPr>
                <w:rFonts w:ascii="Arial" w:hAnsi="Arial" w:cs="Arial"/>
                <w:b/>
                <w:bCs/>
                <w:sz w:val="18"/>
                <w:szCs w:val="18"/>
              </w:rPr>
              <w:t> </w:t>
            </w:r>
          </w:p>
        </w:tc>
        <w:tc>
          <w:tcPr>
            <w:tcW w:w="1321" w:type="dxa"/>
            <w:tcBorders>
              <w:top w:val="nil"/>
              <w:left w:val="nil"/>
              <w:bottom w:val="single" w:sz="4" w:space="0" w:color="auto"/>
              <w:right w:val="nil"/>
            </w:tcBorders>
            <w:shd w:val="clear" w:color="FFFFFF" w:fill="FFFFFF"/>
            <w:noWrap/>
            <w:vAlign w:val="bottom"/>
            <w:hideMark/>
          </w:tcPr>
          <w:p w14:paraId="3E50DE94" w14:textId="77777777" w:rsidR="00A43992" w:rsidRDefault="00A43992" w:rsidP="007211E3">
            <w:pPr>
              <w:rPr>
                <w:rFonts w:ascii="Arial" w:hAnsi="Arial" w:cs="Arial"/>
                <w:b/>
                <w:bCs/>
                <w:sz w:val="18"/>
                <w:szCs w:val="18"/>
              </w:rPr>
            </w:pPr>
            <w:r>
              <w:rPr>
                <w:rFonts w:ascii="Arial" w:hAnsi="Arial" w:cs="Arial"/>
                <w:b/>
                <w:bCs/>
                <w:sz w:val="18"/>
                <w:szCs w:val="18"/>
              </w:rPr>
              <w:t> </w:t>
            </w:r>
          </w:p>
        </w:tc>
        <w:tc>
          <w:tcPr>
            <w:tcW w:w="1321" w:type="dxa"/>
            <w:tcBorders>
              <w:top w:val="nil"/>
              <w:left w:val="nil"/>
              <w:bottom w:val="single" w:sz="4" w:space="0" w:color="auto"/>
              <w:right w:val="nil"/>
            </w:tcBorders>
            <w:shd w:val="clear" w:color="FFFFFF" w:fill="FFFFFF"/>
            <w:noWrap/>
            <w:vAlign w:val="bottom"/>
            <w:hideMark/>
          </w:tcPr>
          <w:p w14:paraId="3F779FD1" w14:textId="77777777" w:rsidR="00A43992" w:rsidRDefault="00A43992" w:rsidP="007211E3">
            <w:pPr>
              <w:rPr>
                <w:rFonts w:ascii="Arial" w:hAnsi="Arial" w:cs="Arial"/>
                <w:b/>
                <w:bCs/>
                <w:sz w:val="18"/>
                <w:szCs w:val="18"/>
              </w:rPr>
            </w:pPr>
            <w:r>
              <w:rPr>
                <w:rFonts w:ascii="Arial" w:hAnsi="Arial" w:cs="Arial"/>
                <w:b/>
                <w:bCs/>
                <w:sz w:val="18"/>
                <w:szCs w:val="18"/>
              </w:rPr>
              <w:t> </w:t>
            </w:r>
          </w:p>
        </w:tc>
        <w:tc>
          <w:tcPr>
            <w:tcW w:w="1224" w:type="dxa"/>
            <w:tcBorders>
              <w:top w:val="nil"/>
              <w:left w:val="nil"/>
              <w:bottom w:val="single" w:sz="4" w:space="0" w:color="auto"/>
              <w:right w:val="nil"/>
            </w:tcBorders>
            <w:shd w:val="clear" w:color="FFFFFF" w:fill="FFFFFF"/>
            <w:vAlign w:val="bottom"/>
            <w:hideMark/>
          </w:tcPr>
          <w:p w14:paraId="6B3AFCC6" w14:textId="77777777" w:rsidR="00A43992" w:rsidRDefault="00A43992" w:rsidP="007211E3">
            <w:pPr>
              <w:jc w:val="right"/>
              <w:rPr>
                <w:rFonts w:ascii="Arial" w:hAnsi="Arial" w:cs="Arial"/>
                <w:b/>
                <w:bCs/>
                <w:sz w:val="18"/>
                <w:szCs w:val="18"/>
              </w:rPr>
            </w:pPr>
            <w:r>
              <w:rPr>
                <w:rFonts w:ascii="Arial" w:hAnsi="Arial" w:cs="Arial"/>
                <w:b/>
                <w:bCs/>
                <w:sz w:val="18"/>
                <w:szCs w:val="18"/>
              </w:rPr>
              <w:t>$'000</w:t>
            </w:r>
          </w:p>
        </w:tc>
        <w:tc>
          <w:tcPr>
            <w:tcW w:w="1224" w:type="dxa"/>
            <w:tcBorders>
              <w:top w:val="nil"/>
              <w:left w:val="nil"/>
              <w:bottom w:val="single" w:sz="4" w:space="0" w:color="auto"/>
              <w:right w:val="nil"/>
            </w:tcBorders>
            <w:shd w:val="clear" w:color="FFFFFF" w:fill="FFFFFF"/>
            <w:vAlign w:val="bottom"/>
            <w:hideMark/>
          </w:tcPr>
          <w:p w14:paraId="51002EB1" w14:textId="77777777" w:rsidR="00A43992" w:rsidRDefault="00A43992" w:rsidP="007211E3">
            <w:pPr>
              <w:jc w:val="right"/>
              <w:rPr>
                <w:rFonts w:ascii="Arial" w:hAnsi="Arial" w:cs="Arial"/>
                <w:sz w:val="18"/>
                <w:szCs w:val="18"/>
              </w:rPr>
            </w:pPr>
            <w:r>
              <w:rPr>
                <w:rFonts w:ascii="Arial" w:hAnsi="Arial" w:cs="Arial"/>
                <w:sz w:val="18"/>
                <w:szCs w:val="18"/>
              </w:rPr>
              <w:t>$'000</w:t>
            </w:r>
          </w:p>
        </w:tc>
      </w:tr>
      <w:tr w:rsidR="00A43992" w14:paraId="7DB35433" w14:textId="77777777" w:rsidTr="007211E3">
        <w:trPr>
          <w:trHeight w:val="255"/>
        </w:trPr>
        <w:tc>
          <w:tcPr>
            <w:tcW w:w="2773" w:type="dxa"/>
            <w:tcBorders>
              <w:top w:val="nil"/>
              <w:left w:val="nil"/>
              <w:bottom w:val="nil"/>
              <w:right w:val="nil"/>
            </w:tcBorders>
            <w:shd w:val="clear" w:color="FFFFFF" w:fill="FFFFFF"/>
            <w:noWrap/>
            <w:vAlign w:val="bottom"/>
            <w:hideMark/>
          </w:tcPr>
          <w:p w14:paraId="5D2A7B37" w14:textId="77777777" w:rsidR="00A43992" w:rsidRDefault="00A43992" w:rsidP="007211E3">
            <w:pPr>
              <w:ind w:firstLineChars="100" w:firstLine="180"/>
              <w:rPr>
                <w:rFonts w:ascii="Arial" w:hAnsi="Arial" w:cs="Arial"/>
                <w:sz w:val="18"/>
                <w:szCs w:val="18"/>
              </w:rPr>
            </w:pPr>
            <w:r>
              <w:rPr>
                <w:rFonts w:ascii="Arial" w:hAnsi="Arial" w:cs="Arial"/>
                <w:sz w:val="18"/>
                <w:szCs w:val="18"/>
              </w:rPr>
              <w:t>Other receivables</w:t>
            </w:r>
          </w:p>
        </w:tc>
        <w:tc>
          <w:tcPr>
            <w:tcW w:w="1224" w:type="dxa"/>
            <w:tcBorders>
              <w:top w:val="nil"/>
              <w:left w:val="nil"/>
              <w:bottom w:val="nil"/>
              <w:right w:val="nil"/>
            </w:tcBorders>
            <w:shd w:val="clear" w:color="FFFFFF" w:fill="FFFFFF"/>
            <w:noWrap/>
            <w:vAlign w:val="bottom"/>
            <w:hideMark/>
          </w:tcPr>
          <w:p w14:paraId="41C5D49B" w14:textId="77777777" w:rsidR="00A43992" w:rsidRDefault="00A43992" w:rsidP="007211E3">
            <w:pPr>
              <w:rPr>
                <w:rFonts w:ascii="Arial" w:hAnsi="Arial" w:cs="Arial"/>
                <w:b/>
                <w:bCs/>
                <w:sz w:val="18"/>
                <w:szCs w:val="18"/>
              </w:rPr>
            </w:pPr>
            <w:r>
              <w:rPr>
                <w:rFonts w:ascii="Arial" w:hAnsi="Arial" w:cs="Arial"/>
                <w:b/>
                <w:bCs/>
                <w:sz w:val="18"/>
                <w:szCs w:val="18"/>
              </w:rPr>
              <w:t> </w:t>
            </w:r>
          </w:p>
        </w:tc>
        <w:tc>
          <w:tcPr>
            <w:tcW w:w="1321" w:type="dxa"/>
            <w:tcBorders>
              <w:top w:val="nil"/>
              <w:left w:val="nil"/>
              <w:bottom w:val="nil"/>
              <w:right w:val="nil"/>
            </w:tcBorders>
            <w:shd w:val="clear" w:color="FFFFFF" w:fill="FFFFFF"/>
            <w:noWrap/>
            <w:vAlign w:val="bottom"/>
            <w:hideMark/>
          </w:tcPr>
          <w:p w14:paraId="5D7A202A" w14:textId="77777777" w:rsidR="00A43992" w:rsidRDefault="00A43992" w:rsidP="007211E3">
            <w:pPr>
              <w:rPr>
                <w:rFonts w:ascii="Arial" w:hAnsi="Arial" w:cs="Arial"/>
                <w:b/>
                <w:bCs/>
                <w:sz w:val="18"/>
                <w:szCs w:val="18"/>
              </w:rPr>
            </w:pPr>
            <w:r>
              <w:rPr>
                <w:rFonts w:ascii="Arial" w:hAnsi="Arial" w:cs="Arial"/>
                <w:b/>
                <w:bCs/>
                <w:sz w:val="18"/>
                <w:szCs w:val="18"/>
              </w:rPr>
              <w:t> </w:t>
            </w:r>
          </w:p>
        </w:tc>
        <w:tc>
          <w:tcPr>
            <w:tcW w:w="1321" w:type="dxa"/>
            <w:tcBorders>
              <w:top w:val="nil"/>
              <w:left w:val="nil"/>
              <w:bottom w:val="nil"/>
              <w:right w:val="nil"/>
            </w:tcBorders>
            <w:shd w:val="clear" w:color="FFFFFF" w:fill="FFFFFF"/>
            <w:noWrap/>
            <w:vAlign w:val="bottom"/>
            <w:hideMark/>
          </w:tcPr>
          <w:p w14:paraId="3130CDA4" w14:textId="77777777" w:rsidR="00A43992" w:rsidRDefault="00A43992" w:rsidP="007211E3">
            <w:pPr>
              <w:rPr>
                <w:rFonts w:ascii="Arial" w:hAnsi="Arial" w:cs="Arial"/>
                <w:b/>
                <w:bCs/>
                <w:sz w:val="18"/>
                <w:szCs w:val="18"/>
              </w:rPr>
            </w:pPr>
            <w:r>
              <w:rPr>
                <w:rFonts w:ascii="Arial" w:hAnsi="Arial" w:cs="Arial"/>
                <w:b/>
                <w:bCs/>
                <w:sz w:val="18"/>
                <w:szCs w:val="18"/>
              </w:rPr>
              <w:t> </w:t>
            </w:r>
          </w:p>
        </w:tc>
        <w:tc>
          <w:tcPr>
            <w:tcW w:w="1224" w:type="dxa"/>
            <w:tcBorders>
              <w:top w:val="nil"/>
              <w:left w:val="nil"/>
              <w:bottom w:val="nil"/>
              <w:right w:val="nil"/>
            </w:tcBorders>
            <w:shd w:val="clear" w:color="FFFFFF" w:fill="FFFFFF"/>
            <w:noWrap/>
            <w:vAlign w:val="bottom"/>
            <w:hideMark/>
          </w:tcPr>
          <w:p w14:paraId="384DD303" w14:textId="77777777" w:rsidR="00A43992" w:rsidRDefault="00A43992" w:rsidP="007211E3">
            <w:pPr>
              <w:jc w:val="right"/>
              <w:rPr>
                <w:rFonts w:ascii="Arial" w:hAnsi="Arial" w:cs="Arial"/>
                <w:b/>
                <w:bCs/>
                <w:sz w:val="18"/>
                <w:szCs w:val="18"/>
              </w:rPr>
            </w:pPr>
            <w:r>
              <w:rPr>
                <w:rFonts w:ascii="Arial" w:hAnsi="Arial" w:cs="Arial"/>
                <w:b/>
                <w:bCs/>
                <w:sz w:val="18"/>
                <w:szCs w:val="18"/>
              </w:rPr>
              <w:t>1,415</w:t>
            </w:r>
          </w:p>
        </w:tc>
        <w:tc>
          <w:tcPr>
            <w:tcW w:w="1224" w:type="dxa"/>
            <w:tcBorders>
              <w:top w:val="nil"/>
              <w:left w:val="nil"/>
              <w:bottom w:val="nil"/>
              <w:right w:val="nil"/>
            </w:tcBorders>
            <w:shd w:val="clear" w:color="FFFFFF" w:fill="FFFFFF"/>
            <w:noWrap/>
            <w:vAlign w:val="bottom"/>
            <w:hideMark/>
          </w:tcPr>
          <w:p w14:paraId="1CA4EA0A" w14:textId="77777777" w:rsidR="00A43992" w:rsidRDefault="00A43992" w:rsidP="007211E3">
            <w:pPr>
              <w:jc w:val="right"/>
              <w:rPr>
                <w:rFonts w:ascii="Arial" w:hAnsi="Arial" w:cs="Arial"/>
                <w:sz w:val="18"/>
                <w:szCs w:val="18"/>
              </w:rPr>
            </w:pPr>
            <w:r>
              <w:rPr>
                <w:rFonts w:ascii="Arial" w:hAnsi="Arial" w:cs="Arial"/>
                <w:sz w:val="18"/>
                <w:szCs w:val="18"/>
              </w:rPr>
              <w:t>231</w:t>
            </w:r>
          </w:p>
        </w:tc>
      </w:tr>
      <w:tr w:rsidR="00A43992" w14:paraId="77D6C2C5" w14:textId="77777777" w:rsidTr="007211E3">
        <w:trPr>
          <w:trHeight w:val="255"/>
        </w:trPr>
        <w:tc>
          <w:tcPr>
            <w:tcW w:w="2773" w:type="dxa"/>
            <w:tcBorders>
              <w:top w:val="single" w:sz="4" w:space="0" w:color="auto"/>
              <w:left w:val="nil"/>
              <w:bottom w:val="single" w:sz="4" w:space="0" w:color="auto"/>
              <w:right w:val="nil"/>
            </w:tcBorders>
            <w:shd w:val="clear" w:color="FFFFFF" w:fill="FFFFFF"/>
            <w:vAlign w:val="bottom"/>
            <w:hideMark/>
          </w:tcPr>
          <w:p w14:paraId="63B22F2C" w14:textId="77777777" w:rsidR="00A43992" w:rsidRDefault="00A43992" w:rsidP="007211E3">
            <w:pPr>
              <w:rPr>
                <w:rFonts w:ascii="Arial" w:hAnsi="Arial" w:cs="Arial"/>
                <w:b/>
                <w:bCs/>
                <w:sz w:val="18"/>
                <w:szCs w:val="18"/>
              </w:rPr>
            </w:pPr>
            <w:r>
              <w:rPr>
                <w:rFonts w:ascii="Arial" w:hAnsi="Arial" w:cs="Arial"/>
                <w:b/>
                <w:bCs/>
                <w:sz w:val="18"/>
                <w:szCs w:val="18"/>
              </w:rPr>
              <w:t>Total</w:t>
            </w:r>
          </w:p>
        </w:tc>
        <w:tc>
          <w:tcPr>
            <w:tcW w:w="1224" w:type="dxa"/>
            <w:tcBorders>
              <w:top w:val="single" w:sz="4" w:space="0" w:color="auto"/>
              <w:left w:val="nil"/>
              <w:bottom w:val="single" w:sz="4" w:space="0" w:color="auto"/>
              <w:right w:val="nil"/>
            </w:tcBorders>
            <w:shd w:val="clear" w:color="FFFFFF" w:fill="FFFFFF"/>
            <w:vAlign w:val="bottom"/>
            <w:hideMark/>
          </w:tcPr>
          <w:p w14:paraId="45C8948F" w14:textId="77777777" w:rsidR="00A43992" w:rsidRDefault="00A43992" w:rsidP="007211E3">
            <w:pPr>
              <w:rPr>
                <w:rFonts w:ascii="Arial" w:hAnsi="Arial" w:cs="Arial"/>
                <w:b/>
                <w:bCs/>
                <w:sz w:val="18"/>
                <w:szCs w:val="18"/>
              </w:rPr>
            </w:pPr>
            <w:r>
              <w:rPr>
                <w:rFonts w:ascii="Arial" w:hAnsi="Arial" w:cs="Arial"/>
                <w:b/>
                <w:bCs/>
                <w:sz w:val="18"/>
                <w:szCs w:val="18"/>
              </w:rPr>
              <w:t> </w:t>
            </w:r>
          </w:p>
        </w:tc>
        <w:tc>
          <w:tcPr>
            <w:tcW w:w="1321" w:type="dxa"/>
            <w:tcBorders>
              <w:top w:val="single" w:sz="4" w:space="0" w:color="auto"/>
              <w:left w:val="nil"/>
              <w:bottom w:val="single" w:sz="4" w:space="0" w:color="auto"/>
              <w:right w:val="nil"/>
            </w:tcBorders>
            <w:shd w:val="clear" w:color="FFFFFF" w:fill="FFFFFF"/>
            <w:vAlign w:val="bottom"/>
            <w:hideMark/>
          </w:tcPr>
          <w:p w14:paraId="3AF8092B" w14:textId="77777777" w:rsidR="00A43992" w:rsidRDefault="00A43992" w:rsidP="007211E3">
            <w:pPr>
              <w:rPr>
                <w:rFonts w:ascii="Arial" w:hAnsi="Arial" w:cs="Arial"/>
                <w:b/>
                <w:bCs/>
                <w:sz w:val="18"/>
                <w:szCs w:val="18"/>
              </w:rPr>
            </w:pPr>
            <w:r>
              <w:rPr>
                <w:rFonts w:ascii="Arial" w:hAnsi="Arial" w:cs="Arial"/>
                <w:b/>
                <w:bCs/>
                <w:sz w:val="18"/>
                <w:szCs w:val="18"/>
              </w:rPr>
              <w:t> </w:t>
            </w:r>
          </w:p>
        </w:tc>
        <w:tc>
          <w:tcPr>
            <w:tcW w:w="1321" w:type="dxa"/>
            <w:tcBorders>
              <w:top w:val="single" w:sz="4" w:space="0" w:color="auto"/>
              <w:left w:val="nil"/>
              <w:bottom w:val="single" w:sz="4" w:space="0" w:color="auto"/>
              <w:right w:val="nil"/>
            </w:tcBorders>
            <w:shd w:val="clear" w:color="FFFFFF" w:fill="FFFFFF"/>
            <w:vAlign w:val="bottom"/>
            <w:hideMark/>
          </w:tcPr>
          <w:p w14:paraId="58847A94" w14:textId="77777777" w:rsidR="00A43992" w:rsidRDefault="00A43992" w:rsidP="007211E3">
            <w:pPr>
              <w:rPr>
                <w:rFonts w:ascii="Arial" w:hAnsi="Arial" w:cs="Arial"/>
                <w:b/>
                <w:bCs/>
                <w:sz w:val="18"/>
                <w:szCs w:val="18"/>
              </w:rPr>
            </w:pPr>
            <w:r>
              <w:rPr>
                <w:rFonts w:ascii="Arial" w:hAnsi="Arial" w:cs="Arial"/>
                <w:b/>
                <w:bCs/>
                <w:sz w:val="18"/>
                <w:szCs w:val="18"/>
              </w:rPr>
              <w:t> </w:t>
            </w:r>
          </w:p>
        </w:tc>
        <w:tc>
          <w:tcPr>
            <w:tcW w:w="1224" w:type="dxa"/>
            <w:tcBorders>
              <w:top w:val="single" w:sz="4" w:space="0" w:color="auto"/>
              <w:left w:val="nil"/>
              <w:bottom w:val="single" w:sz="4" w:space="0" w:color="auto"/>
              <w:right w:val="nil"/>
            </w:tcBorders>
            <w:shd w:val="clear" w:color="FFFFFF" w:fill="FFFFFF"/>
            <w:noWrap/>
            <w:vAlign w:val="bottom"/>
            <w:hideMark/>
          </w:tcPr>
          <w:p w14:paraId="6D5F764D" w14:textId="77777777" w:rsidR="00A43992" w:rsidRDefault="00A43992" w:rsidP="007211E3">
            <w:pPr>
              <w:jc w:val="right"/>
              <w:rPr>
                <w:rFonts w:ascii="Arial" w:hAnsi="Arial" w:cs="Arial"/>
                <w:b/>
                <w:bCs/>
                <w:sz w:val="18"/>
                <w:szCs w:val="18"/>
              </w:rPr>
            </w:pPr>
            <w:r>
              <w:rPr>
                <w:rFonts w:ascii="Arial" w:hAnsi="Arial" w:cs="Arial"/>
                <w:b/>
                <w:bCs/>
                <w:sz w:val="18"/>
                <w:szCs w:val="18"/>
              </w:rPr>
              <w:t>1,415</w:t>
            </w:r>
          </w:p>
        </w:tc>
        <w:tc>
          <w:tcPr>
            <w:tcW w:w="1224" w:type="dxa"/>
            <w:tcBorders>
              <w:top w:val="single" w:sz="4" w:space="0" w:color="auto"/>
              <w:left w:val="nil"/>
              <w:bottom w:val="single" w:sz="4" w:space="0" w:color="auto"/>
              <w:right w:val="nil"/>
            </w:tcBorders>
            <w:shd w:val="clear" w:color="FFFFFF" w:fill="FFFFFF"/>
            <w:noWrap/>
            <w:vAlign w:val="bottom"/>
            <w:hideMark/>
          </w:tcPr>
          <w:p w14:paraId="024A4F74" w14:textId="77777777" w:rsidR="00A43992" w:rsidRDefault="00A43992" w:rsidP="007211E3">
            <w:pPr>
              <w:jc w:val="right"/>
              <w:rPr>
                <w:rFonts w:ascii="Arial" w:hAnsi="Arial" w:cs="Arial"/>
                <w:sz w:val="18"/>
                <w:szCs w:val="18"/>
              </w:rPr>
            </w:pPr>
            <w:r>
              <w:rPr>
                <w:rFonts w:ascii="Arial" w:hAnsi="Arial" w:cs="Arial"/>
                <w:sz w:val="18"/>
                <w:szCs w:val="18"/>
              </w:rPr>
              <w:t>231</w:t>
            </w:r>
          </w:p>
        </w:tc>
      </w:tr>
      <w:tr w:rsidR="00A43992" w14:paraId="4FB9339F" w14:textId="77777777" w:rsidTr="007211E3">
        <w:trPr>
          <w:trHeight w:val="255"/>
        </w:trPr>
        <w:tc>
          <w:tcPr>
            <w:tcW w:w="2773" w:type="dxa"/>
            <w:tcBorders>
              <w:top w:val="nil"/>
              <w:left w:val="nil"/>
              <w:bottom w:val="nil"/>
              <w:right w:val="nil"/>
            </w:tcBorders>
            <w:shd w:val="clear" w:color="FFFFFF" w:fill="FFFFFF"/>
            <w:noWrap/>
            <w:vAlign w:val="bottom"/>
            <w:hideMark/>
          </w:tcPr>
          <w:p w14:paraId="04FAF12A" w14:textId="77777777" w:rsidR="00A43992" w:rsidRDefault="00A43992" w:rsidP="007211E3">
            <w:pPr>
              <w:rPr>
                <w:rFonts w:ascii="Arial" w:hAnsi="Arial" w:cs="Arial"/>
                <w:sz w:val="18"/>
                <w:szCs w:val="18"/>
              </w:rPr>
            </w:pPr>
            <w:r>
              <w:rPr>
                <w:rFonts w:ascii="Arial" w:hAnsi="Arial" w:cs="Arial"/>
                <w:sz w:val="18"/>
                <w:szCs w:val="18"/>
              </w:rPr>
              <w:t> </w:t>
            </w:r>
          </w:p>
        </w:tc>
        <w:tc>
          <w:tcPr>
            <w:tcW w:w="1224" w:type="dxa"/>
            <w:tcBorders>
              <w:top w:val="nil"/>
              <w:left w:val="nil"/>
              <w:bottom w:val="nil"/>
              <w:right w:val="nil"/>
            </w:tcBorders>
            <w:shd w:val="clear" w:color="FFFFFF" w:fill="FFFFFF"/>
            <w:noWrap/>
            <w:vAlign w:val="bottom"/>
            <w:hideMark/>
          </w:tcPr>
          <w:p w14:paraId="2A028A89" w14:textId="77777777" w:rsidR="00A43992" w:rsidRDefault="00A43992" w:rsidP="007211E3">
            <w:pPr>
              <w:rPr>
                <w:rFonts w:ascii="Arial" w:hAnsi="Arial" w:cs="Arial"/>
                <w:sz w:val="18"/>
                <w:szCs w:val="18"/>
              </w:rPr>
            </w:pPr>
            <w:r>
              <w:rPr>
                <w:rFonts w:ascii="Arial" w:hAnsi="Arial" w:cs="Arial"/>
                <w:sz w:val="18"/>
                <w:szCs w:val="18"/>
              </w:rPr>
              <w:t> </w:t>
            </w:r>
          </w:p>
        </w:tc>
        <w:tc>
          <w:tcPr>
            <w:tcW w:w="1321" w:type="dxa"/>
            <w:tcBorders>
              <w:top w:val="nil"/>
              <w:left w:val="nil"/>
              <w:bottom w:val="nil"/>
              <w:right w:val="nil"/>
            </w:tcBorders>
            <w:shd w:val="clear" w:color="FFFFFF" w:fill="FFFFFF"/>
            <w:noWrap/>
            <w:vAlign w:val="bottom"/>
            <w:hideMark/>
          </w:tcPr>
          <w:p w14:paraId="3E897F0A" w14:textId="77777777" w:rsidR="00A43992" w:rsidRDefault="00A43992" w:rsidP="007211E3">
            <w:pPr>
              <w:rPr>
                <w:rFonts w:ascii="Arial" w:hAnsi="Arial" w:cs="Arial"/>
                <w:sz w:val="18"/>
                <w:szCs w:val="18"/>
              </w:rPr>
            </w:pPr>
            <w:r>
              <w:rPr>
                <w:rFonts w:ascii="Arial" w:hAnsi="Arial" w:cs="Arial"/>
                <w:sz w:val="18"/>
                <w:szCs w:val="18"/>
              </w:rPr>
              <w:t> </w:t>
            </w:r>
          </w:p>
        </w:tc>
        <w:tc>
          <w:tcPr>
            <w:tcW w:w="1321" w:type="dxa"/>
            <w:tcBorders>
              <w:top w:val="nil"/>
              <w:left w:val="nil"/>
              <w:bottom w:val="nil"/>
              <w:right w:val="nil"/>
            </w:tcBorders>
            <w:shd w:val="clear" w:color="FFFFFF" w:fill="FFFFFF"/>
            <w:noWrap/>
            <w:vAlign w:val="bottom"/>
            <w:hideMark/>
          </w:tcPr>
          <w:p w14:paraId="3BDB713C" w14:textId="77777777" w:rsidR="00A43992" w:rsidRDefault="00A43992" w:rsidP="007211E3">
            <w:pPr>
              <w:rPr>
                <w:rFonts w:ascii="Arial" w:hAnsi="Arial" w:cs="Arial"/>
                <w:sz w:val="18"/>
                <w:szCs w:val="18"/>
              </w:rPr>
            </w:pPr>
            <w:r>
              <w:rPr>
                <w:rFonts w:ascii="Arial" w:hAnsi="Arial" w:cs="Arial"/>
                <w:sz w:val="18"/>
                <w:szCs w:val="18"/>
              </w:rPr>
              <w:t> </w:t>
            </w:r>
          </w:p>
        </w:tc>
        <w:tc>
          <w:tcPr>
            <w:tcW w:w="1224" w:type="dxa"/>
            <w:tcBorders>
              <w:top w:val="nil"/>
              <w:left w:val="nil"/>
              <w:bottom w:val="nil"/>
              <w:right w:val="nil"/>
            </w:tcBorders>
            <w:shd w:val="clear" w:color="auto" w:fill="auto"/>
            <w:noWrap/>
            <w:vAlign w:val="bottom"/>
            <w:hideMark/>
          </w:tcPr>
          <w:p w14:paraId="6C93D306" w14:textId="77777777" w:rsidR="00A43992" w:rsidRDefault="00A43992" w:rsidP="007211E3">
            <w:pPr>
              <w:rPr>
                <w:rFonts w:ascii="Arial" w:hAnsi="Arial" w:cs="Arial"/>
                <w:sz w:val="18"/>
                <w:szCs w:val="18"/>
              </w:rPr>
            </w:pPr>
          </w:p>
        </w:tc>
        <w:tc>
          <w:tcPr>
            <w:tcW w:w="1224" w:type="dxa"/>
            <w:tcBorders>
              <w:top w:val="nil"/>
              <w:left w:val="nil"/>
              <w:bottom w:val="nil"/>
              <w:right w:val="nil"/>
            </w:tcBorders>
            <w:shd w:val="clear" w:color="auto" w:fill="auto"/>
            <w:noWrap/>
            <w:vAlign w:val="bottom"/>
            <w:hideMark/>
          </w:tcPr>
          <w:p w14:paraId="7E139146" w14:textId="77777777" w:rsidR="00A43992" w:rsidRDefault="00A43992" w:rsidP="007211E3"/>
        </w:tc>
      </w:tr>
      <w:tr w:rsidR="00A43992" w14:paraId="4C9322D2" w14:textId="77777777" w:rsidTr="007211E3">
        <w:trPr>
          <w:trHeight w:val="255"/>
        </w:trPr>
        <w:tc>
          <w:tcPr>
            <w:tcW w:w="9087" w:type="dxa"/>
            <w:gridSpan w:val="6"/>
            <w:tcBorders>
              <w:top w:val="nil"/>
              <w:left w:val="nil"/>
              <w:bottom w:val="nil"/>
              <w:right w:val="nil"/>
            </w:tcBorders>
            <w:shd w:val="clear" w:color="FFFFFF" w:fill="FFFFFF"/>
            <w:noWrap/>
            <w:vAlign w:val="bottom"/>
            <w:hideMark/>
          </w:tcPr>
          <w:p w14:paraId="0EFE4B15" w14:textId="77777777" w:rsidR="00A43992" w:rsidRDefault="00A43992" w:rsidP="007211E3">
            <w:pPr>
              <w:rPr>
                <w:rFonts w:ascii="Arial" w:hAnsi="Arial" w:cs="Arial"/>
                <w:b/>
                <w:bCs/>
                <w:sz w:val="18"/>
                <w:szCs w:val="18"/>
              </w:rPr>
            </w:pPr>
            <w:r>
              <w:rPr>
                <w:rFonts w:ascii="Arial" w:hAnsi="Arial" w:cs="Arial"/>
                <w:b/>
                <w:bCs/>
                <w:sz w:val="18"/>
                <w:szCs w:val="18"/>
              </w:rPr>
              <w:t>Credit quality of financial instruments not past due or individually determined as impaired</w:t>
            </w:r>
          </w:p>
        </w:tc>
      </w:tr>
      <w:tr w:rsidR="00A43992" w14:paraId="54B314A0" w14:textId="77777777" w:rsidTr="007211E3">
        <w:trPr>
          <w:trHeight w:val="585"/>
        </w:trPr>
        <w:tc>
          <w:tcPr>
            <w:tcW w:w="2773" w:type="dxa"/>
            <w:tcBorders>
              <w:top w:val="single" w:sz="4" w:space="0" w:color="auto"/>
              <w:left w:val="nil"/>
              <w:bottom w:val="nil"/>
              <w:right w:val="nil"/>
            </w:tcBorders>
            <w:shd w:val="clear" w:color="FFFFFF" w:fill="FFFFFF"/>
            <w:noWrap/>
            <w:vAlign w:val="bottom"/>
            <w:hideMark/>
          </w:tcPr>
          <w:p w14:paraId="43ABA2FD" w14:textId="77777777" w:rsidR="00A43992" w:rsidRDefault="00A43992" w:rsidP="007211E3">
            <w:pPr>
              <w:rPr>
                <w:rFonts w:ascii="Arial" w:hAnsi="Arial" w:cs="Arial"/>
                <w:sz w:val="18"/>
                <w:szCs w:val="18"/>
              </w:rPr>
            </w:pPr>
            <w:r>
              <w:rPr>
                <w:rFonts w:ascii="Arial" w:hAnsi="Arial" w:cs="Arial"/>
                <w:sz w:val="18"/>
                <w:szCs w:val="18"/>
              </w:rPr>
              <w:t> </w:t>
            </w:r>
          </w:p>
        </w:tc>
        <w:tc>
          <w:tcPr>
            <w:tcW w:w="1224" w:type="dxa"/>
            <w:tcBorders>
              <w:top w:val="single" w:sz="4" w:space="0" w:color="auto"/>
              <w:left w:val="nil"/>
              <w:bottom w:val="nil"/>
              <w:right w:val="nil"/>
            </w:tcBorders>
            <w:shd w:val="clear" w:color="FFFFFF" w:fill="FFFFFF"/>
            <w:noWrap/>
            <w:vAlign w:val="bottom"/>
            <w:hideMark/>
          </w:tcPr>
          <w:p w14:paraId="2A988F71" w14:textId="77777777" w:rsidR="00A43992" w:rsidRDefault="00A43992" w:rsidP="007211E3">
            <w:pPr>
              <w:rPr>
                <w:rFonts w:ascii="Arial" w:hAnsi="Arial" w:cs="Arial"/>
              </w:rPr>
            </w:pPr>
            <w:r>
              <w:rPr>
                <w:rFonts w:ascii="Arial" w:hAnsi="Arial" w:cs="Arial"/>
              </w:rPr>
              <w:t> </w:t>
            </w:r>
          </w:p>
        </w:tc>
        <w:tc>
          <w:tcPr>
            <w:tcW w:w="1321" w:type="dxa"/>
            <w:tcBorders>
              <w:top w:val="single" w:sz="4" w:space="0" w:color="auto"/>
              <w:left w:val="nil"/>
              <w:bottom w:val="nil"/>
              <w:right w:val="nil"/>
            </w:tcBorders>
            <w:shd w:val="clear" w:color="FFFFFF" w:fill="FFFFFF"/>
            <w:vAlign w:val="center"/>
            <w:hideMark/>
          </w:tcPr>
          <w:p w14:paraId="39C39920" w14:textId="77777777" w:rsidR="00A43992" w:rsidRDefault="00A43992" w:rsidP="007211E3">
            <w:pPr>
              <w:jc w:val="right"/>
              <w:rPr>
                <w:rFonts w:ascii="Arial" w:hAnsi="Arial" w:cs="Arial"/>
                <w:b/>
                <w:bCs/>
                <w:sz w:val="18"/>
                <w:szCs w:val="18"/>
              </w:rPr>
            </w:pPr>
            <w:r>
              <w:rPr>
                <w:rFonts w:ascii="Arial" w:hAnsi="Arial" w:cs="Arial"/>
                <w:b/>
                <w:bCs/>
                <w:sz w:val="18"/>
                <w:szCs w:val="18"/>
              </w:rPr>
              <w:t>Not past due nor impaired</w:t>
            </w:r>
          </w:p>
        </w:tc>
        <w:tc>
          <w:tcPr>
            <w:tcW w:w="1321" w:type="dxa"/>
            <w:tcBorders>
              <w:top w:val="single" w:sz="4" w:space="0" w:color="auto"/>
              <w:left w:val="nil"/>
              <w:bottom w:val="nil"/>
              <w:right w:val="nil"/>
            </w:tcBorders>
            <w:shd w:val="clear" w:color="FFFFFF" w:fill="FFFFFF"/>
            <w:vAlign w:val="center"/>
            <w:hideMark/>
          </w:tcPr>
          <w:p w14:paraId="1FD62782" w14:textId="77777777" w:rsidR="00A43992" w:rsidRDefault="00A43992" w:rsidP="007211E3">
            <w:pPr>
              <w:jc w:val="right"/>
              <w:rPr>
                <w:rFonts w:ascii="Arial" w:hAnsi="Arial" w:cs="Arial"/>
                <w:sz w:val="18"/>
                <w:szCs w:val="18"/>
              </w:rPr>
            </w:pPr>
            <w:r>
              <w:rPr>
                <w:rFonts w:ascii="Arial" w:hAnsi="Arial" w:cs="Arial"/>
                <w:sz w:val="18"/>
                <w:szCs w:val="18"/>
              </w:rPr>
              <w:t>Not past due nor impaired</w:t>
            </w:r>
          </w:p>
        </w:tc>
        <w:tc>
          <w:tcPr>
            <w:tcW w:w="1224" w:type="dxa"/>
            <w:tcBorders>
              <w:top w:val="single" w:sz="4" w:space="0" w:color="auto"/>
              <w:left w:val="nil"/>
              <w:bottom w:val="nil"/>
              <w:right w:val="nil"/>
            </w:tcBorders>
            <w:shd w:val="clear" w:color="FFFFFF" w:fill="FFFFFF"/>
            <w:vAlign w:val="center"/>
            <w:hideMark/>
          </w:tcPr>
          <w:p w14:paraId="75B6799E" w14:textId="77777777" w:rsidR="00A43992" w:rsidRDefault="00A43992" w:rsidP="007211E3">
            <w:pPr>
              <w:jc w:val="right"/>
              <w:rPr>
                <w:rFonts w:ascii="Arial" w:hAnsi="Arial" w:cs="Arial"/>
                <w:b/>
                <w:bCs/>
                <w:sz w:val="18"/>
                <w:szCs w:val="18"/>
              </w:rPr>
            </w:pPr>
            <w:r>
              <w:rPr>
                <w:rFonts w:ascii="Arial" w:hAnsi="Arial" w:cs="Arial"/>
                <w:b/>
                <w:bCs/>
                <w:sz w:val="18"/>
                <w:szCs w:val="18"/>
              </w:rPr>
              <w:t>Past due</w:t>
            </w:r>
          </w:p>
        </w:tc>
        <w:tc>
          <w:tcPr>
            <w:tcW w:w="1224" w:type="dxa"/>
            <w:tcBorders>
              <w:top w:val="single" w:sz="4" w:space="0" w:color="auto"/>
              <w:left w:val="nil"/>
              <w:bottom w:val="nil"/>
              <w:right w:val="nil"/>
            </w:tcBorders>
            <w:shd w:val="clear" w:color="FFFFFF" w:fill="FFFFFF"/>
            <w:vAlign w:val="center"/>
            <w:hideMark/>
          </w:tcPr>
          <w:p w14:paraId="7464A8F7" w14:textId="77777777" w:rsidR="00A43992" w:rsidRDefault="00A43992" w:rsidP="007211E3">
            <w:pPr>
              <w:jc w:val="right"/>
              <w:rPr>
                <w:rFonts w:ascii="Arial" w:hAnsi="Arial" w:cs="Arial"/>
                <w:sz w:val="18"/>
                <w:szCs w:val="18"/>
              </w:rPr>
            </w:pPr>
            <w:r>
              <w:rPr>
                <w:rFonts w:ascii="Arial" w:hAnsi="Arial" w:cs="Arial"/>
                <w:sz w:val="18"/>
                <w:szCs w:val="18"/>
              </w:rPr>
              <w:t>Past due</w:t>
            </w:r>
          </w:p>
        </w:tc>
      </w:tr>
      <w:tr w:rsidR="00A43992" w14:paraId="573FB2FC" w14:textId="77777777" w:rsidTr="007211E3">
        <w:trPr>
          <w:trHeight w:val="255"/>
        </w:trPr>
        <w:tc>
          <w:tcPr>
            <w:tcW w:w="2773" w:type="dxa"/>
            <w:tcBorders>
              <w:top w:val="nil"/>
              <w:left w:val="nil"/>
              <w:bottom w:val="nil"/>
              <w:right w:val="nil"/>
            </w:tcBorders>
            <w:shd w:val="clear" w:color="FFFFFF" w:fill="FFFFFF"/>
            <w:noWrap/>
            <w:vAlign w:val="bottom"/>
            <w:hideMark/>
          </w:tcPr>
          <w:p w14:paraId="752B1291" w14:textId="77777777" w:rsidR="00A43992" w:rsidRDefault="00A43992" w:rsidP="007211E3">
            <w:pPr>
              <w:rPr>
                <w:rFonts w:ascii="Arial" w:hAnsi="Arial" w:cs="Arial"/>
                <w:sz w:val="18"/>
                <w:szCs w:val="18"/>
              </w:rPr>
            </w:pPr>
            <w:r>
              <w:rPr>
                <w:rFonts w:ascii="Arial" w:hAnsi="Arial" w:cs="Arial"/>
                <w:sz w:val="18"/>
                <w:szCs w:val="18"/>
              </w:rPr>
              <w:t> </w:t>
            </w:r>
          </w:p>
        </w:tc>
        <w:tc>
          <w:tcPr>
            <w:tcW w:w="1224" w:type="dxa"/>
            <w:tcBorders>
              <w:top w:val="nil"/>
              <w:left w:val="nil"/>
              <w:bottom w:val="nil"/>
              <w:right w:val="nil"/>
            </w:tcBorders>
            <w:shd w:val="clear" w:color="FFFFFF" w:fill="FFFFFF"/>
            <w:noWrap/>
            <w:vAlign w:val="bottom"/>
            <w:hideMark/>
          </w:tcPr>
          <w:p w14:paraId="107439B8" w14:textId="77777777" w:rsidR="00A43992" w:rsidRDefault="00A43992" w:rsidP="007211E3">
            <w:pPr>
              <w:rPr>
                <w:rFonts w:ascii="Arial" w:hAnsi="Arial" w:cs="Arial"/>
              </w:rPr>
            </w:pPr>
            <w:r>
              <w:rPr>
                <w:rFonts w:ascii="Arial" w:hAnsi="Arial" w:cs="Arial"/>
              </w:rPr>
              <w:t> </w:t>
            </w:r>
          </w:p>
        </w:tc>
        <w:tc>
          <w:tcPr>
            <w:tcW w:w="1321" w:type="dxa"/>
            <w:tcBorders>
              <w:top w:val="nil"/>
              <w:left w:val="nil"/>
              <w:bottom w:val="nil"/>
              <w:right w:val="nil"/>
            </w:tcBorders>
            <w:shd w:val="clear" w:color="FFFFFF" w:fill="FFFFFF"/>
            <w:vAlign w:val="bottom"/>
            <w:hideMark/>
          </w:tcPr>
          <w:p w14:paraId="55D6F0D4" w14:textId="77777777" w:rsidR="00A43992" w:rsidRDefault="00A43992" w:rsidP="007211E3">
            <w:pPr>
              <w:jc w:val="right"/>
              <w:rPr>
                <w:rFonts w:ascii="Arial" w:hAnsi="Arial" w:cs="Arial"/>
                <w:b/>
                <w:bCs/>
                <w:sz w:val="18"/>
                <w:szCs w:val="18"/>
              </w:rPr>
            </w:pPr>
            <w:r>
              <w:rPr>
                <w:rFonts w:ascii="Arial" w:hAnsi="Arial" w:cs="Arial"/>
                <w:b/>
                <w:bCs/>
                <w:sz w:val="18"/>
                <w:szCs w:val="18"/>
              </w:rPr>
              <w:t>2016</w:t>
            </w:r>
          </w:p>
        </w:tc>
        <w:tc>
          <w:tcPr>
            <w:tcW w:w="1321" w:type="dxa"/>
            <w:tcBorders>
              <w:top w:val="nil"/>
              <w:left w:val="nil"/>
              <w:bottom w:val="nil"/>
              <w:right w:val="nil"/>
            </w:tcBorders>
            <w:shd w:val="clear" w:color="FFFFFF" w:fill="FFFFFF"/>
            <w:vAlign w:val="bottom"/>
            <w:hideMark/>
          </w:tcPr>
          <w:p w14:paraId="31E1DC91" w14:textId="77777777" w:rsidR="00A43992" w:rsidRDefault="00A43992" w:rsidP="007211E3">
            <w:pPr>
              <w:jc w:val="right"/>
              <w:rPr>
                <w:rFonts w:ascii="Arial" w:hAnsi="Arial" w:cs="Arial"/>
                <w:sz w:val="18"/>
                <w:szCs w:val="18"/>
              </w:rPr>
            </w:pPr>
            <w:r>
              <w:rPr>
                <w:rFonts w:ascii="Arial" w:hAnsi="Arial" w:cs="Arial"/>
                <w:sz w:val="18"/>
                <w:szCs w:val="18"/>
              </w:rPr>
              <w:t>2015</w:t>
            </w:r>
          </w:p>
        </w:tc>
        <w:tc>
          <w:tcPr>
            <w:tcW w:w="1224" w:type="dxa"/>
            <w:tcBorders>
              <w:top w:val="nil"/>
              <w:left w:val="nil"/>
              <w:bottom w:val="nil"/>
              <w:right w:val="nil"/>
            </w:tcBorders>
            <w:shd w:val="clear" w:color="FFFFFF" w:fill="FFFFFF"/>
            <w:vAlign w:val="bottom"/>
            <w:hideMark/>
          </w:tcPr>
          <w:p w14:paraId="40D78190" w14:textId="77777777" w:rsidR="00A43992" w:rsidRDefault="00A43992" w:rsidP="007211E3">
            <w:pPr>
              <w:jc w:val="right"/>
              <w:rPr>
                <w:rFonts w:ascii="Arial" w:hAnsi="Arial" w:cs="Arial"/>
                <w:b/>
                <w:bCs/>
                <w:sz w:val="18"/>
                <w:szCs w:val="18"/>
              </w:rPr>
            </w:pPr>
            <w:r>
              <w:rPr>
                <w:rFonts w:ascii="Arial" w:hAnsi="Arial" w:cs="Arial"/>
                <w:b/>
                <w:bCs/>
                <w:sz w:val="18"/>
                <w:szCs w:val="18"/>
              </w:rPr>
              <w:t>2016</w:t>
            </w:r>
          </w:p>
        </w:tc>
        <w:tc>
          <w:tcPr>
            <w:tcW w:w="1224" w:type="dxa"/>
            <w:tcBorders>
              <w:top w:val="nil"/>
              <w:left w:val="nil"/>
              <w:bottom w:val="nil"/>
              <w:right w:val="nil"/>
            </w:tcBorders>
            <w:shd w:val="clear" w:color="FFFFFF" w:fill="FFFFFF"/>
            <w:vAlign w:val="bottom"/>
            <w:hideMark/>
          </w:tcPr>
          <w:p w14:paraId="269257D1" w14:textId="77777777" w:rsidR="00A43992" w:rsidRDefault="00A43992" w:rsidP="007211E3">
            <w:pPr>
              <w:jc w:val="right"/>
              <w:rPr>
                <w:rFonts w:ascii="Arial" w:hAnsi="Arial" w:cs="Arial"/>
                <w:sz w:val="18"/>
                <w:szCs w:val="18"/>
              </w:rPr>
            </w:pPr>
            <w:r>
              <w:rPr>
                <w:rFonts w:ascii="Arial" w:hAnsi="Arial" w:cs="Arial"/>
                <w:sz w:val="18"/>
                <w:szCs w:val="18"/>
              </w:rPr>
              <w:t>2015</w:t>
            </w:r>
          </w:p>
        </w:tc>
      </w:tr>
      <w:tr w:rsidR="00A43992" w14:paraId="7C9E0DAC" w14:textId="77777777" w:rsidTr="007211E3">
        <w:trPr>
          <w:trHeight w:val="255"/>
        </w:trPr>
        <w:tc>
          <w:tcPr>
            <w:tcW w:w="2773" w:type="dxa"/>
            <w:tcBorders>
              <w:top w:val="nil"/>
              <w:left w:val="nil"/>
              <w:bottom w:val="single" w:sz="4" w:space="0" w:color="auto"/>
              <w:right w:val="nil"/>
            </w:tcBorders>
            <w:shd w:val="clear" w:color="FFFFFF" w:fill="FFFFFF"/>
            <w:noWrap/>
            <w:vAlign w:val="bottom"/>
            <w:hideMark/>
          </w:tcPr>
          <w:p w14:paraId="41C24104" w14:textId="77777777" w:rsidR="00A43992" w:rsidRDefault="00A43992" w:rsidP="007211E3">
            <w:pPr>
              <w:rPr>
                <w:rFonts w:ascii="Arial" w:hAnsi="Arial" w:cs="Arial"/>
                <w:sz w:val="18"/>
                <w:szCs w:val="18"/>
              </w:rPr>
            </w:pPr>
            <w:r>
              <w:rPr>
                <w:rFonts w:ascii="Arial" w:hAnsi="Arial" w:cs="Arial"/>
                <w:sz w:val="18"/>
                <w:szCs w:val="18"/>
              </w:rPr>
              <w:t> </w:t>
            </w:r>
          </w:p>
        </w:tc>
        <w:tc>
          <w:tcPr>
            <w:tcW w:w="1224" w:type="dxa"/>
            <w:tcBorders>
              <w:top w:val="nil"/>
              <w:left w:val="nil"/>
              <w:bottom w:val="single" w:sz="4" w:space="0" w:color="auto"/>
              <w:right w:val="nil"/>
            </w:tcBorders>
            <w:shd w:val="clear" w:color="FFFFFF" w:fill="FFFFFF"/>
            <w:noWrap/>
            <w:vAlign w:val="bottom"/>
            <w:hideMark/>
          </w:tcPr>
          <w:p w14:paraId="54451DA1" w14:textId="77777777" w:rsidR="00A43992" w:rsidRDefault="00A43992" w:rsidP="007211E3">
            <w:pPr>
              <w:rPr>
                <w:rFonts w:ascii="Arial" w:hAnsi="Arial" w:cs="Arial"/>
              </w:rPr>
            </w:pPr>
            <w:r>
              <w:rPr>
                <w:rFonts w:ascii="Arial" w:hAnsi="Arial" w:cs="Arial"/>
              </w:rPr>
              <w:t> </w:t>
            </w:r>
          </w:p>
        </w:tc>
        <w:tc>
          <w:tcPr>
            <w:tcW w:w="1321" w:type="dxa"/>
            <w:tcBorders>
              <w:top w:val="nil"/>
              <w:left w:val="nil"/>
              <w:bottom w:val="single" w:sz="4" w:space="0" w:color="auto"/>
              <w:right w:val="nil"/>
            </w:tcBorders>
            <w:shd w:val="clear" w:color="FFFFFF" w:fill="FFFFFF"/>
            <w:vAlign w:val="bottom"/>
            <w:hideMark/>
          </w:tcPr>
          <w:p w14:paraId="7A8E87E5" w14:textId="77777777" w:rsidR="00A43992" w:rsidRDefault="00A43992" w:rsidP="007211E3">
            <w:pPr>
              <w:jc w:val="right"/>
              <w:rPr>
                <w:rFonts w:ascii="Arial" w:hAnsi="Arial" w:cs="Arial"/>
                <w:b/>
                <w:bCs/>
                <w:sz w:val="18"/>
                <w:szCs w:val="18"/>
              </w:rPr>
            </w:pPr>
            <w:r>
              <w:rPr>
                <w:rFonts w:ascii="Arial" w:hAnsi="Arial" w:cs="Arial"/>
                <w:b/>
                <w:bCs/>
                <w:sz w:val="18"/>
                <w:szCs w:val="18"/>
              </w:rPr>
              <w:t>$'000</w:t>
            </w:r>
          </w:p>
        </w:tc>
        <w:tc>
          <w:tcPr>
            <w:tcW w:w="1321" w:type="dxa"/>
            <w:tcBorders>
              <w:top w:val="nil"/>
              <w:left w:val="nil"/>
              <w:bottom w:val="single" w:sz="4" w:space="0" w:color="auto"/>
              <w:right w:val="nil"/>
            </w:tcBorders>
            <w:shd w:val="clear" w:color="FFFFFF" w:fill="FFFFFF"/>
            <w:vAlign w:val="bottom"/>
            <w:hideMark/>
          </w:tcPr>
          <w:p w14:paraId="4900574C" w14:textId="77777777" w:rsidR="00A43992" w:rsidRDefault="00A43992" w:rsidP="007211E3">
            <w:pPr>
              <w:jc w:val="right"/>
              <w:rPr>
                <w:rFonts w:ascii="Arial" w:hAnsi="Arial" w:cs="Arial"/>
                <w:sz w:val="18"/>
                <w:szCs w:val="18"/>
              </w:rPr>
            </w:pPr>
            <w:r>
              <w:rPr>
                <w:rFonts w:ascii="Arial" w:hAnsi="Arial" w:cs="Arial"/>
                <w:sz w:val="18"/>
                <w:szCs w:val="18"/>
              </w:rPr>
              <w:t>$'000</w:t>
            </w:r>
          </w:p>
        </w:tc>
        <w:tc>
          <w:tcPr>
            <w:tcW w:w="1224" w:type="dxa"/>
            <w:tcBorders>
              <w:top w:val="nil"/>
              <w:left w:val="nil"/>
              <w:bottom w:val="single" w:sz="4" w:space="0" w:color="auto"/>
              <w:right w:val="nil"/>
            </w:tcBorders>
            <w:shd w:val="clear" w:color="FFFFFF" w:fill="FFFFFF"/>
            <w:vAlign w:val="bottom"/>
            <w:hideMark/>
          </w:tcPr>
          <w:p w14:paraId="2D21E93C" w14:textId="77777777" w:rsidR="00A43992" w:rsidRDefault="00A43992" w:rsidP="007211E3">
            <w:pPr>
              <w:jc w:val="right"/>
              <w:rPr>
                <w:rFonts w:ascii="Arial" w:hAnsi="Arial" w:cs="Arial"/>
                <w:b/>
                <w:bCs/>
                <w:sz w:val="18"/>
                <w:szCs w:val="18"/>
              </w:rPr>
            </w:pPr>
            <w:r>
              <w:rPr>
                <w:rFonts w:ascii="Arial" w:hAnsi="Arial" w:cs="Arial"/>
                <w:b/>
                <w:bCs/>
                <w:sz w:val="18"/>
                <w:szCs w:val="18"/>
              </w:rPr>
              <w:t>$'000</w:t>
            </w:r>
          </w:p>
        </w:tc>
        <w:tc>
          <w:tcPr>
            <w:tcW w:w="1224" w:type="dxa"/>
            <w:tcBorders>
              <w:top w:val="nil"/>
              <w:left w:val="nil"/>
              <w:bottom w:val="single" w:sz="4" w:space="0" w:color="auto"/>
              <w:right w:val="nil"/>
            </w:tcBorders>
            <w:shd w:val="clear" w:color="FFFFFF" w:fill="FFFFFF"/>
            <w:vAlign w:val="bottom"/>
            <w:hideMark/>
          </w:tcPr>
          <w:p w14:paraId="08FD687C" w14:textId="77777777" w:rsidR="00A43992" w:rsidRDefault="00A43992" w:rsidP="007211E3">
            <w:pPr>
              <w:jc w:val="right"/>
              <w:rPr>
                <w:rFonts w:ascii="Arial" w:hAnsi="Arial" w:cs="Arial"/>
                <w:sz w:val="18"/>
                <w:szCs w:val="18"/>
              </w:rPr>
            </w:pPr>
            <w:r>
              <w:rPr>
                <w:rFonts w:ascii="Arial" w:hAnsi="Arial" w:cs="Arial"/>
                <w:sz w:val="18"/>
                <w:szCs w:val="18"/>
              </w:rPr>
              <w:t>$'000</w:t>
            </w:r>
          </w:p>
        </w:tc>
      </w:tr>
      <w:tr w:rsidR="00A43992" w14:paraId="7545D7B9" w14:textId="77777777" w:rsidTr="007211E3">
        <w:trPr>
          <w:trHeight w:val="255"/>
        </w:trPr>
        <w:tc>
          <w:tcPr>
            <w:tcW w:w="2773" w:type="dxa"/>
            <w:tcBorders>
              <w:top w:val="nil"/>
              <w:left w:val="nil"/>
              <w:bottom w:val="nil"/>
              <w:right w:val="nil"/>
            </w:tcBorders>
            <w:shd w:val="clear" w:color="FFFFFF" w:fill="FFFFFF"/>
            <w:noWrap/>
            <w:vAlign w:val="bottom"/>
            <w:hideMark/>
          </w:tcPr>
          <w:p w14:paraId="567F7B44" w14:textId="77777777" w:rsidR="00A43992" w:rsidRDefault="00A43992" w:rsidP="007211E3">
            <w:pPr>
              <w:ind w:firstLineChars="100" w:firstLine="180"/>
              <w:rPr>
                <w:rFonts w:ascii="Arial" w:hAnsi="Arial" w:cs="Arial"/>
                <w:sz w:val="18"/>
                <w:szCs w:val="18"/>
              </w:rPr>
            </w:pPr>
            <w:r>
              <w:rPr>
                <w:rFonts w:ascii="Arial" w:hAnsi="Arial" w:cs="Arial"/>
                <w:sz w:val="18"/>
                <w:szCs w:val="18"/>
              </w:rPr>
              <w:t>Other receivables</w:t>
            </w:r>
          </w:p>
        </w:tc>
        <w:tc>
          <w:tcPr>
            <w:tcW w:w="1224" w:type="dxa"/>
            <w:tcBorders>
              <w:top w:val="nil"/>
              <w:left w:val="nil"/>
              <w:bottom w:val="nil"/>
              <w:right w:val="nil"/>
            </w:tcBorders>
            <w:shd w:val="clear" w:color="FFFFFF" w:fill="FFFFFF"/>
            <w:noWrap/>
            <w:vAlign w:val="bottom"/>
            <w:hideMark/>
          </w:tcPr>
          <w:p w14:paraId="73A8BC3D" w14:textId="77777777" w:rsidR="00A43992" w:rsidRDefault="00A43992" w:rsidP="007211E3">
            <w:pPr>
              <w:rPr>
                <w:rFonts w:ascii="Arial" w:hAnsi="Arial" w:cs="Arial"/>
                <w:b/>
                <w:bCs/>
                <w:sz w:val="18"/>
                <w:szCs w:val="18"/>
              </w:rPr>
            </w:pPr>
            <w:r>
              <w:rPr>
                <w:rFonts w:ascii="Arial" w:hAnsi="Arial" w:cs="Arial"/>
                <w:b/>
                <w:bCs/>
                <w:sz w:val="18"/>
                <w:szCs w:val="18"/>
              </w:rPr>
              <w:t> </w:t>
            </w:r>
          </w:p>
        </w:tc>
        <w:tc>
          <w:tcPr>
            <w:tcW w:w="1321" w:type="dxa"/>
            <w:tcBorders>
              <w:top w:val="nil"/>
              <w:left w:val="nil"/>
              <w:bottom w:val="nil"/>
              <w:right w:val="nil"/>
            </w:tcBorders>
            <w:shd w:val="clear" w:color="auto" w:fill="auto"/>
            <w:noWrap/>
            <w:vAlign w:val="bottom"/>
            <w:hideMark/>
          </w:tcPr>
          <w:p w14:paraId="2B4A5684" w14:textId="77777777" w:rsidR="00A43992" w:rsidRDefault="00A43992" w:rsidP="007211E3">
            <w:pPr>
              <w:jc w:val="right"/>
              <w:rPr>
                <w:rFonts w:ascii="Arial" w:hAnsi="Arial" w:cs="Arial"/>
                <w:b/>
                <w:bCs/>
                <w:sz w:val="18"/>
                <w:szCs w:val="18"/>
              </w:rPr>
            </w:pPr>
            <w:r>
              <w:rPr>
                <w:rFonts w:ascii="Arial" w:hAnsi="Arial" w:cs="Arial"/>
                <w:b/>
                <w:bCs/>
                <w:sz w:val="18"/>
                <w:szCs w:val="18"/>
              </w:rPr>
              <w:t xml:space="preserve">             1,415 </w:t>
            </w:r>
          </w:p>
        </w:tc>
        <w:tc>
          <w:tcPr>
            <w:tcW w:w="1321" w:type="dxa"/>
            <w:tcBorders>
              <w:top w:val="nil"/>
              <w:left w:val="nil"/>
              <w:bottom w:val="nil"/>
              <w:right w:val="nil"/>
            </w:tcBorders>
            <w:shd w:val="clear" w:color="FFFFFF" w:fill="FFFFFF"/>
            <w:noWrap/>
            <w:vAlign w:val="bottom"/>
            <w:hideMark/>
          </w:tcPr>
          <w:p w14:paraId="5DE5BE39" w14:textId="77777777" w:rsidR="00A43992" w:rsidRDefault="00A43992" w:rsidP="007211E3">
            <w:pPr>
              <w:jc w:val="right"/>
              <w:rPr>
                <w:rFonts w:ascii="Arial" w:hAnsi="Arial" w:cs="Arial"/>
                <w:sz w:val="18"/>
                <w:szCs w:val="18"/>
              </w:rPr>
            </w:pPr>
            <w:r>
              <w:rPr>
                <w:rFonts w:ascii="Arial" w:hAnsi="Arial" w:cs="Arial"/>
                <w:sz w:val="18"/>
                <w:szCs w:val="18"/>
              </w:rPr>
              <w:t>231</w:t>
            </w:r>
          </w:p>
        </w:tc>
        <w:tc>
          <w:tcPr>
            <w:tcW w:w="1224" w:type="dxa"/>
            <w:tcBorders>
              <w:top w:val="nil"/>
              <w:left w:val="nil"/>
              <w:bottom w:val="nil"/>
              <w:right w:val="nil"/>
            </w:tcBorders>
            <w:shd w:val="clear" w:color="FFFFFF" w:fill="FFFFFF"/>
            <w:noWrap/>
            <w:vAlign w:val="bottom"/>
            <w:hideMark/>
          </w:tcPr>
          <w:p w14:paraId="51BF7A5B" w14:textId="77777777" w:rsidR="00A43992" w:rsidRDefault="00A43992" w:rsidP="007211E3">
            <w:pPr>
              <w:jc w:val="right"/>
              <w:rPr>
                <w:rFonts w:ascii="Arial" w:hAnsi="Arial" w:cs="Arial"/>
                <w:b/>
                <w:bCs/>
                <w:sz w:val="18"/>
                <w:szCs w:val="18"/>
              </w:rPr>
            </w:pPr>
            <w:r>
              <w:rPr>
                <w:rFonts w:ascii="Arial" w:hAnsi="Arial" w:cs="Arial"/>
                <w:b/>
                <w:bCs/>
                <w:sz w:val="18"/>
                <w:szCs w:val="18"/>
              </w:rPr>
              <w:t xml:space="preserve"> -</w:t>
            </w:r>
          </w:p>
        </w:tc>
        <w:tc>
          <w:tcPr>
            <w:tcW w:w="1224" w:type="dxa"/>
            <w:tcBorders>
              <w:top w:val="nil"/>
              <w:left w:val="nil"/>
              <w:bottom w:val="nil"/>
              <w:right w:val="nil"/>
            </w:tcBorders>
            <w:shd w:val="clear" w:color="FFFFFF" w:fill="FFFFFF"/>
            <w:noWrap/>
            <w:vAlign w:val="bottom"/>
            <w:hideMark/>
          </w:tcPr>
          <w:p w14:paraId="39C5D33F" w14:textId="77777777" w:rsidR="00A43992" w:rsidRDefault="00A43992" w:rsidP="007211E3">
            <w:pPr>
              <w:jc w:val="right"/>
              <w:rPr>
                <w:rFonts w:ascii="Arial" w:hAnsi="Arial" w:cs="Arial"/>
                <w:sz w:val="18"/>
                <w:szCs w:val="18"/>
              </w:rPr>
            </w:pPr>
            <w:r>
              <w:rPr>
                <w:rFonts w:ascii="Arial" w:hAnsi="Arial" w:cs="Arial"/>
                <w:sz w:val="18"/>
                <w:szCs w:val="18"/>
              </w:rPr>
              <w:t>-</w:t>
            </w:r>
          </w:p>
        </w:tc>
      </w:tr>
      <w:tr w:rsidR="00A43992" w14:paraId="3F6C4641" w14:textId="77777777" w:rsidTr="007211E3">
        <w:trPr>
          <w:trHeight w:val="255"/>
        </w:trPr>
        <w:tc>
          <w:tcPr>
            <w:tcW w:w="2773" w:type="dxa"/>
            <w:tcBorders>
              <w:top w:val="single" w:sz="4" w:space="0" w:color="auto"/>
              <w:left w:val="nil"/>
              <w:bottom w:val="single" w:sz="4" w:space="0" w:color="auto"/>
              <w:right w:val="nil"/>
            </w:tcBorders>
            <w:shd w:val="clear" w:color="FFFFFF" w:fill="FFFFFF"/>
            <w:vAlign w:val="bottom"/>
            <w:hideMark/>
          </w:tcPr>
          <w:p w14:paraId="1371CB1F" w14:textId="77777777" w:rsidR="00A43992" w:rsidRDefault="00A43992" w:rsidP="007211E3">
            <w:pPr>
              <w:rPr>
                <w:rFonts w:ascii="Arial" w:hAnsi="Arial" w:cs="Arial"/>
                <w:b/>
                <w:bCs/>
                <w:sz w:val="18"/>
                <w:szCs w:val="18"/>
              </w:rPr>
            </w:pPr>
            <w:r>
              <w:rPr>
                <w:rFonts w:ascii="Arial" w:hAnsi="Arial" w:cs="Arial"/>
                <w:b/>
                <w:bCs/>
                <w:sz w:val="18"/>
                <w:szCs w:val="18"/>
              </w:rPr>
              <w:t>Total</w:t>
            </w:r>
          </w:p>
        </w:tc>
        <w:tc>
          <w:tcPr>
            <w:tcW w:w="1224" w:type="dxa"/>
            <w:tcBorders>
              <w:top w:val="single" w:sz="4" w:space="0" w:color="auto"/>
              <w:left w:val="nil"/>
              <w:bottom w:val="single" w:sz="4" w:space="0" w:color="auto"/>
              <w:right w:val="nil"/>
            </w:tcBorders>
            <w:shd w:val="clear" w:color="FFFFFF" w:fill="FFFFFF"/>
            <w:vAlign w:val="bottom"/>
            <w:hideMark/>
          </w:tcPr>
          <w:p w14:paraId="0F8A21EE" w14:textId="77777777" w:rsidR="00A43992" w:rsidRDefault="00A43992" w:rsidP="007211E3">
            <w:pPr>
              <w:rPr>
                <w:rFonts w:ascii="Arial" w:hAnsi="Arial" w:cs="Arial"/>
                <w:b/>
                <w:bCs/>
                <w:sz w:val="18"/>
                <w:szCs w:val="18"/>
              </w:rPr>
            </w:pPr>
            <w:r>
              <w:rPr>
                <w:rFonts w:ascii="Arial" w:hAnsi="Arial" w:cs="Arial"/>
                <w:b/>
                <w:bCs/>
                <w:sz w:val="18"/>
                <w:szCs w:val="18"/>
              </w:rPr>
              <w:t> </w:t>
            </w:r>
          </w:p>
        </w:tc>
        <w:tc>
          <w:tcPr>
            <w:tcW w:w="1321" w:type="dxa"/>
            <w:tcBorders>
              <w:top w:val="single" w:sz="4" w:space="0" w:color="auto"/>
              <w:left w:val="nil"/>
              <w:bottom w:val="single" w:sz="4" w:space="0" w:color="auto"/>
              <w:right w:val="nil"/>
            </w:tcBorders>
            <w:shd w:val="clear" w:color="auto" w:fill="auto"/>
            <w:noWrap/>
            <w:vAlign w:val="bottom"/>
            <w:hideMark/>
          </w:tcPr>
          <w:p w14:paraId="41446DBE" w14:textId="77777777" w:rsidR="00A43992" w:rsidRDefault="00A43992" w:rsidP="007211E3">
            <w:pPr>
              <w:jc w:val="right"/>
              <w:rPr>
                <w:rFonts w:ascii="Arial" w:hAnsi="Arial" w:cs="Arial"/>
                <w:b/>
                <w:bCs/>
                <w:sz w:val="18"/>
                <w:szCs w:val="18"/>
              </w:rPr>
            </w:pPr>
            <w:r>
              <w:rPr>
                <w:rFonts w:ascii="Arial" w:hAnsi="Arial" w:cs="Arial"/>
                <w:b/>
                <w:bCs/>
                <w:sz w:val="18"/>
                <w:szCs w:val="18"/>
              </w:rPr>
              <w:t xml:space="preserve">             1,415 </w:t>
            </w:r>
          </w:p>
        </w:tc>
        <w:tc>
          <w:tcPr>
            <w:tcW w:w="1321" w:type="dxa"/>
            <w:tcBorders>
              <w:top w:val="single" w:sz="4" w:space="0" w:color="auto"/>
              <w:left w:val="nil"/>
              <w:bottom w:val="single" w:sz="4" w:space="0" w:color="auto"/>
              <w:right w:val="nil"/>
            </w:tcBorders>
            <w:shd w:val="clear" w:color="FFFFFF" w:fill="FFFFFF"/>
            <w:noWrap/>
            <w:vAlign w:val="bottom"/>
            <w:hideMark/>
          </w:tcPr>
          <w:p w14:paraId="7932FA65" w14:textId="77777777" w:rsidR="00A43992" w:rsidRDefault="00A43992" w:rsidP="007211E3">
            <w:pPr>
              <w:jc w:val="right"/>
              <w:rPr>
                <w:rFonts w:ascii="Arial" w:hAnsi="Arial" w:cs="Arial"/>
                <w:sz w:val="18"/>
                <w:szCs w:val="18"/>
              </w:rPr>
            </w:pPr>
            <w:r>
              <w:rPr>
                <w:rFonts w:ascii="Arial" w:hAnsi="Arial" w:cs="Arial"/>
                <w:sz w:val="18"/>
                <w:szCs w:val="18"/>
              </w:rPr>
              <w:t>231</w:t>
            </w:r>
          </w:p>
        </w:tc>
        <w:tc>
          <w:tcPr>
            <w:tcW w:w="1224" w:type="dxa"/>
            <w:tcBorders>
              <w:top w:val="single" w:sz="4" w:space="0" w:color="auto"/>
              <w:left w:val="nil"/>
              <w:bottom w:val="single" w:sz="4" w:space="0" w:color="auto"/>
              <w:right w:val="nil"/>
            </w:tcBorders>
            <w:shd w:val="clear" w:color="FFFFFF" w:fill="FFFFFF"/>
            <w:noWrap/>
            <w:vAlign w:val="bottom"/>
            <w:hideMark/>
          </w:tcPr>
          <w:p w14:paraId="33BCF5DE" w14:textId="77777777" w:rsidR="00A43992" w:rsidRDefault="00A43992" w:rsidP="007211E3">
            <w:pPr>
              <w:jc w:val="right"/>
              <w:rPr>
                <w:rFonts w:ascii="Arial" w:hAnsi="Arial" w:cs="Arial"/>
                <w:b/>
                <w:bCs/>
                <w:sz w:val="18"/>
                <w:szCs w:val="18"/>
              </w:rPr>
            </w:pPr>
            <w:r>
              <w:rPr>
                <w:rFonts w:ascii="Arial" w:hAnsi="Arial" w:cs="Arial"/>
                <w:b/>
                <w:bCs/>
                <w:sz w:val="18"/>
                <w:szCs w:val="18"/>
              </w:rPr>
              <w:t>-</w:t>
            </w:r>
          </w:p>
        </w:tc>
        <w:tc>
          <w:tcPr>
            <w:tcW w:w="1224" w:type="dxa"/>
            <w:tcBorders>
              <w:top w:val="single" w:sz="4" w:space="0" w:color="auto"/>
              <w:left w:val="nil"/>
              <w:bottom w:val="single" w:sz="4" w:space="0" w:color="auto"/>
              <w:right w:val="nil"/>
            </w:tcBorders>
            <w:shd w:val="clear" w:color="FFFFFF" w:fill="FFFFFF"/>
            <w:noWrap/>
            <w:vAlign w:val="bottom"/>
            <w:hideMark/>
          </w:tcPr>
          <w:p w14:paraId="7331252E" w14:textId="77777777" w:rsidR="00A43992" w:rsidRDefault="00A43992" w:rsidP="007211E3">
            <w:pPr>
              <w:jc w:val="right"/>
              <w:rPr>
                <w:rFonts w:ascii="Arial" w:hAnsi="Arial" w:cs="Arial"/>
                <w:sz w:val="18"/>
                <w:szCs w:val="18"/>
              </w:rPr>
            </w:pPr>
            <w:r>
              <w:rPr>
                <w:rFonts w:ascii="Arial" w:hAnsi="Arial" w:cs="Arial"/>
                <w:sz w:val="18"/>
                <w:szCs w:val="18"/>
              </w:rPr>
              <w:t>-</w:t>
            </w:r>
          </w:p>
        </w:tc>
      </w:tr>
      <w:tr w:rsidR="00A43992" w14:paraId="19B3C2FC" w14:textId="77777777" w:rsidTr="007211E3">
        <w:trPr>
          <w:trHeight w:val="255"/>
        </w:trPr>
        <w:tc>
          <w:tcPr>
            <w:tcW w:w="2773" w:type="dxa"/>
            <w:tcBorders>
              <w:top w:val="nil"/>
              <w:left w:val="nil"/>
              <w:bottom w:val="nil"/>
              <w:right w:val="nil"/>
            </w:tcBorders>
            <w:shd w:val="clear" w:color="FFFFFF" w:fill="FFFFFF"/>
            <w:noWrap/>
            <w:vAlign w:val="bottom"/>
            <w:hideMark/>
          </w:tcPr>
          <w:p w14:paraId="37CFFEDC" w14:textId="77777777" w:rsidR="00A43992" w:rsidRDefault="00A43992" w:rsidP="007211E3">
            <w:pPr>
              <w:rPr>
                <w:rFonts w:ascii="Arial" w:hAnsi="Arial" w:cs="Arial"/>
                <w:sz w:val="18"/>
                <w:szCs w:val="18"/>
              </w:rPr>
            </w:pPr>
            <w:r>
              <w:rPr>
                <w:rFonts w:ascii="Arial" w:hAnsi="Arial" w:cs="Arial"/>
                <w:sz w:val="18"/>
                <w:szCs w:val="18"/>
              </w:rPr>
              <w:t> </w:t>
            </w:r>
          </w:p>
        </w:tc>
        <w:tc>
          <w:tcPr>
            <w:tcW w:w="1224" w:type="dxa"/>
            <w:tcBorders>
              <w:top w:val="nil"/>
              <w:left w:val="nil"/>
              <w:bottom w:val="nil"/>
              <w:right w:val="nil"/>
            </w:tcBorders>
            <w:shd w:val="clear" w:color="FFFFFF" w:fill="FFFFFF"/>
            <w:noWrap/>
            <w:vAlign w:val="bottom"/>
            <w:hideMark/>
          </w:tcPr>
          <w:p w14:paraId="41711032" w14:textId="77777777" w:rsidR="00A43992" w:rsidRDefault="00A43992" w:rsidP="007211E3">
            <w:pPr>
              <w:rPr>
                <w:rFonts w:ascii="Arial" w:hAnsi="Arial" w:cs="Arial"/>
                <w:sz w:val="18"/>
                <w:szCs w:val="18"/>
              </w:rPr>
            </w:pPr>
            <w:r>
              <w:rPr>
                <w:rFonts w:ascii="Arial" w:hAnsi="Arial" w:cs="Arial"/>
                <w:sz w:val="18"/>
                <w:szCs w:val="18"/>
              </w:rPr>
              <w:t> </w:t>
            </w:r>
          </w:p>
        </w:tc>
        <w:tc>
          <w:tcPr>
            <w:tcW w:w="1321" w:type="dxa"/>
            <w:tcBorders>
              <w:top w:val="nil"/>
              <w:left w:val="nil"/>
              <w:bottom w:val="nil"/>
              <w:right w:val="nil"/>
            </w:tcBorders>
            <w:shd w:val="clear" w:color="FFFFFF" w:fill="FFFFFF"/>
            <w:noWrap/>
            <w:vAlign w:val="bottom"/>
            <w:hideMark/>
          </w:tcPr>
          <w:p w14:paraId="29871293" w14:textId="77777777" w:rsidR="00A43992" w:rsidRDefault="00A43992" w:rsidP="007211E3">
            <w:pPr>
              <w:rPr>
                <w:rFonts w:ascii="Arial" w:hAnsi="Arial" w:cs="Arial"/>
                <w:sz w:val="18"/>
                <w:szCs w:val="18"/>
              </w:rPr>
            </w:pPr>
            <w:r>
              <w:rPr>
                <w:rFonts w:ascii="Arial" w:hAnsi="Arial" w:cs="Arial"/>
                <w:sz w:val="18"/>
                <w:szCs w:val="18"/>
              </w:rPr>
              <w:t> </w:t>
            </w:r>
          </w:p>
        </w:tc>
        <w:tc>
          <w:tcPr>
            <w:tcW w:w="1321" w:type="dxa"/>
            <w:tcBorders>
              <w:top w:val="nil"/>
              <w:left w:val="nil"/>
              <w:bottom w:val="nil"/>
              <w:right w:val="nil"/>
            </w:tcBorders>
            <w:shd w:val="clear" w:color="FFFFFF" w:fill="FFFFFF"/>
            <w:noWrap/>
            <w:vAlign w:val="bottom"/>
            <w:hideMark/>
          </w:tcPr>
          <w:p w14:paraId="3DE06506" w14:textId="77777777" w:rsidR="00A43992" w:rsidRDefault="00A43992" w:rsidP="007211E3">
            <w:pPr>
              <w:rPr>
                <w:rFonts w:ascii="Arial" w:hAnsi="Arial" w:cs="Arial"/>
                <w:sz w:val="18"/>
                <w:szCs w:val="18"/>
              </w:rPr>
            </w:pPr>
            <w:r>
              <w:rPr>
                <w:rFonts w:ascii="Arial" w:hAnsi="Arial" w:cs="Arial"/>
                <w:sz w:val="18"/>
                <w:szCs w:val="18"/>
              </w:rPr>
              <w:t> </w:t>
            </w:r>
          </w:p>
        </w:tc>
        <w:tc>
          <w:tcPr>
            <w:tcW w:w="1224" w:type="dxa"/>
            <w:tcBorders>
              <w:top w:val="nil"/>
              <w:left w:val="nil"/>
              <w:bottom w:val="nil"/>
              <w:right w:val="nil"/>
            </w:tcBorders>
            <w:shd w:val="clear" w:color="FFFFFF" w:fill="FFFFFF"/>
            <w:noWrap/>
            <w:vAlign w:val="bottom"/>
            <w:hideMark/>
          </w:tcPr>
          <w:p w14:paraId="649065ED" w14:textId="77777777" w:rsidR="00A43992" w:rsidRDefault="00A43992" w:rsidP="007211E3">
            <w:pPr>
              <w:rPr>
                <w:rFonts w:ascii="Arial" w:hAnsi="Arial" w:cs="Arial"/>
                <w:sz w:val="18"/>
                <w:szCs w:val="18"/>
              </w:rPr>
            </w:pPr>
            <w:r>
              <w:rPr>
                <w:rFonts w:ascii="Arial" w:hAnsi="Arial" w:cs="Arial"/>
                <w:sz w:val="18"/>
                <w:szCs w:val="18"/>
              </w:rPr>
              <w:t> </w:t>
            </w:r>
          </w:p>
        </w:tc>
        <w:tc>
          <w:tcPr>
            <w:tcW w:w="1224" w:type="dxa"/>
            <w:tcBorders>
              <w:top w:val="nil"/>
              <w:left w:val="nil"/>
              <w:bottom w:val="nil"/>
              <w:right w:val="nil"/>
            </w:tcBorders>
            <w:shd w:val="clear" w:color="FFFFFF" w:fill="FFFFFF"/>
            <w:noWrap/>
            <w:vAlign w:val="bottom"/>
            <w:hideMark/>
          </w:tcPr>
          <w:p w14:paraId="12A331A2" w14:textId="77777777" w:rsidR="00A43992" w:rsidRDefault="00A43992" w:rsidP="007211E3">
            <w:pPr>
              <w:rPr>
                <w:rFonts w:ascii="Arial" w:hAnsi="Arial" w:cs="Arial"/>
                <w:sz w:val="18"/>
                <w:szCs w:val="18"/>
              </w:rPr>
            </w:pPr>
            <w:r>
              <w:rPr>
                <w:rFonts w:ascii="Arial" w:hAnsi="Arial" w:cs="Arial"/>
                <w:sz w:val="18"/>
                <w:szCs w:val="18"/>
              </w:rPr>
              <w:t> </w:t>
            </w:r>
          </w:p>
        </w:tc>
      </w:tr>
    </w:tbl>
    <w:p w14:paraId="204BFAB1" w14:textId="77777777" w:rsidR="00A43992" w:rsidRDefault="00A43992" w:rsidP="00A43992">
      <w:pPr>
        <w:spacing w:line="240" w:lineRule="auto"/>
      </w:pPr>
      <w:bookmarkStart w:id="518" w:name="RANGE!D7:I39"/>
      <w:bookmarkStart w:id="519" w:name="RANGE!D7:I38"/>
      <w:bookmarkStart w:id="520" w:name="RANGE!D7:I40"/>
      <w:bookmarkStart w:id="521" w:name="RANGE!D7:I45"/>
      <w:bookmarkStart w:id="522" w:name="RANGE!D6:I44"/>
      <w:bookmarkStart w:id="523" w:name="RANGE!D6:D45"/>
      <w:bookmarkStart w:id="524" w:name="RANGE!D6:I45"/>
      <w:bookmarkEnd w:id="518"/>
      <w:bookmarkEnd w:id="519"/>
      <w:bookmarkEnd w:id="520"/>
      <w:bookmarkEnd w:id="521"/>
      <w:bookmarkEnd w:id="522"/>
      <w:bookmarkEnd w:id="523"/>
      <w:bookmarkEnd w:id="524"/>
    </w:p>
    <w:p w14:paraId="1DDD142C" w14:textId="77777777" w:rsidR="00A43992" w:rsidRDefault="00A43992" w:rsidP="00A43992">
      <w:pPr>
        <w:spacing w:line="240" w:lineRule="auto"/>
      </w:pPr>
    </w:p>
    <w:p w14:paraId="455B947B" w14:textId="77777777" w:rsidR="00A43992" w:rsidRDefault="00A43992" w:rsidP="00A43992">
      <w:pPr>
        <w:spacing w:line="240" w:lineRule="auto"/>
      </w:pPr>
    </w:p>
    <w:p w14:paraId="655C0ADF" w14:textId="77777777" w:rsidR="00A43992" w:rsidRPr="005E5430" w:rsidRDefault="00A43992" w:rsidP="00A43992">
      <w:pPr>
        <w:spacing w:line="240" w:lineRule="auto"/>
      </w:pPr>
    </w:p>
    <w:tbl>
      <w:tblPr>
        <w:tblW w:w="9087" w:type="dxa"/>
        <w:tblInd w:w="80" w:type="dxa"/>
        <w:tblLayout w:type="fixed"/>
        <w:tblLook w:val="04A0" w:firstRow="1" w:lastRow="0" w:firstColumn="1" w:lastColumn="0" w:noHBand="0" w:noVBand="1"/>
      </w:tblPr>
      <w:tblGrid>
        <w:gridCol w:w="2850"/>
        <w:gridCol w:w="1247"/>
        <w:gridCol w:w="1247"/>
        <w:gridCol w:w="1247"/>
        <w:gridCol w:w="1248"/>
        <w:gridCol w:w="1248"/>
      </w:tblGrid>
      <w:tr w:rsidR="00A43992" w14:paraId="5801B217" w14:textId="77777777" w:rsidTr="007211E3">
        <w:trPr>
          <w:trHeight w:val="255"/>
        </w:trPr>
        <w:tc>
          <w:tcPr>
            <w:tcW w:w="2850" w:type="dxa"/>
            <w:tcBorders>
              <w:top w:val="nil"/>
              <w:left w:val="nil"/>
              <w:bottom w:val="nil"/>
              <w:right w:val="nil"/>
            </w:tcBorders>
            <w:shd w:val="clear" w:color="FFFFFF" w:fill="FFFFFF"/>
            <w:noWrap/>
            <w:vAlign w:val="bottom"/>
            <w:hideMark/>
          </w:tcPr>
          <w:p w14:paraId="171A0533" w14:textId="77777777" w:rsidR="00A43992" w:rsidRDefault="00A43992" w:rsidP="007211E3">
            <w:pPr>
              <w:rPr>
                <w:rFonts w:ascii="Arial" w:hAnsi="Arial" w:cs="Arial"/>
                <w:b/>
                <w:bCs/>
                <w:sz w:val="18"/>
                <w:szCs w:val="18"/>
                <w:u w:val="single"/>
              </w:rPr>
            </w:pPr>
            <w:bookmarkStart w:id="525" w:name="RANGE!D8:J9"/>
            <w:bookmarkStart w:id="526" w:name="Note_FIITABLE1" w:colFirst="0" w:colLast="0"/>
            <w:r>
              <w:rPr>
                <w:rFonts w:ascii="Arial" w:hAnsi="Arial" w:cs="Arial"/>
                <w:b/>
                <w:bCs/>
                <w:sz w:val="18"/>
                <w:szCs w:val="18"/>
                <w:u w:val="single"/>
              </w:rPr>
              <w:t>Note 5.2D: Liquidity risk</w:t>
            </w:r>
            <w:bookmarkEnd w:id="525"/>
          </w:p>
        </w:tc>
        <w:tc>
          <w:tcPr>
            <w:tcW w:w="1247" w:type="dxa"/>
            <w:tcBorders>
              <w:top w:val="nil"/>
              <w:left w:val="nil"/>
              <w:bottom w:val="nil"/>
              <w:right w:val="nil"/>
            </w:tcBorders>
            <w:shd w:val="clear" w:color="FFFFFF" w:fill="FFFFFF"/>
            <w:noWrap/>
            <w:vAlign w:val="bottom"/>
            <w:hideMark/>
          </w:tcPr>
          <w:p w14:paraId="5C46367D" w14:textId="77777777" w:rsidR="00A43992" w:rsidRDefault="00A43992" w:rsidP="007211E3">
            <w:pPr>
              <w:rPr>
                <w:rFonts w:ascii="Arial" w:hAnsi="Arial" w:cs="Arial"/>
                <w:sz w:val="18"/>
                <w:szCs w:val="18"/>
              </w:rPr>
            </w:pPr>
            <w:r>
              <w:rPr>
                <w:rFonts w:ascii="Arial" w:hAnsi="Arial" w:cs="Arial"/>
                <w:sz w:val="18"/>
                <w:szCs w:val="18"/>
              </w:rPr>
              <w:t> </w:t>
            </w:r>
          </w:p>
        </w:tc>
        <w:tc>
          <w:tcPr>
            <w:tcW w:w="1247" w:type="dxa"/>
            <w:tcBorders>
              <w:top w:val="nil"/>
              <w:left w:val="nil"/>
              <w:bottom w:val="nil"/>
              <w:right w:val="nil"/>
            </w:tcBorders>
            <w:shd w:val="clear" w:color="FFFFFF" w:fill="FFFFFF"/>
            <w:noWrap/>
            <w:vAlign w:val="bottom"/>
            <w:hideMark/>
          </w:tcPr>
          <w:p w14:paraId="0CA545C3" w14:textId="77777777" w:rsidR="00A43992" w:rsidRDefault="00A43992" w:rsidP="007211E3">
            <w:pPr>
              <w:rPr>
                <w:rFonts w:ascii="Arial" w:hAnsi="Arial" w:cs="Arial"/>
                <w:sz w:val="18"/>
                <w:szCs w:val="18"/>
              </w:rPr>
            </w:pPr>
            <w:r>
              <w:rPr>
                <w:rFonts w:ascii="Arial" w:hAnsi="Arial" w:cs="Arial"/>
                <w:sz w:val="18"/>
                <w:szCs w:val="18"/>
              </w:rPr>
              <w:t> </w:t>
            </w:r>
          </w:p>
        </w:tc>
        <w:tc>
          <w:tcPr>
            <w:tcW w:w="1247" w:type="dxa"/>
            <w:tcBorders>
              <w:top w:val="nil"/>
              <w:left w:val="nil"/>
              <w:bottom w:val="nil"/>
              <w:right w:val="nil"/>
            </w:tcBorders>
            <w:shd w:val="clear" w:color="FFFFFF" w:fill="FFFFFF"/>
            <w:noWrap/>
            <w:vAlign w:val="bottom"/>
            <w:hideMark/>
          </w:tcPr>
          <w:p w14:paraId="3B71EFFB" w14:textId="77777777" w:rsidR="00A43992" w:rsidRDefault="00A43992" w:rsidP="007211E3">
            <w:pPr>
              <w:rPr>
                <w:rFonts w:ascii="Arial" w:hAnsi="Arial" w:cs="Arial"/>
                <w:sz w:val="18"/>
                <w:szCs w:val="18"/>
              </w:rPr>
            </w:pPr>
            <w:r>
              <w:rPr>
                <w:rFonts w:ascii="Arial" w:hAnsi="Arial" w:cs="Arial"/>
                <w:sz w:val="18"/>
                <w:szCs w:val="18"/>
              </w:rPr>
              <w:t> </w:t>
            </w:r>
          </w:p>
        </w:tc>
        <w:tc>
          <w:tcPr>
            <w:tcW w:w="1248" w:type="dxa"/>
            <w:tcBorders>
              <w:top w:val="nil"/>
              <w:left w:val="nil"/>
              <w:bottom w:val="nil"/>
              <w:right w:val="nil"/>
            </w:tcBorders>
            <w:shd w:val="clear" w:color="FFFFFF" w:fill="FFFFFF"/>
            <w:noWrap/>
            <w:vAlign w:val="bottom"/>
            <w:hideMark/>
          </w:tcPr>
          <w:p w14:paraId="1D10351F" w14:textId="77777777" w:rsidR="00A43992" w:rsidRDefault="00A43992" w:rsidP="007211E3">
            <w:pPr>
              <w:rPr>
                <w:rFonts w:ascii="Arial" w:hAnsi="Arial" w:cs="Arial"/>
                <w:sz w:val="18"/>
                <w:szCs w:val="18"/>
              </w:rPr>
            </w:pPr>
            <w:r>
              <w:rPr>
                <w:rFonts w:ascii="Arial" w:hAnsi="Arial" w:cs="Arial"/>
                <w:sz w:val="18"/>
                <w:szCs w:val="18"/>
              </w:rPr>
              <w:t> </w:t>
            </w:r>
          </w:p>
        </w:tc>
        <w:tc>
          <w:tcPr>
            <w:tcW w:w="1248" w:type="dxa"/>
            <w:tcBorders>
              <w:top w:val="nil"/>
              <w:left w:val="nil"/>
              <w:bottom w:val="nil"/>
              <w:right w:val="nil"/>
            </w:tcBorders>
            <w:shd w:val="clear" w:color="FFFFFF" w:fill="FFFFFF"/>
            <w:noWrap/>
            <w:vAlign w:val="bottom"/>
            <w:hideMark/>
          </w:tcPr>
          <w:p w14:paraId="11D29DF0" w14:textId="77777777" w:rsidR="00A43992" w:rsidRDefault="00A43992" w:rsidP="007211E3">
            <w:pPr>
              <w:rPr>
                <w:rFonts w:ascii="Arial" w:hAnsi="Arial" w:cs="Arial"/>
                <w:sz w:val="18"/>
                <w:szCs w:val="18"/>
              </w:rPr>
            </w:pPr>
            <w:r>
              <w:rPr>
                <w:rFonts w:ascii="Arial" w:hAnsi="Arial" w:cs="Arial"/>
                <w:sz w:val="18"/>
                <w:szCs w:val="18"/>
              </w:rPr>
              <w:t> </w:t>
            </w:r>
          </w:p>
        </w:tc>
      </w:tr>
      <w:bookmarkEnd w:id="526"/>
      <w:tr w:rsidR="00A43992" w14:paraId="02DE6FA7" w14:textId="77777777" w:rsidTr="007211E3">
        <w:trPr>
          <w:trHeight w:val="795"/>
        </w:trPr>
        <w:tc>
          <w:tcPr>
            <w:tcW w:w="9087" w:type="dxa"/>
            <w:gridSpan w:val="6"/>
            <w:tcBorders>
              <w:top w:val="nil"/>
              <w:left w:val="nil"/>
              <w:bottom w:val="nil"/>
              <w:right w:val="nil"/>
            </w:tcBorders>
            <w:shd w:val="clear" w:color="FFFFFF" w:fill="FFFFFF"/>
            <w:vAlign w:val="bottom"/>
            <w:hideMark/>
          </w:tcPr>
          <w:p w14:paraId="5419F525" w14:textId="77777777" w:rsidR="00A43992" w:rsidRDefault="00A43992" w:rsidP="007211E3">
            <w:pPr>
              <w:rPr>
                <w:rFonts w:ascii="Arial" w:hAnsi="Arial" w:cs="Arial"/>
                <w:sz w:val="18"/>
                <w:szCs w:val="18"/>
              </w:rPr>
            </w:pPr>
            <w:r>
              <w:rPr>
                <w:rFonts w:ascii="Arial" w:hAnsi="Arial" w:cs="Arial"/>
                <w:sz w:val="18"/>
                <w:szCs w:val="18"/>
              </w:rPr>
              <w:t xml:space="preserve">The Agency manages liquidity risk by continuously monitoring the forecast and actual </w:t>
            </w:r>
            <w:proofErr w:type="spellStart"/>
            <w:r>
              <w:rPr>
                <w:rFonts w:ascii="Arial" w:hAnsi="Arial" w:cs="Arial"/>
                <w:sz w:val="18"/>
                <w:szCs w:val="18"/>
              </w:rPr>
              <w:t>cashflows</w:t>
            </w:r>
            <w:proofErr w:type="spellEnd"/>
            <w:r>
              <w:rPr>
                <w:rFonts w:ascii="Arial" w:hAnsi="Arial" w:cs="Arial"/>
                <w:sz w:val="18"/>
                <w:szCs w:val="18"/>
              </w:rPr>
              <w:t xml:space="preserve"> associated with financial assets and financial liabilities. All financial liabilities shown in the Statement of Financial Position as at 30 June 2016 are expected to fall due within 12 months.</w:t>
            </w:r>
          </w:p>
        </w:tc>
      </w:tr>
    </w:tbl>
    <w:p w14:paraId="2A6DF9AA" w14:textId="77777777" w:rsidR="00A43992" w:rsidRDefault="00A43992" w:rsidP="00A43992">
      <w:bookmarkStart w:id="527" w:name="RANGE!D8:J25"/>
      <w:bookmarkEnd w:id="527"/>
    </w:p>
    <w:tbl>
      <w:tblPr>
        <w:tblW w:w="9087" w:type="dxa"/>
        <w:tblInd w:w="80" w:type="dxa"/>
        <w:tblLayout w:type="fixed"/>
        <w:tblLook w:val="04A0" w:firstRow="1" w:lastRow="0" w:firstColumn="1" w:lastColumn="0" w:noHBand="0" w:noVBand="1"/>
      </w:tblPr>
      <w:tblGrid>
        <w:gridCol w:w="4609"/>
        <w:gridCol w:w="1328"/>
        <w:gridCol w:w="1118"/>
        <w:gridCol w:w="1111"/>
        <w:gridCol w:w="921"/>
      </w:tblGrid>
      <w:tr w:rsidR="00A43992" w14:paraId="6B8EE8DF" w14:textId="77777777" w:rsidTr="007211E3">
        <w:trPr>
          <w:trHeight w:val="255"/>
        </w:trPr>
        <w:tc>
          <w:tcPr>
            <w:tcW w:w="4609" w:type="dxa"/>
            <w:tcBorders>
              <w:top w:val="nil"/>
              <w:left w:val="nil"/>
              <w:bottom w:val="nil"/>
              <w:right w:val="nil"/>
            </w:tcBorders>
            <w:shd w:val="clear" w:color="FFFFFF" w:fill="FFFFFF"/>
            <w:noWrap/>
            <w:vAlign w:val="bottom"/>
            <w:hideMark/>
          </w:tcPr>
          <w:p w14:paraId="580FB7BD" w14:textId="77777777" w:rsidR="00A43992" w:rsidRDefault="00A43992" w:rsidP="007211E3">
            <w:pPr>
              <w:rPr>
                <w:rFonts w:ascii="Arial" w:hAnsi="Arial" w:cs="Arial"/>
                <w:b/>
                <w:bCs/>
                <w:sz w:val="18"/>
                <w:szCs w:val="18"/>
                <w:u w:val="single"/>
              </w:rPr>
            </w:pPr>
            <w:bookmarkStart w:id="528" w:name="Note_FIJTABLE1" w:colFirst="0" w:colLast="0"/>
            <w:r>
              <w:rPr>
                <w:rFonts w:ascii="Arial" w:hAnsi="Arial" w:cs="Arial"/>
                <w:b/>
                <w:bCs/>
                <w:sz w:val="18"/>
                <w:szCs w:val="18"/>
                <w:u w:val="single"/>
              </w:rPr>
              <w:t>Note 5.2E: Market risk</w:t>
            </w:r>
          </w:p>
        </w:tc>
        <w:tc>
          <w:tcPr>
            <w:tcW w:w="1328" w:type="dxa"/>
            <w:tcBorders>
              <w:top w:val="nil"/>
              <w:left w:val="nil"/>
              <w:bottom w:val="nil"/>
              <w:right w:val="nil"/>
            </w:tcBorders>
            <w:shd w:val="clear" w:color="FFFFFF" w:fill="FFFFFF"/>
            <w:noWrap/>
            <w:vAlign w:val="bottom"/>
            <w:hideMark/>
          </w:tcPr>
          <w:p w14:paraId="6E08BB5A" w14:textId="77777777" w:rsidR="00A43992" w:rsidRDefault="00A43992" w:rsidP="007211E3">
            <w:pPr>
              <w:rPr>
                <w:rFonts w:ascii="Arial" w:hAnsi="Arial" w:cs="Arial"/>
                <w:sz w:val="18"/>
                <w:szCs w:val="18"/>
              </w:rPr>
            </w:pPr>
            <w:r>
              <w:rPr>
                <w:rFonts w:ascii="Arial" w:hAnsi="Arial" w:cs="Arial"/>
                <w:sz w:val="18"/>
                <w:szCs w:val="18"/>
              </w:rPr>
              <w:t> </w:t>
            </w:r>
          </w:p>
        </w:tc>
        <w:tc>
          <w:tcPr>
            <w:tcW w:w="1118" w:type="dxa"/>
            <w:tcBorders>
              <w:top w:val="nil"/>
              <w:left w:val="nil"/>
              <w:bottom w:val="nil"/>
              <w:right w:val="nil"/>
            </w:tcBorders>
            <w:shd w:val="clear" w:color="FFFFFF" w:fill="FFFFFF"/>
            <w:noWrap/>
            <w:vAlign w:val="bottom"/>
            <w:hideMark/>
          </w:tcPr>
          <w:p w14:paraId="600868E6" w14:textId="77777777" w:rsidR="00A43992" w:rsidRDefault="00A43992" w:rsidP="007211E3">
            <w:pPr>
              <w:rPr>
                <w:rFonts w:ascii="Arial" w:hAnsi="Arial" w:cs="Arial"/>
                <w:sz w:val="18"/>
                <w:szCs w:val="18"/>
              </w:rPr>
            </w:pPr>
            <w:r>
              <w:rPr>
                <w:rFonts w:ascii="Arial" w:hAnsi="Arial" w:cs="Arial"/>
                <w:sz w:val="18"/>
                <w:szCs w:val="18"/>
              </w:rPr>
              <w:t> </w:t>
            </w:r>
          </w:p>
        </w:tc>
        <w:tc>
          <w:tcPr>
            <w:tcW w:w="1111" w:type="dxa"/>
            <w:tcBorders>
              <w:top w:val="nil"/>
              <w:left w:val="nil"/>
              <w:bottom w:val="nil"/>
              <w:right w:val="nil"/>
            </w:tcBorders>
            <w:shd w:val="clear" w:color="FFFFFF" w:fill="FFFFFF"/>
            <w:noWrap/>
            <w:vAlign w:val="bottom"/>
            <w:hideMark/>
          </w:tcPr>
          <w:p w14:paraId="3DAD2D7A" w14:textId="77777777" w:rsidR="00A43992" w:rsidRDefault="00A43992" w:rsidP="007211E3">
            <w:pPr>
              <w:rPr>
                <w:rFonts w:ascii="Arial" w:hAnsi="Arial" w:cs="Arial"/>
                <w:sz w:val="18"/>
                <w:szCs w:val="18"/>
              </w:rPr>
            </w:pPr>
            <w:r>
              <w:rPr>
                <w:rFonts w:ascii="Arial" w:hAnsi="Arial" w:cs="Arial"/>
                <w:sz w:val="18"/>
                <w:szCs w:val="18"/>
              </w:rPr>
              <w:t> </w:t>
            </w:r>
          </w:p>
        </w:tc>
        <w:tc>
          <w:tcPr>
            <w:tcW w:w="921" w:type="dxa"/>
            <w:tcBorders>
              <w:top w:val="nil"/>
              <w:left w:val="nil"/>
              <w:bottom w:val="nil"/>
              <w:right w:val="nil"/>
            </w:tcBorders>
            <w:shd w:val="clear" w:color="FFFFFF" w:fill="FFFFFF"/>
            <w:noWrap/>
            <w:vAlign w:val="bottom"/>
            <w:hideMark/>
          </w:tcPr>
          <w:p w14:paraId="37B666B4" w14:textId="77777777" w:rsidR="00A43992" w:rsidRDefault="00A43992" w:rsidP="007211E3">
            <w:pPr>
              <w:rPr>
                <w:rFonts w:ascii="Arial" w:hAnsi="Arial" w:cs="Arial"/>
                <w:sz w:val="18"/>
                <w:szCs w:val="18"/>
              </w:rPr>
            </w:pPr>
            <w:r>
              <w:rPr>
                <w:rFonts w:ascii="Arial" w:hAnsi="Arial" w:cs="Arial"/>
                <w:sz w:val="18"/>
                <w:szCs w:val="18"/>
              </w:rPr>
              <w:t> </w:t>
            </w:r>
          </w:p>
        </w:tc>
      </w:tr>
      <w:bookmarkEnd w:id="528"/>
      <w:tr w:rsidR="00A43992" w14:paraId="675F240B" w14:textId="77777777" w:rsidTr="007211E3">
        <w:trPr>
          <w:trHeight w:val="1245"/>
        </w:trPr>
        <w:tc>
          <w:tcPr>
            <w:tcW w:w="9087" w:type="dxa"/>
            <w:gridSpan w:val="5"/>
            <w:tcBorders>
              <w:top w:val="nil"/>
              <w:left w:val="nil"/>
              <w:bottom w:val="nil"/>
              <w:right w:val="nil"/>
            </w:tcBorders>
            <w:shd w:val="clear" w:color="FFFFFF" w:fill="FFFFFF"/>
            <w:hideMark/>
          </w:tcPr>
          <w:p w14:paraId="648898EA" w14:textId="77777777" w:rsidR="00A43992" w:rsidRDefault="00A43992" w:rsidP="007211E3">
            <w:pPr>
              <w:rPr>
                <w:rFonts w:ascii="Arial" w:hAnsi="Arial" w:cs="Arial"/>
                <w:sz w:val="18"/>
                <w:szCs w:val="18"/>
              </w:rPr>
            </w:pPr>
            <w:r>
              <w:rPr>
                <w:rFonts w:ascii="Arial" w:hAnsi="Arial" w:cs="Arial"/>
                <w:sz w:val="18"/>
                <w:szCs w:val="18"/>
              </w:rPr>
              <w:t>The Agency holds basic financial instruments that do not expose the Agency to certain market risks. The Agency is not exposed to 'currency risk' or 'other price risk'.</w:t>
            </w:r>
            <w:r>
              <w:rPr>
                <w:rFonts w:ascii="Arial" w:hAnsi="Arial" w:cs="Arial"/>
                <w:sz w:val="18"/>
                <w:szCs w:val="18"/>
              </w:rPr>
              <w:br/>
            </w:r>
            <w:r>
              <w:rPr>
                <w:rFonts w:ascii="Arial" w:hAnsi="Arial" w:cs="Arial"/>
                <w:sz w:val="18"/>
                <w:szCs w:val="18"/>
              </w:rPr>
              <w:br/>
              <w:t>The only interest-bearing items on the balance sheet are certificates of deposit. All certificates bear interest at a fixed interest rate and will not fluctuate due to changes in the market interest rate.</w:t>
            </w:r>
          </w:p>
        </w:tc>
      </w:tr>
    </w:tbl>
    <w:p w14:paraId="47F6AE6F" w14:textId="77777777" w:rsidR="00A43992" w:rsidRPr="009F204C" w:rsidRDefault="00A43992" w:rsidP="00A43992">
      <w:bookmarkStart w:id="529" w:name="RANGE!D7:H11"/>
      <w:bookmarkStart w:id="530" w:name="RANGE!D7:H30"/>
      <w:bookmarkEnd w:id="529"/>
      <w:bookmarkEnd w:id="530"/>
    </w:p>
    <w:tbl>
      <w:tblPr>
        <w:tblW w:w="9087" w:type="dxa"/>
        <w:tblInd w:w="80" w:type="dxa"/>
        <w:tblLayout w:type="fixed"/>
        <w:tblLook w:val="04A0" w:firstRow="1" w:lastRow="0" w:firstColumn="1" w:lastColumn="0" w:noHBand="0" w:noVBand="1"/>
      </w:tblPr>
      <w:tblGrid>
        <w:gridCol w:w="5110"/>
        <w:gridCol w:w="1247"/>
        <w:gridCol w:w="1247"/>
        <w:gridCol w:w="236"/>
        <w:gridCol w:w="1247"/>
      </w:tblGrid>
      <w:tr w:rsidR="00A43992" w14:paraId="0EF9CEFB" w14:textId="77777777" w:rsidTr="007211E3">
        <w:trPr>
          <w:trHeight w:val="240"/>
        </w:trPr>
        <w:tc>
          <w:tcPr>
            <w:tcW w:w="5110" w:type="dxa"/>
            <w:tcBorders>
              <w:top w:val="nil"/>
              <w:left w:val="nil"/>
              <w:bottom w:val="nil"/>
              <w:right w:val="nil"/>
            </w:tcBorders>
            <w:shd w:val="clear" w:color="FFFFFF" w:fill="FFFFFF"/>
            <w:noWrap/>
            <w:vAlign w:val="bottom"/>
            <w:hideMark/>
          </w:tcPr>
          <w:p w14:paraId="5D8EBC80" w14:textId="77777777" w:rsidR="00A43992" w:rsidRDefault="00A43992" w:rsidP="007211E3">
            <w:pPr>
              <w:rPr>
                <w:rFonts w:ascii="Arial" w:hAnsi="Arial" w:cs="Arial"/>
                <w:sz w:val="18"/>
                <w:szCs w:val="18"/>
              </w:rPr>
            </w:pPr>
            <w:bookmarkStart w:id="531" w:name="RANGE!D7:H7"/>
            <w:bookmarkStart w:id="532" w:name="Note_FARTABLE1" w:colFirst="0" w:colLast="0"/>
            <w:r>
              <w:rPr>
                <w:rFonts w:ascii="Arial" w:hAnsi="Arial" w:cs="Arial"/>
                <w:sz w:val="18"/>
                <w:szCs w:val="18"/>
              </w:rPr>
              <w:t> </w:t>
            </w:r>
            <w:bookmarkEnd w:id="531"/>
          </w:p>
        </w:tc>
        <w:tc>
          <w:tcPr>
            <w:tcW w:w="1247" w:type="dxa"/>
            <w:tcBorders>
              <w:top w:val="nil"/>
              <w:left w:val="nil"/>
              <w:bottom w:val="nil"/>
              <w:right w:val="nil"/>
            </w:tcBorders>
            <w:shd w:val="clear" w:color="FFFFFF" w:fill="FFFFFF"/>
            <w:noWrap/>
            <w:vAlign w:val="bottom"/>
            <w:hideMark/>
          </w:tcPr>
          <w:p w14:paraId="47E27515" w14:textId="77777777" w:rsidR="00A43992" w:rsidRDefault="00A43992" w:rsidP="007211E3">
            <w:pPr>
              <w:rPr>
                <w:rFonts w:ascii="Arial" w:hAnsi="Arial" w:cs="Arial"/>
                <w:sz w:val="18"/>
                <w:szCs w:val="18"/>
              </w:rPr>
            </w:pPr>
            <w:r>
              <w:rPr>
                <w:rFonts w:ascii="Arial" w:hAnsi="Arial" w:cs="Arial"/>
                <w:sz w:val="18"/>
                <w:szCs w:val="18"/>
              </w:rPr>
              <w:t> </w:t>
            </w:r>
          </w:p>
        </w:tc>
        <w:tc>
          <w:tcPr>
            <w:tcW w:w="1247" w:type="dxa"/>
            <w:tcBorders>
              <w:top w:val="nil"/>
              <w:left w:val="nil"/>
              <w:bottom w:val="nil"/>
              <w:right w:val="nil"/>
            </w:tcBorders>
            <w:shd w:val="clear" w:color="FFFFFF" w:fill="FFFFFF"/>
            <w:vAlign w:val="bottom"/>
            <w:hideMark/>
          </w:tcPr>
          <w:p w14:paraId="55B286C3" w14:textId="77777777" w:rsidR="00A43992" w:rsidRDefault="00A43992" w:rsidP="007211E3">
            <w:pPr>
              <w:jc w:val="right"/>
              <w:rPr>
                <w:rFonts w:ascii="Arial" w:hAnsi="Arial" w:cs="Arial"/>
                <w:b/>
                <w:bCs/>
                <w:sz w:val="18"/>
                <w:szCs w:val="18"/>
              </w:rPr>
            </w:pPr>
            <w:r>
              <w:rPr>
                <w:rFonts w:ascii="Arial" w:hAnsi="Arial" w:cs="Arial"/>
                <w:b/>
                <w:bCs/>
                <w:sz w:val="18"/>
                <w:szCs w:val="18"/>
              </w:rPr>
              <w:t>2016</w:t>
            </w:r>
          </w:p>
        </w:tc>
        <w:tc>
          <w:tcPr>
            <w:tcW w:w="236" w:type="dxa"/>
            <w:tcBorders>
              <w:top w:val="nil"/>
              <w:left w:val="nil"/>
              <w:bottom w:val="nil"/>
              <w:right w:val="nil"/>
            </w:tcBorders>
            <w:shd w:val="clear" w:color="FFFFFF" w:fill="FFFFFF"/>
            <w:noWrap/>
            <w:vAlign w:val="bottom"/>
            <w:hideMark/>
          </w:tcPr>
          <w:p w14:paraId="3CE8C267" w14:textId="77777777" w:rsidR="00A43992" w:rsidRDefault="00A43992" w:rsidP="007211E3">
            <w:pPr>
              <w:rPr>
                <w:rFonts w:ascii="Arial" w:hAnsi="Arial" w:cs="Arial"/>
                <w:sz w:val="18"/>
                <w:szCs w:val="18"/>
              </w:rPr>
            </w:pPr>
            <w:r>
              <w:rPr>
                <w:rFonts w:ascii="Arial" w:hAnsi="Arial" w:cs="Arial"/>
                <w:sz w:val="18"/>
                <w:szCs w:val="18"/>
              </w:rPr>
              <w:t> </w:t>
            </w:r>
          </w:p>
        </w:tc>
        <w:tc>
          <w:tcPr>
            <w:tcW w:w="1247" w:type="dxa"/>
            <w:tcBorders>
              <w:top w:val="nil"/>
              <w:left w:val="nil"/>
              <w:bottom w:val="nil"/>
              <w:right w:val="nil"/>
            </w:tcBorders>
            <w:shd w:val="clear" w:color="auto" w:fill="auto"/>
            <w:noWrap/>
            <w:vAlign w:val="bottom"/>
            <w:hideMark/>
          </w:tcPr>
          <w:p w14:paraId="4876C1E8" w14:textId="77777777" w:rsidR="00A43992" w:rsidRDefault="00A43992" w:rsidP="007211E3">
            <w:pPr>
              <w:jc w:val="right"/>
              <w:rPr>
                <w:rFonts w:ascii="Arial" w:hAnsi="Arial" w:cs="Arial"/>
                <w:sz w:val="18"/>
                <w:szCs w:val="18"/>
              </w:rPr>
            </w:pPr>
            <w:r>
              <w:rPr>
                <w:rFonts w:ascii="Arial" w:hAnsi="Arial" w:cs="Arial"/>
                <w:sz w:val="18"/>
                <w:szCs w:val="18"/>
              </w:rPr>
              <w:t>2015</w:t>
            </w:r>
          </w:p>
        </w:tc>
      </w:tr>
      <w:bookmarkEnd w:id="532"/>
      <w:tr w:rsidR="00A43992" w14:paraId="5DD56734" w14:textId="77777777" w:rsidTr="007211E3">
        <w:trPr>
          <w:trHeight w:val="240"/>
        </w:trPr>
        <w:tc>
          <w:tcPr>
            <w:tcW w:w="5110" w:type="dxa"/>
            <w:tcBorders>
              <w:top w:val="nil"/>
              <w:left w:val="nil"/>
              <w:bottom w:val="nil"/>
              <w:right w:val="nil"/>
            </w:tcBorders>
            <w:shd w:val="clear" w:color="FFFFFF" w:fill="FFFFFF"/>
            <w:noWrap/>
            <w:vAlign w:val="bottom"/>
            <w:hideMark/>
          </w:tcPr>
          <w:p w14:paraId="208623AA" w14:textId="77777777" w:rsidR="00A43992" w:rsidRDefault="00A43992" w:rsidP="007211E3">
            <w:pPr>
              <w:rPr>
                <w:rFonts w:ascii="Arial" w:hAnsi="Arial" w:cs="Arial"/>
                <w:sz w:val="18"/>
                <w:szCs w:val="18"/>
              </w:rPr>
            </w:pPr>
            <w:r>
              <w:rPr>
                <w:rFonts w:ascii="Arial" w:hAnsi="Arial" w:cs="Arial"/>
                <w:sz w:val="18"/>
                <w:szCs w:val="18"/>
              </w:rPr>
              <w:lastRenderedPageBreak/>
              <w:t> </w:t>
            </w:r>
          </w:p>
        </w:tc>
        <w:tc>
          <w:tcPr>
            <w:tcW w:w="1247" w:type="dxa"/>
            <w:tcBorders>
              <w:top w:val="nil"/>
              <w:left w:val="nil"/>
              <w:bottom w:val="nil"/>
              <w:right w:val="nil"/>
            </w:tcBorders>
            <w:shd w:val="clear" w:color="FFFFFF" w:fill="FFFFFF"/>
            <w:noWrap/>
            <w:vAlign w:val="bottom"/>
            <w:hideMark/>
          </w:tcPr>
          <w:p w14:paraId="5512F83D" w14:textId="77777777" w:rsidR="00A43992" w:rsidRDefault="00A43992" w:rsidP="007211E3">
            <w:pPr>
              <w:rPr>
                <w:rFonts w:ascii="Arial" w:hAnsi="Arial" w:cs="Arial"/>
                <w:sz w:val="18"/>
                <w:szCs w:val="18"/>
              </w:rPr>
            </w:pPr>
            <w:r>
              <w:rPr>
                <w:rFonts w:ascii="Arial" w:hAnsi="Arial" w:cs="Arial"/>
                <w:sz w:val="18"/>
                <w:szCs w:val="18"/>
              </w:rPr>
              <w:t> </w:t>
            </w:r>
          </w:p>
        </w:tc>
        <w:tc>
          <w:tcPr>
            <w:tcW w:w="1247" w:type="dxa"/>
            <w:tcBorders>
              <w:top w:val="nil"/>
              <w:left w:val="nil"/>
              <w:bottom w:val="nil"/>
              <w:right w:val="nil"/>
            </w:tcBorders>
            <w:shd w:val="clear" w:color="FFFFFF" w:fill="FFFFFF"/>
            <w:vAlign w:val="bottom"/>
            <w:hideMark/>
          </w:tcPr>
          <w:p w14:paraId="53CA20F0" w14:textId="77777777" w:rsidR="00A43992" w:rsidRDefault="00A43992" w:rsidP="007211E3">
            <w:pPr>
              <w:jc w:val="right"/>
              <w:rPr>
                <w:rFonts w:ascii="Arial" w:hAnsi="Arial" w:cs="Arial"/>
                <w:b/>
                <w:bCs/>
                <w:sz w:val="18"/>
                <w:szCs w:val="18"/>
              </w:rPr>
            </w:pPr>
            <w:r>
              <w:rPr>
                <w:rFonts w:ascii="Arial" w:hAnsi="Arial" w:cs="Arial"/>
                <w:b/>
                <w:bCs/>
                <w:sz w:val="18"/>
                <w:szCs w:val="18"/>
              </w:rPr>
              <w:t>$'000</w:t>
            </w:r>
          </w:p>
        </w:tc>
        <w:tc>
          <w:tcPr>
            <w:tcW w:w="236" w:type="dxa"/>
            <w:tcBorders>
              <w:top w:val="nil"/>
              <w:left w:val="nil"/>
              <w:bottom w:val="nil"/>
              <w:right w:val="nil"/>
            </w:tcBorders>
            <w:shd w:val="clear" w:color="FFFFFF" w:fill="FFFFFF"/>
            <w:noWrap/>
            <w:vAlign w:val="bottom"/>
            <w:hideMark/>
          </w:tcPr>
          <w:p w14:paraId="0C5E7CCB" w14:textId="77777777" w:rsidR="00A43992" w:rsidRDefault="00A43992" w:rsidP="007211E3">
            <w:pPr>
              <w:rPr>
                <w:rFonts w:ascii="Arial" w:hAnsi="Arial" w:cs="Arial"/>
                <w:sz w:val="18"/>
                <w:szCs w:val="18"/>
              </w:rPr>
            </w:pPr>
            <w:r>
              <w:rPr>
                <w:rFonts w:ascii="Arial" w:hAnsi="Arial" w:cs="Arial"/>
                <w:sz w:val="18"/>
                <w:szCs w:val="18"/>
              </w:rPr>
              <w:t> </w:t>
            </w:r>
          </w:p>
        </w:tc>
        <w:tc>
          <w:tcPr>
            <w:tcW w:w="1247" w:type="dxa"/>
            <w:tcBorders>
              <w:top w:val="nil"/>
              <w:left w:val="nil"/>
              <w:bottom w:val="nil"/>
              <w:right w:val="nil"/>
            </w:tcBorders>
            <w:shd w:val="clear" w:color="FFFFFF" w:fill="FFFFFF"/>
            <w:vAlign w:val="bottom"/>
            <w:hideMark/>
          </w:tcPr>
          <w:p w14:paraId="1FE636EA" w14:textId="77777777" w:rsidR="00A43992" w:rsidRDefault="00A43992" w:rsidP="007211E3">
            <w:pPr>
              <w:jc w:val="right"/>
              <w:rPr>
                <w:rFonts w:ascii="Arial" w:hAnsi="Arial" w:cs="Arial"/>
                <w:sz w:val="18"/>
                <w:szCs w:val="18"/>
              </w:rPr>
            </w:pPr>
            <w:r>
              <w:rPr>
                <w:rFonts w:ascii="Arial" w:hAnsi="Arial" w:cs="Arial"/>
                <w:sz w:val="18"/>
                <w:szCs w:val="18"/>
              </w:rPr>
              <w:t>$'000</w:t>
            </w:r>
          </w:p>
        </w:tc>
      </w:tr>
      <w:tr w:rsidR="00A43992" w14:paraId="7A35B015" w14:textId="77777777" w:rsidTr="007211E3">
        <w:trPr>
          <w:trHeight w:val="240"/>
        </w:trPr>
        <w:tc>
          <w:tcPr>
            <w:tcW w:w="5110" w:type="dxa"/>
            <w:tcBorders>
              <w:top w:val="nil"/>
              <w:left w:val="nil"/>
              <w:bottom w:val="nil"/>
              <w:right w:val="nil"/>
            </w:tcBorders>
            <w:shd w:val="clear" w:color="FFFFFF" w:fill="FFFFFF"/>
            <w:noWrap/>
            <w:vAlign w:val="bottom"/>
            <w:hideMark/>
          </w:tcPr>
          <w:p w14:paraId="5EE51892" w14:textId="77777777" w:rsidR="00A43992" w:rsidRDefault="00A43992" w:rsidP="007211E3">
            <w:pPr>
              <w:rPr>
                <w:rFonts w:ascii="Arial" w:hAnsi="Arial" w:cs="Arial"/>
                <w:b/>
                <w:bCs/>
                <w:sz w:val="18"/>
                <w:szCs w:val="18"/>
                <w:u w:val="single"/>
              </w:rPr>
            </w:pPr>
            <w:r>
              <w:rPr>
                <w:rFonts w:ascii="Arial" w:hAnsi="Arial" w:cs="Arial"/>
                <w:b/>
                <w:bCs/>
                <w:sz w:val="18"/>
                <w:szCs w:val="18"/>
                <w:u w:val="single"/>
              </w:rPr>
              <w:t>Note 5.2F: Financial assets reconciliation</w:t>
            </w:r>
          </w:p>
        </w:tc>
        <w:tc>
          <w:tcPr>
            <w:tcW w:w="1247" w:type="dxa"/>
            <w:tcBorders>
              <w:top w:val="nil"/>
              <w:left w:val="nil"/>
              <w:bottom w:val="nil"/>
              <w:right w:val="nil"/>
            </w:tcBorders>
            <w:shd w:val="clear" w:color="FFFFFF" w:fill="FFFFFF"/>
            <w:noWrap/>
            <w:vAlign w:val="bottom"/>
            <w:hideMark/>
          </w:tcPr>
          <w:p w14:paraId="15EC7B59" w14:textId="77777777" w:rsidR="00A43992" w:rsidRDefault="00A43992" w:rsidP="007211E3">
            <w:pPr>
              <w:rPr>
                <w:rFonts w:ascii="Arial" w:hAnsi="Arial" w:cs="Arial"/>
                <w:sz w:val="18"/>
                <w:szCs w:val="18"/>
              </w:rPr>
            </w:pPr>
            <w:r>
              <w:rPr>
                <w:rFonts w:ascii="Arial" w:hAnsi="Arial" w:cs="Arial"/>
                <w:sz w:val="18"/>
                <w:szCs w:val="18"/>
              </w:rPr>
              <w:t> </w:t>
            </w:r>
          </w:p>
        </w:tc>
        <w:tc>
          <w:tcPr>
            <w:tcW w:w="1247" w:type="dxa"/>
            <w:tcBorders>
              <w:top w:val="nil"/>
              <w:left w:val="nil"/>
              <w:bottom w:val="nil"/>
              <w:right w:val="nil"/>
            </w:tcBorders>
            <w:shd w:val="clear" w:color="FFFFFF" w:fill="FFFFFF"/>
            <w:noWrap/>
            <w:vAlign w:val="bottom"/>
            <w:hideMark/>
          </w:tcPr>
          <w:p w14:paraId="2C44C4CC" w14:textId="77777777" w:rsidR="00A43992" w:rsidRDefault="00A43992" w:rsidP="007211E3">
            <w:pPr>
              <w:rPr>
                <w:rFonts w:ascii="Arial" w:hAnsi="Arial" w:cs="Arial"/>
                <w:sz w:val="18"/>
                <w:szCs w:val="18"/>
              </w:rPr>
            </w:pPr>
            <w:r>
              <w:rPr>
                <w:rFonts w:ascii="Arial" w:hAnsi="Arial" w:cs="Arial"/>
                <w:sz w:val="18"/>
                <w:szCs w:val="18"/>
              </w:rPr>
              <w:t> </w:t>
            </w:r>
          </w:p>
        </w:tc>
        <w:tc>
          <w:tcPr>
            <w:tcW w:w="236" w:type="dxa"/>
            <w:tcBorders>
              <w:top w:val="nil"/>
              <w:left w:val="nil"/>
              <w:bottom w:val="nil"/>
              <w:right w:val="nil"/>
            </w:tcBorders>
            <w:shd w:val="clear" w:color="FFFFFF" w:fill="FFFFFF"/>
            <w:noWrap/>
            <w:vAlign w:val="bottom"/>
            <w:hideMark/>
          </w:tcPr>
          <w:p w14:paraId="653E9A2D" w14:textId="77777777" w:rsidR="00A43992" w:rsidRDefault="00A43992" w:rsidP="007211E3">
            <w:pPr>
              <w:rPr>
                <w:rFonts w:ascii="Arial" w:hAnsi="Arial" w:cs="Arial"/>
                <w:sz w:val="18"/>
                <w:szCs w:val="18"/>
              </w:rPr>
            </w:pPr>
            <w:r>
              <w:rPr>
                <w:rFonts w:ascii="Arial" w:hAnsi="Arial" w:cs="Arial"/>
                <w:sz w:val="18"/>
                <w:szCs w:val="18"/>
              </w:rPr>
              <w:t> </w:t>
            </w:r>
          </w:p>
        </w:tc>
        <w:tc>
          <w:tcPr>
            <w:tcW w:w="1247" w:type="dxa"/>
            <w:tcBorders>
              <w:top w:val="nil"/>
              <w:left w:val="nil"/>
              <w:bottom w:val="nil"/>
              <w:right w:val="nil"/>
            </w:tcBorders>
            <w:shd w:val="clear" w:color="FFFFFF" w:fill="FFFFFF"/>
            <w:vAlign w:val="bottom"/>
            <w:hideMark/>
          </w:tcPr>
          <w:p w14:paraId="2DADA8E9" w14:textId="77777777" w:rsidR="00A43992" w:rsidRDefault="00A43992" w:rsidP="007211E3">
            <w:pPr>
              <w:jc w:val="right"/>
              <w:rPr>
                <w:rFonts w:ascii="Arial" w:hAnsi="Arial" w:cs="Arial"/>
                <w:sz w:val="18"/>
                <w:szCs w:val="18"/>
              </w:rPr>
            </w:pPr>
            <w:r>
              <w:rPr>
                <w:rFonts w:ascii="Arial" w:hAnsi="Arial" w:cs="Arial"/>
                <w:sz w:val="18"/>
                <w:szCs w:val="18"/>
              </w:rPr>
              <w:t> </w:t>
            </w:r>
          </w:p>
        </w:tc>
      </w:tr>
      <w:tr w:rsidR="00A43992" w14:paraId="2FD96D64" w14:textId="77777777" w:rsidTr="007211E3">
        <w:trPr>
          <w:trHeight w:val="240"/>
        </w:trPr>
        <w:tc>
          <w:tcPr>
            <w:tcW w:w="5110" w:type="dxa"/>
            <w:tcBorders>
              <w:top w:val="nil"/>
              <w:left w:val="nil"/>
              <w:bottom w:val="nil"/>
              <w:right w:val="nil"/>
            </w:tcBorders>
            <w:shd w:val="clear" w:color="FFFFFF" w:fill="FFFFFF"/>
            <w:noWrap/>
            <w:vAlign w:val="bottom"/>
            <w:hideMark/>
          </w:tcPr>
          <w:p w14:paraId="78B113BB" w14:textId="77777777" w:rsidR="00A43992" w:rsidRDefault="00A43992" w:rsidP="007211E3">
            <w:pPr>
              <w:rPr>
                <w:rFonts w:ascii="Arial" w:hAnsi="Arial" w:cs="Arial"/>
                <w:sz w:val="18"/>
                <w:szCs w:val="18"/>
              </w:rPr>
            </w:pPr>
            <w:r>
              <w:rPr>
                <w:rFonts w:ascii="Arial" w:hAnsi="Arial" w:cs="Arial"/>
                <w:sz w:val="18"/>
                <w:szCs w:val="18"/>
              </w:rPr>
              <w:t> </w:t>
            </w:r>
          </w:p>
        </w:tc>
        <w:tc>
          <w:tcPr>
            <w:tcW w:w="1247" w:type="dxa"/>
            <w:tcBorders>
              <w:top w:val="nil"/>
              <w:left w:val="nil"/>
              <w:bottom w:val="nil"/>
              <w:right w:val="nil"/>
            </w:tcBorders>
            <w:shd w:val="clear" w:color="FFFFFF" w:fill="FFFFFF"/>
            <w:vAlign w:val="bottom"/>
            <w:hideMark/>
          </w:tcPr>
          <w:p w14:paraId="3C4EE1BF" w14:textId="77777777" w:rsidR="00A43992" w:rsidRDefault="00A43992" w:rsidP="007211E3">
            <w:pPr>
              <w:jc w:val="center"/>
              <w:rPr>
                <w:rFonts w:ascii="Arial" w:hAnsi="Arial" w:cs="Arial"/>
                <w:b/>
                <w:bCs/>
                <w:sz w:val="18"/>
                <w:szCs w:val="18"/>
              </w:rPr>
            </w:pPr>
            <w:r>
              <w:rPr>
                <w:rFonts w:ascii="Arial" w:hAnsi="Arial" w:cs="Arial"/>
                <w:b/>
                <w:bCs/>
                <w:sz w:val="18"/>
                <w:szCs w:val="18"/>
              </w:rPr>
              <w:t>Notes</w:t>
            </w:r>
          </w:p>
        </w:tc>
        <w:tc>
          <w:tcPr>
            <w:tcW w:w="1247" w:type="dxa"/>
            <w:tcBorders>
              <w:top w:val="nil"/>
              <w:left w:val="nil"/>
              <w:bottom w:val="nil"/>
              <w:right w:val="nil"/>
            </w:tcBorders>
            <w:shd w:val="clear" w:color="FFFFFF" w:fill="FFFFFF"/>
            <w:noWrap/>
            <w:vAlign w:val="bottom"/>
            <w:hideMark/>
          </w:tcPr>
          <w:p w14:paraId="39373D1F" w14:textId="77777777" w:rsidR="00A43992" w:rsidRDefault="00A43992" w:rsidP="007211E3">
            <w:pPr>
              <w:rPr>
                <w:rFonts w:ascii="Arial" w:hAnsi="Arial" w:cs="Arial"/>
                <w:sz w:val="18"/>
                <w:szCs w:val="18"/>
              </w:rPr>
            </w:pPr>
            <w:r>
              <w:rPr>
                <w:rFonts w:ascii="Arial" w:hAnsi="Arial" w:cs="Arial"/>
                <w:sz w:val="18"/>
                <w:szCs w:val="18"/>
              </w:rPr>
              <w:t> </w:t>
            </w:r>
          </w:p>
        </w:tc>
        <w:tc>
          <w:tcPr>
            <w:tcW w:w="236" w:type="dxa"/>
            <w:tcBorders>
              <w:top w:val="nil"/>
              <w:left w:val="nil"/>
              <w:bottom w:val="nil"/>
              <w:right w:val="nil"/>
            </w:tcBorders>
            <w:shd w:val="clear" w:color="FFFFFF" w:fill="FFFFFF"/>
            <w:noWrap/>
            <w:vAlign w:val="bottom"/>
            <w:hideMark/>
          </w:tcPr>
          <w:p w14:paraId="173094D9" w14:textId="77777777" w:rsidR="00A43992" w:rsidRDefault="00A43992" w:rsidP="007211E3">
            <w:pPr>
              <w:rPr>
                <w:rFonts w:ascii="Arial" w:hAnsi="Arial" w:cs="Arial"/>
                <w:sz w:val="18"/>
                <w:szCs w:val="18"/>
              </w:rPr>
            </w:pPr>
            <w:r>
              <w:rPr>
                <w:rFonts w:ascii="Arial" w:hAnsi="Arial" w:cs="Arial"/>
                <w:sz w:val="18"/>
                <w:szCs w:val="18"/>
              </w:rPr>
              <w:t> </w:t>
            </w:r>
          </w:p>
        </w:tc>
        <w:tc>
          <w:tcPr>
            <w:tcW w:w="1247" w:type="dxa"/>
            <w:tcBorders>
              <w:top w:val="nil"/>
              <w:left w:val="nil"/>
              <w:bottom w:val="nil"/>
              <w:right w:val="nil"/>
            </w:tcBorders>
            <w:shd w:val="clear" w:color="FFFFFF" w:fill="FFFFFF"/>
            <w:noWrap/>
            <w:vAlign w:val="bottom"/>
            <w:hideMark/>
          </w:tcPr>
          <w:p w14:paraId="3DCB005B" w14:textId="77777777" w:rsidR="00A43992" w:rsidRDefault="00A43992" w:rsidP="007211E3">
            <w:pPr>
              <w:rPr>
                <w:rFonts w:ascii="Arial" w:hAnsi="Arial" w:cs="Arial"/>
                <w:sz w:val="18"/>
                <w:szCs w:val="18"/>
              </w:rPr>
            </w:pPr>
            <w:r>
              <w:rPr>
                <w:rFonts w:ascii="Arial" w:hAnsi="Arial" w:cs="Arial"/>
                <w:sz w:val="18"/>
                <w:szCs w:val="18"/>
              </w:rPr>
              <w:t> </w:t>
            </w:r>
          </w:p>
        </w:tc>
      </w:tr>
      <w:tr w:rsidR="00A43992" w14:paraId="218824A0" w14:textId="77777777" w:rsidTr="007211E3">
        <w:trPr>
          <w:trHeight w:val="240"/>
        </w:trPr>
        <w:tc>
          <w:tcPr>
            <w:tcW w:w="5110" w:type="dxa"/>
            <w:tcBorders>
              <w:top w:val="nil"/>
              <w:left w:val="nil"/>
              <w:bottom w:val="nil"/>
              <w:right w:val="nil"/>
            </w:tcBorders>
            <w:shd w:val="clear" w:color="FFFFFF" w:fill="FFFFFF"/>
            <w:noWrap/>
            <w:vAlign w:val="bottom"/>
            <w:hideMark/>
          </w:tcPr>
          <w:p w14:paraId="43464FFF" w14:textId="77777777" w:rsidR="00A43992" w:rsidRDefault="00A43992" w:rsidP="007211E3">
            <w:pPr>
              <w:rPr>
                <w:rFonts w:ascii="Arial" w:hAnsi="Arial" w:cs="Arial"/>
                <w:sz w:val="18"/>
                <w:szCs w:val="18"/>
              </w:rPr>
            </w:pPr>
            <w:r>
              <w:rPr>
                <w:rFonts w:ascii="Arial" w:hAnsi="Arial" w:cs="Arial"/>
                <w:sz w:val="18"/>
                <w:szCs w:val="18"/>
              </w:rPr>
              <w:t> </w:t>
            </w:r>
          </w:p>
        </w:tc>
        <w:tc>
          <w:tcPr>
            <w:tcW w:w="1247" w:type="dxa"/>
            <w:tcBorders>
              <w:top w:val="nil"/>
              <w:left w:val="nil"/>
              <w:bottom w:val="nil"/>
              <w:right w:val="nil"/>
            </w:tcBorders>
            <w:shd w:val="clear" w:color="FFFFFF" w:fill="FFFFFF"/>
            <w:noWrap/>
            <w:vAlign w:val="bottom"/>
            <w:hideMark/>
          </w:tcPr>
          <w:p w14:paraId="7B77CC17" w14:textId="77777777" w:rsidR="00A43992" w:rsidRDefault="00A43992" w:rsidP="007211E3">
            <w:pPr>
              <w:rPr>
                <w:rFonts w:ascii="Arial" w:hAnsi="Arial" w:cs="Arial"/>
                <w:sz w:val="18"/>
                <w:szCs w:val="18"/>
              </w:rPr>
            </w:pPr>
            <w:r>
              <w:rPr>
                <w:rFonts w:ascii="Arial" w:hAnsi="Arial" w:cs="Arial"/>
                <w:sz w:val="18"/>
                <w:szCs w:val="18"/>
              </w:rPr>
              <w:t> </w:t>
            </w:r>
          </w:p>
        </w:tc>
        <w:tc>
          <w:tcPr>
            <w:tcW w:w="1247" w:type="dxa"/>
            <w:tcBorders>
              <w:top w:val="nil"/>
              <w:left w:val="nil"/>
              <w:bottom w:val="nil"/>
              <w:right w:val="nil"/>
            </w:tcBorders>
            <w:shd w:val="clear" w:color="FFFFFF" w:fill="FFFFFF"/>
            <w:noWrap/>
            <w:vAlign w:val="bottom"/>
            <w:hideMark/>
          </w:tcPr>
          <w:p w14:paraId="3DDD821F" w14:textId="77777777" w:rsidR="00A43992" w:rsidRDefault="00A43992" w:rsidP="007211E3">
            <w:pPr>
              <w:rPr>
                <w:rFonts w:ascii="Arial" w:hAnsi="Arial" w:cs="Arial"/>
                <w:sz w:val="18"/>
                <w:szCs w:val="18"/>
              </w:rPr>
            </w:pPr>
            <w:r>
              <w:rPr>
                <w:rFonts w:ascii="Arial" w:hAnsi="Arial" w:cs="Arial"/>
                <w:sz w:val="18"/>
                <w:szCs w:val="18"/>
              </w:rPr>
              <w:t> </w:t>
            </w:r>
          </w:p>
        </w:tc>
        <w:tc>
          <w:tcPr>
            <w:tcW w:w="236" w:type="dxa"/>
            <w:tcBorders>
              <w:top w:val="nil"/>
              <w:left w:val="nil"/>
              <w:bottom w:val="nil"/>
              <w:right w:val="nil"/>
            </w:tcBorders>
            <w:shd w:val="clear" w:color="FFFFFF" w:fill="FFFFFF"/>
            <w:noWrap/>
            <w:vAlign w:val="bottom"/>
            <w:hideMark/>
          </w:tcPr>
          <w:p w14:paraId="75D5AB29" w14:textId="77777777" w:rsidR="00A43992" w:rsidRDefault="00A43992" w:rsidP="007211E3">
            <w:pPr>
              <w:rPr>
                <w:rFonts w:ascii="Arial" w:hAnsi="Arial" w:cs="Arial"/>
                <w:sz w:val="18"/>
                <w:szCs w:val="18"/>
              </w:rPr>
            </w:pPr>
            <w:r>
              <w:rPr>
                <w:rFonts w:ascii="Arial" w:hAnsi="Arial" w:cs="Arial"/>
                <w:sz w:val="18"/>
                <w:szCs w:val="18"/>
              </w:rPr>
              <w:t> </w:t>
            </w:r>
          </w:p>
        </w:tc>
        <w:tc>
          <w:tcPr>
            <w:tcW w:w="1247" w:type="dxa"/>
            <w:tcBorders>
              <w:top w:val="nil"/>
              <w:left w:val="nil"/>
              <w:bottom w:val="nil"/>
              <w:right w:val="nil"/>
            </w:tcBorders>
            <w:shd w:val="clear" w:color="FFFFFF" w:fill="FFFFFF"/>
            <w:noWrap/>
            <w:vAlign w:val="bottom"/>
            <w:hideMark/>
          </w:tcPr>
          <w:p w14:paraId="2114442D" w14:textId="77777777" w:rsidR="00A43992" w:rsidRDefault="00A43992" w:rsidP="007211E3">
            <w:pPr>
              <w:rPr>
                <w:rFonts w:ascii="Arial" w:hAnsi="Arial" w:cs="Arial"/>
                <w:sz w:val="18"/>
                <w:szCs w:val="18"/>
              </w:rPr>
            </w:pPr>
            <w:r>
              <w:rPr>
                <w:rFonts w:ascii="Arial" w:hAnsi="Arial" w:cs="Arial"/>
                <w:sz w:val="18"/>
                <w:szCs w:val="18"/>
              </w:rPr>
              <w:t> </w:t>
            </w:r>
          </w:p>
        </w:tc>
      </w:tr>
      <w:tr w:rsidR="00A43992" w14:paraId="2D797795" w14:textId="77777777" w:rsidTr="007211E3">
        <w:trPr>
          <w:trHeight w:val="240"/>
        </w:trPr>
        <w:tc>
          <w:tcPr>
            <w:tcW w:w="5110" w:type="dxa"/>
            <w:tcBorders>
              <w:top w:val="nil"/>
              <w:left w:val="nil"/>
              <w:bottom w:val="nil"/>
              <w:right w:val="nil"/>
            </w:tcBorders>
            <w:shd w:val="clear" w:color="FFFFFF" w:fill="FFFFFF"/>
            <w:vAlign w:val="bottom"/>
            <w:hideMark/>
          </w:tcPr>
          <w:p w14:paraId="7EF1E364" w14:textId="77777777" w:rsidR="00A43992" w:rsidRDefault="00A43992" w:rsidP="007211E3">
            <w:pPr>
              <w:rPr>
                <w:rFonts w:ascii="Arial" w:hAnsi="Arial" w:cs="Arial"/>
                <w:b/>
                <w:bCs/>
                <w:sz w:val="18"/>
                <w:szCs w:val="18"/>
              </w:rPr>
            </w:pPr>
            <w:r>
              <w:rPr>
                <w:rFonts w:ascii="Arial" w:hAnsi="Arial" w:cs="Arial"/>
                <w:b/>
                <w:bCs/>
                <w:sz w:val="18"/>
                <w:szCs w:val="18"/>
              </w:rPr>
              <w:t>Total financial assets as per Statement of Financial Position</w:t>
            </w:r>
          </w:p>
        </w:tc>
        <w:tc>
          <w:tcPr>
            <w:tcW w:w="1247" w:type="dxa"/>
            <w:tcBorders>
              <w:top w:val="nil"/>
              <w:left w:val="nil"/>
              <w:bottom w:val="nil"/>
              <w:right w:val="nil"/>
            </w:tcBorders>
            <w:shd w:val="clear" w:color="FFFFFF" w:fill="FFFFFF"/>
            <w:noWrap/>
            <w:vAlign w:val="bottom"/>
            <w:hideMark/>
          </w:tcPr>
          <w:p w14:paraId="20AD684B" w14:textId="77777777" w:rsidR="00A43992" w:rsidRDefault="00A43992" w:rsidP="007211E3">
            <w:pPr>
              <w:jc w:val="center"/>
              <w:rPr>
                <w:rFonts w:ascii="Arial" w:hAnsi="Arial" w:cs="Arial"/>
                <w:sz w:val="18"/>
                <w:szCs w:val="18"/>
              </w:rPr>
            </w:pPr>
            <w:r>
              <w:rPr>
                <w:rFonts w:ascii="Arial" w:hAnsi="Arial" w:cs="Arial"/>
                <w:sz w:val="18"/>
                <w:szCs w:val="18"/>
              </w:rPr>
              <w:t> </w:t>
            </w:r>
          </w:p>
        </w:tc>
        <w:tc>
          <w:tcPr>
            <w:tcW w:w="1247" w:type="dxa"/>
            <w:tcBorders>
              <w:top w:val="nil"/>
              <w:left w:val="nil"/>
              <w:bottom w:val="nil"/>
              <w:right w:val="nil"/>
            </w:tcBorders>
            <w:shd w:val="clear" w:color="FFFFFF" w:fill="FFFFFF"/>
            <w:noWrap/>
            <w:vAlign w:val="bottom"/>
            <w:hideMark/>
          </w:tcPr>
          <w:p w14:paraId="3786CD8E" w14:textId="77777777" w:rsidR="00A43992" w:rsidRDefault="00A43992" w:rsidP="007211E3">
            <w:pPr>
              <w:jc w:val="right"/>
              <w:rPr>
                <w:rFonts w:ascii="Arial" w:hAnsi="Arial" w:cs="Arial"/>
                <w:b/>
                <w:bCs/>
                <w:sz w:val="18"/>
                <w:szCs w:val="18"/>
              </w:rPr>
            </w:pPr>
            <w:r>
              <w:rPr>
                <w:rFonts w:ascii="Arial" w:hAnsi="Arial" w:cs="Arial"/>
                <w:b/>
                <w:bCs/>
                <w:sz w:val="18"/>
                <w:szCs w:val="18"/>
              </w:rPr>
              <w:t>360,508</w:t>
            </w:r>
          </w:p>
        </w:tc>
        <w:tc>
          <w:tcPr>
            <w:tcW w:w="236" w:type="dxa"/>
            <w:tcBorders>
              <w:top w:val="nil"/>
              <w:left w:val="nil"/>
              <w:bottom w:val="nil"/>
              <w:right w:val="nil"/>
            </w:tcBorders>
            <w:shd w:val="clear" w:color="FFFFFF" w:fill="FFFFFF"/>
            <w:noWrap/>
            <w:vAlign w:val="bottom"/>
            <w:hideMark/>
          </w:tcPr>
          <w:p w14:paraId="49887EED" w14:textId="77777777" w:rsidR="00A43992" w:rsidRDefault="00A43992" w:rsidP="007211E3">
            <w:pPr>
              <w:rPr>
                <w:rFonts w:ascii="Arial" w:hAnsi="Arial" w:cs="Arial"/>
                <w:b/>
                <w:bCs/>
                <w:sz w:val="18"/>
                <w:szCs w:val="18"/>
              </w:rPr>
            </w:pPr>
            <w:r>
              <w:rPr>
                <w:rFonts w:ascii="Arial" w:hAnsi="Arial" w:cs="Arial"/>
                <w:b/>
                <w:bCs/>
                <w:sz w:val="18"/>
                <w:szCs w:val="18"/>
              </w:rPr>
              <w:t> </w:t>
            </w:r>
          </w:p>
        </w:tc>
        <w:tc>
          <w:tcPr>
            <w:tcW w:w="1247" w:type="dxa"/>
            <w:tcBorders>
              <w:top w:val="nil"/>
              <w:left w:val="nil"/>
              <w:bottom w:val="nil"/>
              <w:right w:val="nil"/>
            </w:tcBorders>
            <w:shd w:val="clear" w:color="FFFFFF" w:fill="FFFFFF"/>
            <w:noWrap/>
            <w:vAlign w:val="bottom"/>
            <w:hideMark/>
          </w:tcPr>
          <w:p w14:paraId="147A28BC" w14:textId="77777777" w:rsidR="00A43992" w:rsidRDefault="00A43992" w:rsidP="007211E3">
            <w:pPr>
              <w:jc w:val="right"/>
              <w:rPr>
                <w:rFonts w:ascii="Arial" w:hAnsi="Arial" w:cs="Arial"/>
                <w:sz w:val="18"/>
                <w:szCs w:val="18"/>
              </w:rPr>
            </w:pPr>
            <w:r>
              <w:rPr>
                <w:rFonts w:ascii="Arial" w:hAnsi="Arial" w:cs="Arial"/>
                <w:sz w:val="18"/>
                <w:szCs w:val="18"/>
              </w:rPr>
              <w:t>220,415</w:t>
            </w:r>
          </w:p>
        </w:tc>
      </w:tr>
      <w:tr w:rsidR="00A43992" w14:paraId="64F76B3F" w14:textId="77777777" w:rsidTr="007211E3">
        <w:trPr>
          <w:trHeight w:val="240"/>
        </w:trPr>
        <w:tc>
          <w:tcPr>
            <w:tcW w:w="5110" w:type="dxa"/>
            <w:tcBorders>
              <w:top w:val="nil"/>
              <w:left w:val="nil"/>
              <w:bottom w:val="nil"/>
              <w:right w:val="nil"/>
            </w:tcBorders>
            <w:shd w:val="clear" w:color="FFFFFF" w:fill="FFFFFF"/>
            <w:vAlign w:val="bottom"/>
            <w:hideMark/>
          </w:tcPr>
          <w:p w14:paraId="27ED6D51" w14:textId="77777777" w:rsidR="00A43992" w:rsidRDefault="00A43992" w:rsidP="007211E3">
            <w:pPr>
              <w:rPr>
                <w:rFonts w:ascii="Arial" w:hAnsi="Arial" w:cs="Arial"/>
                <w:b/>
                <w:bCs/>
                <w:sz w:val="18"/>
                <w:szCs w:val="18"/>
              </w:rPr>
            </w:pPr>
            <w:r>
              <w:rPr>
                <w:rFonts w:ascii="Arial" w:hAnsi="Arial" w:cs="Arial"/>
                <w:b/>
                <w:bCs/>
                <w:sz w:val="18"/>
                <w:szCs w:val="18"/>
              </w:rPr>
              <w:t>Less: non-financial instrument components</w:t>
            </w:r>
          </w:p>
        </w:tc>
        <w:tc>
          <w:tcPr>
            <w:tcW w:w="1247" w:type="dxa"/>
            <w:tcBorders>
              <w:top w:val="nil"/>
              <w:left w:val="nil"/>
              <w:bottom w:val="nil"/>
              <w:right w:val="nil"/>
            </w:tcBorders>
            <w:shd w:val="clear" w:color="FFFFFF" w:fill="FFFFFF"/>
            <w:noWrap/>
            <w:vAlign w:val="bottom"/>
            <w:hideMark/>
          </w:tcPr>
          <w:p w14:paraId="5A877C43" w14:textId="77777777" w:rsidR="00A43992" w:rsidRDefault="00A43992" w:rsidP="007211E3">
            <w:pPr>
              <w:jc w:val="center"/>
              <w:rPr>
                <w:rFonts w:ascii="Arial" w:hAnsi="Arial" w:cs="Arial"/>
                <w:sz w:val="18"/>
                <w:szCs w:val="18"/>
              </w:rPr>
            </w:pPr>
            <w:r>
              <w:rPr>
                <w:rFonts w:ascii="Arial" w:hAnsi="Arial" w:cs="Arial"/>
                <w:sz w:val="18"/>
                <w:szCs w:val="18"/>
              </w:rPr>
              <w:t> </w:t>
            </w:r>
          </w:p>
        </w:tc>
        <w:tc>
          <w:tcPr>
            <w:tcW w:w="1247" w:type="dxa"/>
            <w:tcBorders>
              <w:top w:val="nil"/>
              <w:left w:val="nil"/>
              <w:bottom w:val="nil"/>
              <w:right w:val="nil"/>
            </w:tcBorders>
            <w:shd w:val="clear" w:color="FFFFFF" w:fill="FFFFFF"/>
            <w:noWrap/>
            <w:vAlign w:val="bottom"/>
            <w:hideMark/>
          </w:tcPr>
          <w:p w14:paraId="1AB70D41" w14:textId="77777777" w:rsidR="00A43992" w:rsidRDefault="00A43992" w:rsidP="007211E3">
            <w:pPr>
              <w:jc w:val="right"/>
              <w:rPr>
                <w:rFonts w:ascii="Arial" w:hAnsi="Arial" w:cs="Arial"/>
                <w:b/>
                <w:bCs/>
                <w:sz w:val="18"/>
                <w:szCs w:val="18"/>
              </w:rPr>
            </w:pPr>
            <w:r>
              <w:rPr>
                <w:rFonts w:ascii="Arial" w:hAnsi="Arial" w:cs="Arial"/>
                <w:b/>
                <w:bCs/>
                <w:sz w:val="18"/>
                <w:szCs w:val="18"/>
              </w:rPr>
              <w:t> </w:t>
            </w:r>
          </w:p>
        </w:tc>
        <w:tc>
          <w:tcPr>
            <w:tcW w:w="236" w:type="dxa"/>
            <w:tcBorders>
              <w:top w:val="nil"/>
              <w:left w:val="nil"/>
              <w:bottom w:val="nil"/>
              <w:right w:val="nil"/>
            </w:tcBorders>
            <w:shd w:val="clear" w:color="FFFFFF" w:fill="FFFFFF"/>
            <w:noWrap/>
            <w:vAlign w:val="bottom"/>
            <w:hideMark/>
          </w:tcPr>
          <w:p w14:paraId="7B843433" w14:textId="77777777" w:rsidR="00A43992" w:rsidRDefault="00A43992" w:rsidP="007211E3">
            <w:pPr>
              <w:rPr>
                <w:rFonts w:ascii="Arial" w:hAnsi="Arial" w:cs="Arial"/>
                <w:b/>
                <w:bCs/>
                <w:sz w:val="18"/>
                <w:szCs w:val="18"/>
              </w:rPr>
            </w:pPr>
            <w:r>
              <w:rPr>
                <w:rFonts w:ascii="Arial" w:hAnsi="Arial" w:cs="Arial"/>
                <w:b/>
                <w:bCs/>
                <w:sz w:val="18"/>
                <w:szCs w:val="18"/>
              </w:rPr>
              <w:t> </w:t>
            </w:r>
          </w:p>
        </w:tc>
        <w:tc>
          <w:tcPr>
            <w:tcW w:w="1247" w:type="dxa"/>
            <w:tcBorders>
              <w:top w:val="nil"/>
              <w:left w:val="nil"/>
              <w:bottom w:val="nil"/>
              <w:right w:val="nil"/>
            </w:tcBorders>
            <w:shd w:val="clear" w:color="FFFFFF" w:fill="FFFFFF"/>
            <w:noWrap/>
            <w:vAlign w:val="bottom"/>
            <w:hideMark/>
          </w:tcPr>
          <w:p w14:paraId="19D39492" w14:textId="77777777" w:rsidR="00A43992" w:rsidRDefault="00A43992" w:rsidP="007211E3">
            <w:pPr>
              <w:jc w:val="right"/>
              <w:rPr>
                <w:rFonts w:ascii="Arial" w:hAnsi="Arial" w:cs="Arial"/>
                <w:b/>
                <w:bCs/>
                <w:sz w:val="18"/>
                <w:szCs w:val="18"/>
              </w:rPr>
            </w:pPr>
            <w:r>
              <w:rPr>
                <w:rFonts w:ascii="Arial" w:hAnsi="Arial" w:cs="Arial"/>
                <w:b/>
                <w:bCs/>
                <w:sz w:val="18"/>
                <w:szCs w:val="18"/>
              </w:rPr>
              <w:t> </w:t>
            </w:r>
          </w:p>
        </w:tc>
      </w:tr>
      <w:tr w:rsidR="00A43992" w14:paraId="0F64AF00" w14:textId="77777777" w:rsidTr="007211E3">
        <w:trPr>
          <w:trHeight w:val="240"/>
        </w:trPr>
        <w:tc>
          <w:tcPr>
            <w:tcW w:w="5110" w:type="dxa"/>
            <w:tcBorders>
              <w:top w:val="nil"/>
              <w:left w:val="nil"/>
              <w:bottom w:val="nil"/>
              <w:right w:val="nil"/>
            </w:tcBorders>
            <w:shd w:val="clear" w:color="FFFFFF" w:fill="FFFFFF"/>
            <w:noWrap/>
            <w:vAlign w:val="bottom"/>
            <w:hideMark/>
          </w:tcPr>
          <w:p w14:paraId="02DA314C" w14:textId="77777777" w:rsidR="00A43992" w:rsidRDefault="00A43992" w:rsidP="007211E3">
            <w:pPr>
              <w:ind w:firstLineChars="100" w:firstLine="180"/>
              <w:rPr>
                <w:rFonts w:ascii="Arial" w:hAnsi="Arial" w:cs="Arial"/>
                <w:sz w:val="18"/>
                <w:szCs w:val="18"/>
              </w:rPr>
            </w:pPr>
            <w:r>
              <w:rPr>
                <w:rFonts w:ascii="Arial" w:hAnsi="Arial" w:cs="Arial"/>
                <w:sz w:val="18"/>
                <w:szCs w:val="18"/>
              </w:rPr>
              <w:t>Receivables from Commonwealth, states and territories</w:t>
            </w:r>
          </w:p>
        </w:tc>
        <w:tc>
          <w:tcPr>
            <w:tcW w:w="1247" w:type="dxa"/>
            <w:tcBorders>
              <w:top w:val="nil"/>
              <w:left w:val="nil"/>
              <w:bottom w:val="nil"/>
              <w:right w:val="nil"/>
            </w:tcBorders>
            <w:shd w:val="clear" w:color="FFFFFF" w:fill="FFFFFF"/>
            <w:noWrap/>
            <w:vAlign w:val="bottom"/>
            <w:hideMark/>
          </w:tcPr>
          <w:p w14:paraId="07A1E92F" w14:textId="77777777" w:rsidR="00A43992" w:rsidRDefault="00A43992" w:rsidP="007211E3">
            <w:pPr>
              <w:jc w:val="center"/>
              <w:rPr>
                <w:rFonts w:ascii="Arial" w:hAnsi="Arial" w:cs="Arial"/>
                <w:sz w:val="18"/>
                <w:szCs w:val="18"/>
              </w:rPr>
            </w:pPr>
            <w:r>
              <w:rPr>
                <w:rFonts w:ascii="Arial" w:hAnsi="Arial" w:cs="Arial"/>
                <w:sz w:val="18"/>
                <w:szCs w:val="18"/>
              </w:rPr>
              <w:t> </w:t>
            </w:r>
          </w:p>
        </w:tc>
        <w:tc>
          <w:tcPr>
            <w:tcW w:w="1247" w:type="dxa"/>
            <w:tcBorders>
              <w:top w:val="nil"/>
              <w:left w:val="nil"/>
              <w:bottom w:val="nil"/>
              <w:right w:val="nil"/>
            </w:tcBorders>
            <w:shd w:val="clear" w:color="FFFFFF" w:fill="FFFFFF"/>
            <w:noWrap/>
            <w:vAlign w:val="bottom"/>
            <w:hideMark/>
          </w:tcPr>
          <w:p w14:paraId="697B68DF" w14:textId="77777777" w:rsidR="00A43992" w:rsidRDefault="00A43992" w:rsidP="007211E3">
            <w:pPr>
              <w:jc w:val="right"/>
              <w:rPr>
                <w:rFonts w:ascii="Arial" w:hAnsi="Arial" w:cs="Arial"/>
                <w:b/>
                <w:bCs/>
                <w:sz w:val="18"/>
                <w:szCs w:val="18"/>
              </w:rPr>
            </w:pPr>
            <w:r>
              <w:rPr>
                <w:rFonts w:ascii="Arial" w:hAnsi="Arial" w:cs="Arial"/>
                <w:b/>
                <w:bCs/>
                <w:sz w:val="18"/>
                <w:szCs w:val="18"/>
              </w:rPr>
              <w:t>(35,783)</w:t>
            </w:r>
          </w:p>
        </w:tc>
        <w:tc>
          <w:tcPr>
            <w:tcW w:w="236" w:type="dxa"/>
            <w:tcBorders>
              <w:top w:val="nil"/>
              <w:left w:val="nil"/>
              <w:bottom w:val="nil"/>
              <w:right w:val="nil"/>
            </w:tcBorders>
            <w:shd w:val="clear" w:color="FFFFFF" w:fill="FFFFFF"/>
            <w:noWrap/>
            <w:vAlign w:val="bottom"/>
            <w:hideMark/>
          </w:tcPr>
          <w:p w14:paraId="3E7317B5" w14:textId="77777777" w:rsidR="00A43992" w:rsidRDefault="00A43992" w:rsidP="007211E3">
            <w:pPr>
              <w:rPr>
                <w:rFonts w:ascii="Arial" w:hAnsi="Arial" w:cs="Arial"/>
                <w:b/>
                <w:bCs/>
                <w:sz w:val="18"/>
                <w:szCs w:val="18"/>
              </w:rPr>
            </w:pPr>
            <w:r>
              <w:rPr>
                <w:rFonts w:ascii="Arial" w:hAnsi="Arial" w:cs="Arial"/>
                <w:b/>
                <w:bCs/>
                <w:sz w:val="18"/>
                <w:szCs w:val="18"/>
              </w:rPr>
              <w:t> </w:t>
            </w:r>
          </w:p>
        </w:tc>
        <w:tc>
          <w:tcPr>
            <w:tcW w:w="1247" w:type="dxa"/>
            <w:tcBorders>
              <w:top w:val="nil"/>
              <w:left w:val="nil"/>
              <w:bottom w:val="nil"/>
              <w:right w:val="nil"/>
            </w:tcBorders>
            <w:shd w:val="clear" w:color="FFFFFF" w:fill="FFFFFF"/>
            <w:noWrap/>
            <w:vAlign w:val="bottom"/>
            <w:hideMark/>
          </w:tcPr>
          <w:p w14:paraId="60614A1A" w14:textId="77777777" w:rsidR="00A43992" w:rsidRDefault="00A43992" w:rsidP="007211E3">
            <w:pPr>
              <w:jc w:val="right"/>
              <w:rPr>
                <w:rFonts w:ascii="Arial" w:hAnsi="Arial" w:cs="Arial"/>
                <w:sz w:val="18"/>
                <w:szCs w:val="18"/>
              </w:rPr>
            </w:pPr>
            <w:r>
              <w:rPr>
                <w:rFonts w:ascii="Arial" w:hAnsi="Arial" w:cs="Arial"/>
                <w:sz w:val="18"/>
                <w:szCs w:val="18"/>
              </w:rPr>
              <w:t>(35,058)</w:t>
            </w:r>
          </w:p>
        </w:tc>
      </w:tr>
      <w:tr w:rsidR="00A43992" w14:paraId="627A3461" w14:textId="77777777" w:rsidTr="007211E3">
        <w:trPr>
          <w:trHeight w:val="240"/>
        </w:trPr>
        <w:tc>
          <w:tcPr>
            <w:tcW w:w="5110" w:type="dxa"/>
            <w:tcBorders>
              <w:top w:val="nil"/>
              <w:left w:val="nil"/>
              <w:bottom w:val="nil"/>
              <w:right w:val="nil"/>
            </w:tcBorders>
            <w:shd w:val="clear" w:color="FFFFFF" w:fill="FFFFFF"/>
            <w:noWrap/>
            <w:vAlign w:val="bottom"/>
            <w:hideMark/>
          </w:tcPr>
          <w:p w14:paraId="249A4787" w14:textId="77777777" w:rsidR="00A43992" w:rsidRDefault="00A43992" w:rsidP="007211E3">
            <w:pPr>
              <w:ind w:firstLineChars="100" w:firstLine="180"/>
              <w:rPr>
                <w:rFonts w:ascii="Arial" w:hAnsi="Arial" w:cs="Arial"/>
                <w:sz w:val="18"/>
                <w:szCs w:val="18"/>
              </w:rPr>
            </w:pPr>
            <w:r>
              <w:rPr>
                <w:rFonts w:ascii="Arial" w:hAnsi="Arial" w:cs="Arial"/>
                <w:sz w:val="18"/>
                <w:szCs w:val="18"/>
              </w:rPr>
              <w:t>Statutory receivables</w:t>
            </w:r>
          </w:p>
        </w:tc>
        <w:tc>
          <w:tcPr>
            <w:tcW w:w="1247" w:type="dxa"/>
            <w:tcBorders>
              <w:top w:val="nil"/>
              <w:left w:val="nil"/>
              <w:bottom w:val="nil"/>
              <w:right w:val="nil"/>
            </w:tcBorders>
            <w:shd w:val="clear" w:color="FFFFFF" w:fill="FFFFFF"/>
            <w:noWrap/>
            <w:vAlign w:val="bottom"/>
            <w:hideMark/>
          </w:tcPr>
          <w:p w14:paraId="4DB6C62E" w14:textId="77777777" w:rsidR="00A43992" w:rsidRDefault="00A43992" w:rsidP="007211E3">
            <w:pPr>
              <w:jc w:val="center"/>
              <w:rPr>
                <w:rFonts w:ascii="Arial" w:hAnsi="Arial" w:cs="Arial"/>
                <w:sz w:val="18"/>
                <w:szCs w:val="18"/>
              </w:rPr>
            </w:pPr>
            <w:r>
              <w:rPr>
                <w:rFonts w:ascii="Arial" w:hAnsi="Arial" w:cs="Arial"/>
                <w:sz w:val="18"/>
                <w:szCs w:val="18"/>
              </w:rPr>
              <w:t> </w:t>
            </w:r>
          </w:p>
        </w:tc>
        <w:tc>
          <w:tcPr>
            <w:tcW w:w="1247" w:type="dxa"/>
            <w:tcBorders>
              <w:top w:val="nil"/>
              <w:left w:val="nil"/>
              <w:bottom w:val="nil"/>
              <w:right w:val="nil"/>
            </w:tcBorders>
            <w:shd w:val="clear" w:color="FFFFFF" w:fill="FFFFFF"/>
            <w:noWrap/>
            <w:vAlign w:val="bottom"/>
            <w:hideMark/>
          </w:tcPr>
          <w:p w14:paraId="77DDBF21" w14:textId="77777777" w:rsidR="00A43992" w:rsidRDefault="00A43992" w:rsidP="007211E3">
            <w:pPr>
              <w:jc w:val="right"/>
              <w:rPr>
                <w:rFonts w:ascii="Arial" w:hAnsi="Arial" w:cs="Arial"/>
                <w:b/>
                <w:bCs/>
                <w:sz w:val="18"/>
                <w:szCs w:val="18"/>
              </w:rPr>
            </w:pPr>
            <w:r>
              <w:rPr>
                <w:rFonts w:ascii="Arial" w:hAnsi="Arial" w:cs="Arial"/>
                <w:b/>
                <w:bCs/>
                <w:sz w:val="18"/>
                <w:szCs w:val="18"/>
              </w:rPr>
              <w:t>(1,317)</w:t>
            </w:r>
          </w:p>
        </w:tc>
        <w:tc>
          <w:tcPr>
            <w:tcW w:w="236" w:type="dxa"/>
            <w:tcBorders>
              <w:top w:val="nil"/>
              <w:left w:val="nil"/>
              <w:bottom w:val="nil"/>
              <w:right w:val="nil"/>
            </w:tcBorders>
            <w:shd w:val="clear" w:color="FFFFFF" w:fill="FFFFFF"/>
            <w:noWrap/>
            <w:vAlign w:val="bottom"/>
            <w:hideMark/>
          </w:tcPr>
          <w:p w14:paraId="10FA4ED3" w14:textId="77777777" w:rsidR="00A43992" w:rsidRDefault="00A43992" w:rsidP="007211E3">
            <w:pPr>
              <w:rPr>
                <w:rFonts w:ascii="Arial" w:hAnsi="Arial" w:cs="Arial"/>
                <w:b/>
                <w:bCs/>
                <w:sz w:val="18"/>
                <w:szCs w:val="18"/>
              </w:rPr>
            </w:pPr>
            <w:r>
              <w:rPr>
                <w:rFonts w:ascii="Arial" w:hAnsi="Arial" w:cs="Arial"/>
                <w:b/>
                <w:bCs/>
                <w:sz w:val="18"/>
                <w:szCs w:val="18"/>
              </w:rPr>
              <w:t> </w:t>
            </w:r>
          </w:p>
        </w:tc>
        <w:tc>
          <w:tcPr>
            <w:tcW w:w="1247" w:type="dxa"/>
            <w:tcBorders>
              <w:top w:val="nil"/>
              <w:left w:val="nil"/>
              <w:bottom w:val="nil"/>
              <w:right w:val="nil"/>
            </w:tcBorders>
            <w:shd w:val="clear" w:color="FFFFFF" w:fill="FFFFFF"/>
            <w:noWrap/>
            <w:vAlign w:val="bottom"/>
            <w:hideMark/>
          </w:tcPr>
          <w:p w14:paraId="6DAEB59D" w14:textId="77777777" w:rsidR="00A43992" w:rsidRDefault="00A43992" w:rsidP="007211E3">
            <w:pPr>
              <w:jc w:val="right"/>
              <w:rPr>
                <w:rFonts w:ascii="Arial" w:hAnsi="Arial" w:cs="Arial"/>
                <w:sz w:val="18"/>
                <w:szCs w:val="18"/>
              </w:rPr>
            </w:pPr>
            <w:r>
              <w:rPr>
                <w:rFonts w:ascii="Arial" w:hAnsi="Arial" w:cs="Arial"/>
                <w:sz w:val="18"/>
                <w:szCs w:val="18"/>
              </w:rPr>
              <w:t>(778)</w:t>
            </w:r>
          </w:p>
        </w:tc>
      </w:tr>
      <w:tr w:rsidR="00A43992" w14:paraId="70784315" w14:textId="77777777" w:rsidTr="007211E3">
        <w:trPr>
          <w:trHeight w:val="240"/>
        </w:trPr>
        <w:tc>
          <w:tcPr>
            <w:tcW w:w="5110" w:type="dxa"/>
            <w:tcBorders>
              <w:top w:val="nil"/>
              <w:left w:val="nil"/>
              <w:bottom w:val="nil"/>
              <w:right w:val="nil"/>
            </w:tcBorders>
            <w:shd w:val="clear" w:color="FFFFFF" w:fill="FFFFFF"/>
            <w:noWrap/>
            <w:vAlign w:val="bottom"/>
            <w:hideMark/>
          </w:tcPr>
          <w:p w14:paraId="05386042" w14:textId="77777777" w:rsidR="00A43992" w:rsidRDefault="00A43992" w:rsidP="007211E3">
            <w:pPr>
              <w:ind w:firstLineChars="100" w:firstLine="180"/>
              <w:rPr>
                <w:rFonts w:ascii="Arial" w:hAnsi="Arial" w:cs="Arial"/>
                <w:sz w:val="18"/>
                <w:szCs w:val="18"/>
              </w:rPr>
            </w:pPr>
            <w:r>
              <w:rPr>
                <w:rFonts w:ascii="Arial" w:hAnsi="Arial" w:cs="Arial"/>
                <w:sz w:val="18"/>
                <w:szCs w:val="18"/>
              </w:rPr>
              <w:t>Additional Scheme contributions</w:t>
            </w:r>
          </w:p>
        </w:tc>
        <w:tc>
          <w:tcPr>
            <w:tcW w:w="1247" w:type="dxa"/>
            <w:tcBorders>
              <w:top w:val="nil"/>
              <w:left w:val="nil"/>
              <w:bottom w:val="nil"/>
              <w:right w:val="nil"/>
            </w:tcBorders>
            <w:shd w:val="clear" w:color="FFFFFF" w:fill="FFFFFF"/>
            <w:noWrap/>
            <w:vAlign w:val="bottom"/>
            <w:hideMark/>
          </w:tcPr>
          <w:p w14:paraId="5ED1707B" w14:textId="77777777" w:rsidR="00A43992" w:rsidRDefault="00A43992" w:rsidP="007211E3">
            <w:pPr>
              <w:jc w:val="center"/>
              <w:rPr>
                <w:rFonts w:ascii="Arial" w:hAnsi="Arial" w:cs="Arial"/>
                <w:sz w:val="18"/>
                <w:szCs w:val="18"/>
              </w:rPr>
            </w:pPr>
            <w:r>
              <w:rPr>
                <w:rFonts w:ascii="Arial" w:hAnsi="Arial" w:cs="Arial"/>
                <w:sz w:val="18"/>
                <w:szCs w:val="18"/>
              </w:rPr>
              <w:t> </w:t>
            </w:r>
          </w:p>
        </w:tc>
        <w:tc>
          <w:tcPr>
            <w:tcW w:w="1247" w:type="dxa"/>
            <w:tcBorders>
              <w:top w:val="nil"/>
              <w:left w:val="nil"/>
              <w:bottom w:val="nil"/>
              <w:right w:val="nil"/>
            </w:tcBorders>
            <w:shd w:val="clear" w:color="FFFFFF" w:fill="FFFFFF"/>
            <w:noWrap/>
            <w:vAlign w:val="bottom"/>
            <w:hideMark/>
          </w:tcPr>
          <w:p w14:paraId="23D51AD8" w14:textId="77777777" w:rsidR="00A43992" w:rsidRDefault="00A43992" w:rsidP="007211E3">
            <w:pPr>
              <w:jc w:val="right"/>
              <w:rPr>
                <w:rFonts w:ascii="Arial" w:hAnsi="Arial" w:cs="Arial"/>
                <w:b/>
                <w:bCs/>
                <w:sz w:val="18"/>
                <w:szCs w:val="18"/>
              </w:rPr>
            </w:pPr>
            <w:r>
              <w:rPr>
                <w:rFonts w:ascii="Arial" w:hAnsi="Arial" w:cs="Arial"/>
                <w:b/>
                <w:bCs/>
                <w:sz w:val="18"/>
                <w:szCs w:val="18"/>
              </w:rPr>
              <w:t>(47,327)</w:t>
            </w:r>
          </w:p>
        </w:tc>
        <w:tc>
          <w:tcPr>
            <w:tcW w:w="236" w:type="dxa"/>
            <w:tcBorders>
              <w:top w:val="nil"/>
              <w:left w:val="nil"/>
              <w:bottom w:val="nil"/>
              <w:right w:val="nil"/>
            </w:tcBorders>
            <w:shd w:val="clear" w:color="FFFFFF" w:fill="FFFFFF"/>
            <w:noWrap/>
            <w:vAlign w:val="bottom"/>
            <w:hideMark/>
          </w:tcPr>
          <w:p w14:paraId="4173831F" w14:textId="77777777" w:rsidR="00A43992" w:rsidRDefault="00A43992" w:rsidP="007211E3">
            <w:pPr>
              <w:rPr>
                <w:rFonts w:ascii="Arial" w:hAnsi="Arial" w:cs="Arial"/>
                <w:b/>
                <w:bCs/>
                <w:sz w:val="18"/>
                <w:szCs w:val="18"/>
              </w:rPr>
            </w:pPr>
            <w:r>
              <w:rPr>
                <w:rFonts w:ascii="Arial" w:hAnsi="Arial" w:cs="Arial"/>
                <w:b/>
                <w:bCs/>
                <w:sz w:val="18"/>
                <w:szCs w:val="18"/>
              </w:rPr>
              <w:t> </w:t>
            </w:r>
          </w:p>
        </w:tc>
        <w:tc>
          <w:tcPr>
            <w:tcW w:w="1247" w:type="dxa"/>
            <w:tcBorders>
              <w:top w:val="nil"/>
              <w:left w:val="nil"/>
              <w:bottom w:val="nil"/>
              <w:right w:val="nil"/>
            </w:tcBorders>
            <w:shd w:val="clear" w:color="FFFFFF" w:fill="FFFFFF"/>
            <w:noWrap/>
            <w:vAlign w:val="bottom"/>
            <w:hideMark/>
          </w:tcPr>
          <w:p w14:paraId="077A0E03" w14:textId="77777777" w:rsidR="00A43992" w:rsidRDefault="00A43992" w:rsidP="007211E3">
            <w:pPr>
              <w:jc w:val="right"/>
              <w:rPr>
                <w:rFonts w:ascii="Arial" w:hAnsi="Arial" w:cs="Arial"/>
                <w:sz w:val="18"/>
                <w:szCs w:val="18"/>
              </w:rPr>
            </w:pPr>
            <w:r>
              <w:rPr>
                <w:rFonts w:ascii="Arial" w:hAnsi="Arial" w:cs="Arial"/>
                <w:sz w:val="18"/>
                <w:szCs w:val="18"/>
              </w:rPr>
              <w:t>(47,327)</w:t>
            </w:r>
          </w:p>
        </w:tc>
      </w:tr>
      <w:tr w:rsidR="00A43992" w14:paraId="36C9E75D" w14:textId="77777777" w:rsidTr="007211E3">
        <w:trPr>
          <w:trHeight w:val="240"/>
        </w:trPr>
        <w:tc>
          <w:tcPr>
            <w:tcW w:w="5110" w:type="dxa"/>
            <w:tcBorders>
              <w:top w:val="nil"/>
              <w:left w:val="nil"/>
              <w:bottom w:val="nil"/>
              <w:right w:val="nil"/>
            </w:tcBorders>
            <w:shd w:val="clear" w:color="FFFFFF" w:fill="FFFFFF"/>
            <w:noWrap/>
            <w:vAlign w:val="bottom"/>
            <w:hideMark/>
          </w:tcPr>
          <w:p w14:paraId="50B26D18" w14:textId="77777777" w:rsidR="00A43992" w:rsidRDefault="00A43992" w:rsidP="007211E3">
            <w:pPr>
              <w:ind w:firstLineChars="100" w:firstLine="180"/>
              <w:rPr>
                <w:rFonts w:ascii="Arial" w:hAnsi="Arial" w:cs="Arial"/>
                <w:sz w:val="18"/>
                <w:szCs w:val="18"/>
              </w:rPr>
            </w:pPr>
            <w:r>
              <w:rPr>
                <w:rFonts w:ascii="Arial" w:hAnsi="Arial" w:cs="Arial"/>
                <w:sz w:val="18"/>
                <w:szCs w:val="18"/>
              </w:rPr>
              <w:t>Other receivables</w:t>
            </w:r>
          </w:p>
        </w:tc>
        <w:tc>
          <w:tcPr>
            <w:tcW w:w="1247" w:type="dxa"/>
            <w:tcBorders>
              <w:top w:val="nil"/>
              <w:left w:val="nil"/>
              <w:bottom w:val="nil"/>
              <w:right w:val="nil"/>
            </w:tcBorders>
            <w:shd w:val="clear" w:color="FFFFFF" w:fill="FFFFFF"/>
            <w:noWrap/>
            <w:vAlign w:val="bottom"/>
            <w:hideMark/>
          </w:tcPr>
          <w:p w14:paraId="68102448" w14:textId="77777777" w:rsidR="00A43992" w:rsidRDefault="00A43992" w:rsidP="007211E3">
            <w:pPr>
              <w:jc w:val="center"/>
              <w:rPr>
                <w:rFonts w:ascii="Arial" w:hAnsi="Arial" w:cs="Arial"/>
                <w:sz w:val="18"/>
                <w:szCs w:val="18"/>
              </w:rPr>
            </w:pPr>
            <w:r>
              <w:rPr>
                <w:rFonts w:ascii="Arial" w:hAnsi="Arial" w:cs="Arial"/>
                <w:sz w:val="18"/>
                <w:szCs w:val="18"/>
              </w:rPr>
              <w:t> </w:t>
            </w:r>
          </w:p>
        </w:tc>
        <w:tc>
          <w:tcPr>
            <w:tcW w:w="1247" w:type="dxa"/>
            <w:tcBorders>
              <w:top w:val="nil"/>
              <w:left w:val="nil"/>
              <w:bottom w:val="nil"/>
              <w:right w:val="nil"/>
            </w:tcBorders>
            <w:shd w:val="clear" w:color="FFFFFF" w:fill="FFFFFF"/>
            <w:noWrap/>
            <w:vAlign w:val="bottom"/>
            <w:hideMark/>
          </w:tcPr>
          <w:p w14:paraId="4E4CD3F1" w14:textId="77777777" w:rsidR="00A43992" w:rsidRDefault="00A43992" w:rsidP="007211E3">
            <w:pPr>
              <w:jc w:val="right"/>
              <w:rPr>
                <w:rFonts w:ascii="Arial" w:hAnsi="Arial" w:cs="Arial"/>
                <w:b/>
                <w:bCs/>
                <w:sz w:val="18"/>
                <w:szCs w:val="18"/>
              </w:rPr>
            </w:pPr>
            <w:r>
              <w:rPr>
                <w:rFonts w:ascii="Arial" w:hAnsi="Arial" w:cs="Arial"/>
                <w:b/>
                <w:bCs/>
                <w:sz w:val="18"/>
                <w:szCs w:val="18"/>
              </w:rPr>
              <w:t>(40)</w:t>
            </w:r>
          </w:p>
        </w:tc>
        <w:tc>
          <w:tcPr>
            <w:tcW w:w="236" w:type="dxa"/>
            <w:tcBorders>
              <w:top w:val="nil"/>
              <w:left w:val="nil"/>
              <w:bottom w:val="nil"/>
              <w:right w:val="nil"/>
            </w:tcBorders>
            <w:shd w:val="clear" w:color="FFFFFF" w:fill="FFFFFF"/>
            <w:noWrap/>
            <w:vAlign w:val="bottom"/>
            <w:hideMark/>
          </w:tcPr>
          <w:p w14:paraId="746BB311" w14:textId="77777777" w:rsidR="00A43992" w:rsidRDefault="00A43992" w:rsidP="007211E3">
            <w:pPr>
              <w:rPr>
                <w:rFonts w:ascii="Arial" w:hAnsi="Arial" w:cs="Arial"/>
                <w:b/>
                <w:bCs/>
                <w:sz w:val="18"/>
                <w:szCs w:val="18"/>
              </w:rPr>
            </w:pPr>
            <w:r>
              <w:rPr>
                <w:rFonts w:ascii="Arial" w:hAnsi="Arial" w:cs="Arial"/>
                <w:b/>
                <w:bCs/>
                <w:sz w:val="18"/>
                <w:szCs w:val="18"/>
              </w:rPr>
              <w:t> </w:t>
            </w:r>
          </w:p>
        </w:tc>
        <w:tc>
          <w:tcPr>
            <w:tcW w:w="1247" w:type="dxa"/>
            <w:tcBorders>
              <w:top w:val="nil"/>
              <w:left w:val="nil"/>
              <w:bottom w:val="nil"/>
              <w:right w:val="nil"/>
            </w:tcBorders>
            <w:shd w:val="clear" w:color="FFFFFF" w:fill="FFFFFF"/>
            <w:noWrap/>
            <w:vAlign w:val="bottom"/>
            <w:hideMark/>
          </w:tcPr>
          <w:p w14:paraId="62C1904E" w14:textId="77777777" w:rsidR="00A43992" w:rsidRDefault="00A43992" w:rsidP="007211E3">
            <w:pPr>
              <w:jc w:val="right"/>
              <w:rPr>
                <w:rFonts w:ascii="Arial" w:hAnsi="Arial" w:cs="Arial"/>
                <w:sz w:val="18"/>
                <w:szCs w:val="18"/>
              </w:rPr>
            </w:pPr>
            <w:r>
              <w:rPr>
                <w:rFonts w:ascii="Arial" w:hAnsi="Arial" w:cs="Arial"/>
                <w:sz w:val="18"/>
                <w:szCs w:val="18"/>
              </w:rPr>
              <w:t>(539)</w:t>
            </w:r>
          </w:p>
        </w:tc>
      </w:tr>
      <w:tr w:rsidR="00A43992" w14:paraId="5DBF5207" w14:textId="77777777" w:rsidTr="007211E3">
        <w:trPr>
          <w:trHeight w:val="240"/>
        </w:trPr>
        <w:tc>
          <w:tcPr>
            <w:tcW w:w="5110" w:type="dxa"/>
            <w:tcBorders>
              <w:top w:val="nil"/>
              <w:left w:val="nil"/>
              <w:bottom w:val="nil"/>
              <w:right w:val="nil"/>
            </w:tcBorders>
            <w:shd w:val="clear" w:color="FFFFFF" w:fill="FFFFFF"/>
            <w:vAlign w:val="bottom"/>
            <w:hideMark/>
          </w:tcPr>
          <w:p w14:paraId="7ABDAB41" w14:textId="77777777" w:rsidR="00A43992" w:rsidRDefault="00A43992" w:rsidP="007211E3">
            <w:pPr>
              <w:ind w:firstLineChars="100" w:firstLine="180"/>
              <w:rPr>
                <w:rFonts w:ascii="Arial" w:hAnsi="Arial" w:cs="Arial"/>
                <w:sz w:val="18"/>
                <w:szCs w:val="18"/>
              </w:rPr>
            </w:pPr>
            <w:r>
              <w:rPr>
                <w:rFonts w:ascii="Arial" w:hAnsi="Arial" w:cs="Arial"/>
                <w:sz w:val="18"/>
                <w:szCs w:val="18"/>
              </w:rPr>
              <w:t>Receivables impairment allowance</w:t>
            </w:r>
          </w:p>
        </w:tc>
        <w:tc>
          <w:tcPr>
            <w:tcW w:w="1247" w:type="dxa"/>
            <w:tcBorders>
              <w:top w:val="nil"/>
              <w:left w:val="nil"/>
              <w:bottom w:val="nil"/>
              <w:right w:val="nil"/>
            </w:tcBorders>
            <w:shd w:val="clear" w:color="FFFFFF" w:fill="FFFFFF"/>
            <w:noWrap/>
            <w:vAlign w:val="bottom"/>
            <w:hideMark/>
          </w:tcPr>
          <w:p w14:paraId="595FDFF6" w14:textId="77777777" w:rsidR="00A43992" w:rsidRDefault="00A43992" w:rsidP="007211E3">
            <w:pPr>
              <w:jc w:val="center"/>
              <w:rPr>
                <w:rFonts w:ascii="Arial" w:hAnsi="Arial" w:cs="Arial"/>
                <w:sz w:val="18"/>
                <w:szCs w:val="18"/>
              </w:rPr>
            </w:pPr>
            <w:r>
              <w:rPr>
                <w:rFonts w:ascii="Arial" w:hAnsi="Arial" w:cs="Arial"/>
                <w:sz w:val="18"/>
                <w:szCs w:val="18"/>
              </w:rPr>
              <w:t> </w:t>
            </w:r>
          </w:p>
        </w:tc>
        <w:tc>
          <w:tcPr>
            <w:tcW w:w="1247" w:type="dxa"/>
            <w:tcBorders>
              <w:top w:val="nil"/>
              <w:left w:val="nil"/>
              <w:bottom w:val="nil"/>
              <w:right w:val="nil"/>
            </w:tcBorders>
            <w:shd w:val="clear" w:color="FFFFFF" w:fill="FFFFFF"/>
            <w:noWrap/>
            <w:vAlign w:val="bottom"/>
            <w:hideMark/>
          </w:tcPr>
          <w:p w14:paraId="4E1FCA3E" w14:textId="77777777" w:rsidR="00A43992" w:rsidRDefault="00A43992" w:rsidP="007211E3">
            <w:pPr>
              <w:jc w:val="right"/>
              <w:rPr>
                <w:rFonts w:ascii="Arial" w:hAnsi="Arial" w:cs="Arial"/>
                <w:b/>
                <w:bCs/>
                <w:sz w:val="18"/>
                <w:szCs w:val="18"/>
              </w:rPr>
            </w:pPr>
            <w:r>
              <w:rPr>
                <w:rFonts w:ascii="Arial" w:hAnsi="Arial" w:cs="Arial"/>
                <w:b/>
                <w:bCs/>
                <w:sz w:val="18"/>
                <w:szCs w:val="18"/>
              </w:rPr>
              <w:t>64,998</w:t>
            </w:r>
          </w:p>
        </w:tc>
        <w:tc>
          <w:tcPr>
            <w:tcW w:w="236" w:type="dxa"/>
            <w:tcBorders>
              <w:top w:val="nil"/>
              <w:left w:val="nil"/>
              <w:bottom w:val="nil"/>
              <w:right w:val="nil"/>
            </w:tcBorders>
            <w:shd w:val="clear" w:color="FFFFFF" w:fill="FFFFFF"/>
            <w:noWrap/>
            <w:vAlign w:val="bottom"/>
            <w:hideMark/>
          </w:tcPr>
          <w:p w14:paraId="349E7940" w14:textId="77777777" w:rsidR="00A43992" w:rsidRDefault="00A43992" w:rsidP="007211E3">
            <w:pPr>
              <w:rPr>
                <w:rFonts w:ascii="Arial" w:hAnsi="Arial" w:cs="Arial"/>
                <w:b/>
                <w:bCs/>
                <w:sz w:val="18"/>
                <w:szCs w:val="18"/>
              </w:rPr>
            </w:pPr>
            <w:r>
              <w:rPr>
                <w:rFonts w:ascii="Arial" w:hAnsi="Arial" w:cs="Arial"/>
                <w:b/>
                <w:bCs/>
                <w:sz w:val="18"/>
                <w:szCs w:val="18"/>
              </w:rPr>
              <w:t> </w:t>
            </w:r>
          </w:p>
        </w:tc>
        <w:tc>
          <w:tcPr>
            <w:tcW w:w="1247" w:type="dxa"/>
            <w:tcBorders>
              <w:top w:val="nil"/>
              <w:left w:val="nil"/>
              <w:bottom w:val="nil"/>
              <w:right w:val="nil"/>
            </w:tcBorders>
            <w:shd w:val="clear" w:color="FFFFFF" w:fill="FFFFFF"/>
            <w:noWrap/>
            <w:vAlign w:val="bottom"/>
            <w:hideMark/>
          </w:tcPr>
          <w:p w14:paraId="3E9E6617" w14:textId="77777777" w:rsidR="00A43992" w:rsidRDefault="00A43992" w:rsidP="007211E3">
            <w:pPr>
              <w:jc w:val="right"/>
              <w:rPr>
                <w:rFonts w:ascii="Arial" w:hAnsi="Arial" w:cs="Arial"/>
                <w:sz w:val="18"/>
                <w:szCs w:val="18"/>
              </w:rPr>
            </w:pPr>
            <w:r>
              <w:rPr>
                <w:rFonts w:ascii="Arial" w:hAnsi="Arial" w:cs="Arial"/>
                <w:sz w:val="18"/>
                <w:szCs w:val="18"/>
              </w:rPr>
              <w:t xml:space="preserve"> -</w:t>
            </w:r>
          </w:p>
        </w:tc>
      </w:tr>
      <w:tr w:rsidR="00A43992" w14:paraId="18F56609" w14:textId="77777777" w:rsidTr="007211E3">
        <w:trPr>
          <w:trHeight w:val="240"/>
        </w:trPr>
        <w:tc>
          <w:tcPr>
            <w:tcW w:w="5110" w:type="dxa"/>
            <w:tcBorders>
              <w:top w:val="nil"/>
              <w:left w:val="nil"/>
              <w:bottom w:val="nil"/>
              <w:right w:val="nil"/>
            </w:tcBorders>
            <w:shd w:val="clear" w:color="FFFFFF" w:fill="FFFFFF"/>
            <w:vAlign w:val="bottom"/>
            <w:hideMark/>
          </w:tcPr>
          <w:p w14:paraId="0FBAAFF0" w14:textId="77777777" w:rsidR="00A43992" w:rsidRDefault="00A43992" w:rsidP="007211E3">
            <w:pPr>
              <w:rPr>
                <w:rFonts w:ascii="Arial" w:hAnsi="Arial" w:cs="Arial"/>
                <w:b/>
                <w:bCs/>
                <w:sz w:val="18"/>
                <w:szCs w:val="18"/>
              </w:rPr>
            </w:pPr>
            <w:r>
              <w:rPr>
                <w:rFonts w:ascii="Arial" w:hAnsi="Arial" w:cs="Arial"/>
                <w:b/>
                <w:bCs/>
                <w:sz w:val="18"/>
                <w:szCs w:val="18"/>
              </w:rPr>
              <w:t>Total non-financial instrument components</w:t>
            </w:r>
          </w:p>
        </w:tc>
        <w:tc>
          <w:tcPr>
            <w:tcW w:w="1247" w:type="dxa"/>
            <w:tcBorders>
              <w:top w:val="nil"/>
              <w:left w:val="nil"/>
              <w:bottom w:val="nil"/>
              <w:right w:val="nil"/>
            </w:tcBorders>
            <w:shd w:val="clear" w:color="FFFFFF" w:fill="FFFFFF"/>
            <w:noWrap/>
            <w:vAlign w:val="bottom"/>
            <w:hideMark/>
          </w:tcPr>
          <w:p w14:paraId="07FC320E" w14:textId="77777777" w:rsidR="00A43992" w:rsidRDefault="00A43992" w:rsidP="007211E3">
            <w:pPr>
              <w:jc w:val="center"/>
              <w:rPr>
                <w:rFonts w:ascii="Arial" w:hAnsi="Arial" w:cs="Arial"/>
                <w:sz w:val="18"/>
                <w:szCs w:val="18"/>
              </w:rPr>
            </w:pPr>
            <w:r>
              <w:rPr>
                <w:rFonts w:ascii="Arial" w:hAnsi="Arial" w:cs="Arial"/>
                <w:sz w:val="18"/>
                <w:szCs w:val="18"/>
              </w:rPr>
              <w:t> </w:t>
            </w:r>
          </w:p>
        </w:tc>
        <w:tc>
          <w:tcPr>
            <w:tcW w:w="1247" w:type="dxa"/>
            <w:tcBorders>
              <w:top w:val="single" w:sz="4" w:space="0" w:color="auto"/>
              <w:left w:val="nil"/>
              <w:bottom w:val="single" w:sz="4" w:space="0" w:color="auto"/>
              <w:right w:val="nil"/>
            </w:tcBorders>
            <w:shd w:val="clear" w:color="FFFFFF" w:fill="FFFFFF"/>
            <w:noWrap/>
            <w:vAlign w:val="bottom"/>
            <w:hideMark/>
          </w:tcPr>
          <w:p w14:paraId="7118E879" w14:textId="77777777" w:rsidR="00A43992" w:rsidRDefault="00A43992" w:rsidP="007211E3">
            <w:pPr>
              <w:jc w:val="right"/>
              <w:rPr>
                <w:rFonts w:ascii="Arial" w:hAnsi="Arial" w:cs="Arial"/>
                <w:b/>
                <w:bCs/>
                <w:sz w:val="18"/>
                <w:szCs w:val="18"/>
              </w:rPr>
            </w:pPr>
            <w:r>
              <w:rPr>
                <w:rFonts w:ascii="Arial" w:hAnsi="Arial" w:cs="Arial"/>
                <w:b/>
                <w:bCs/>
                <w:sz w:val="18"/>
                <w:szCs w:val="18"/>
              </w:rPr>
              <w:t>(19,469)</w:t>
            </w:r>
          </w:p>
        </w:tc>
        <w:tc>
          <w:tcPr>
            <w:tcW w:w="236" w:type="dxa"/>
            <w:tcBorders>
              <w:top w:val="nil"/>
              <w:left w:val="nil"/>
              <w:bottom w:val="nil"/>
              <w:right w:val="nil"/>
            </w:tcBorders>
            <w:shd w:val="clear" w:color="FFFFFF" w:fill="FFFFFF"/>
            <w:noWrap/>
            <w:vAlign w:val="bottom"/>
            <w:hideMark/>
          </w:tcPr>
          <w:p w14:paraId="639B5C4C" w14:textId="77777777" w:rsidR="00A43992" w:rsidRDefault="00A43992" w:rsidP="007211E3">
            <w:pPr>
              <w:rPr>
                <w:rFonts w:ascii="Arial" w:hAnsi="Arial" w:cs="Arial"/>
                <w:sz w:val="18"/>
                <w:szCs w:val="18"/>
              </w:rPr>
            </w:pPr>
            <w:r>
              <w:rPr>
                <w:rFonts w:ascii="Arial" w:hAnsi="Arial" w:cs="Arial"/>
                <w:sz w:val="18"/>
                <w:szCs w:val="18"/>
              </w:rPr>
              <w:t> </w:t>
            </w:r>
          </w:p>
        </w:tc>
        <w:tc>
          <w:tcPr>
            <w:tcW w:w="1247" w:type="dxa"/>
            <w:tcBorders>
              <w:top w:val="single" w:sz="4" w:space="0" w:color="auto"/>
              <w:left w:val="nil"/>
              <w:bottom w:val="single" w:sz="4" w:space="0" w:color="auto"/>
              <w:right w:val="nil"/>
            </w:tcBorders>
            <w:shd w:val="clear" w:color="FFFFFF" w:fill="FFFFFF"/>
            <w:noWrap/>
            <w:vAlign w:val="bottom"/>
            <w:hideMark/>
          </w:tcPr>
          <w:p w14:paraId="5A30B0A4" w14:textId="77777777" w:rsidR="00A43992" w:rsidRDefault="00A43992" w:rsidP="007211E3">
            <w:pPr>
              <w:jc w:val="right"/>
              <w:rPr>
                <w:rFonts w:ascii="Arial" w:hAnsi="Arial" w:cs="Arial"/>
                <w:sz w:val="18"/>
                <w:szCs w:val="18"/>
              </w:rPr>
            </w:pPr>
            <w:r>
              <w:rPr>
                <w:rFonts w:ascii="Arial" w:hAnsi="Arial" w:cs="Arial"/>
                <w:sz w:val="18"/>
                <w:szCs w:val="18"/>
              </w:rPr>
              <w:t>(83,702)</w:t>
            </w:r>
          </w:p>
        </w:tc>
      </w:tr>
      <w:tr w:rsidR="00A43992" w14:paraId="0E998077" w14:textId="77777777" w:rsidTr="007211E3">
        <w:trPr>
          <w:trHeight w:val="240"/>
        </w:trPr>
        <w:tc>
          <w:tcPr>
            <w:tcW w:w="5110" w:type="dxa"/>
            <w:tcBorders>
              <w:top w:val="nil"/>
              <w:left w:val="nil"/>
              <w:bottom w:val="nil"/>
              <w:right w:val="nil"/>
            </w:tcBorders>
            <w:shd w:val="clear" w:color="FFFFFF" w:fill="FFFFFF"/>
            <w:vAlign w:val="bottom"/>
            <w:hideMark/>
          </w:tcPr>
          <w:p w14:paraId="195834AC" w14:textId="77777777" w:rsidR="00A43992" w:rsidRDefault="00A43992" w:rsidP="007211E3">
            <w:pPr>
              <w:rPr>
                <w:rFonts w:ascii="Arial" w:hAnsi="Arial" w:cs="Arial"/>
                <w:b/>
                <w:bCs/>
                <w:sz w:val="18"/>
                <w:szCs w:val="18"/>
              </w:rPr>
            </w:pPr>
            <w:r>
              <w:rPr>
                <w:rFonts w:ascii="Arial" w:hAnsi="Arial" w:cs="Arial"/>
                <w:b/>
                <w:bCs/>
                <w:sz w:val="18"/>
                <w:szCs w:val="18"/>
              </w:rPr>
              <w:t>Total financial assets as per financial instruments</w:t>
            </w:r>
          </w:p>
        </w:tc>
        <w:tc>
          <w:tcPr>
            <w:tcW w:w="1247" w:type="dxa"/>
            <w:tcBorders>
              <w:top w:val="nil"/>
              <w:left w:val="nil"/>
              <w:bottom w:val="nil"/>
              <w:right w:val="nil"/>
            </w:tcBorders>
            <w:shd w:val="clear" w:color="FFFFFF" w:fill="FFFFFF"/>
            <w:noWrap/>
            <w:vAlign w:val="bottom"/>
            <w:hideMark/>
          </w:tcPr>
          <w:p w14:paraId="67E9764F" w14:textId="77777777" w:rsidR="00A43992" w:rsidRDefault="00A43992" w:rsidP="007211E3">
            <w:pPr>
              <w:jc w:val="center"/>
              <w:rPr>
                <w:rFonts w:ascii="Arial" w:hAnsi="Arial" w:cs="Arial"/>
                <w:sz w:val="18"/>
                <w:szCs w:val="18"/>
              </w:rPr>
            </w:pPr>
            <w:r>
              <w:rPr>
                <w:rFonts w:ascii="Arial" w:hAnsi="Arial" w:cs="Arial"/>
                <w:sz w:val="18"/>
                <w:szCs w:val="18"/>
              </w:rPr>
              <w:t>5.2A</w:t>
            </w:r>
          </w:p>
        </w:tc>
        <w:tc>
          <w:tcPr>
            <w:tcW w:w="1247" w:type="dxa"/>
            <w:tcBorders>
              <w:top w:val="nil"/>
              <w:left w:val="nil"/>
              <w:bottom w:val="single" w:sz="4" w:space="0" w:color="auto"/>
              <w:right w:val="nil"/>
            </w:tcBorders>
            <w:shd w:val="clear" w:color="FFFFFF" w:fill="FFFFFF"/>
            <w:noWrap/>
            <w:vAlign w:val="bottom"/>
            <w:hideMark/>
          </w:tcPr>
          <w:p w14:paraId="026CAE03" w14:textId="77777777" w:rsidR="00A43992" w:rsidRDefault="00A43992" w:rsidP="007211E3">
            <w:pPr>
              <w:jc w:val="right"/>
              <w:rPr>
                <w:rFonts w:ascii="Arial" w:hAnsi="Arial" w:cs="Arial"/>
                <w:b/>
                <w:bCs/>
                <w:sz w:val="18"/>
                <w:szCs w:val="18"/>
              </w:rPr>
            </w:pPr>
            <w:r>
              <w:rPr>
                <w:rFonts w:ascii="Arial" w:hAnsi="Arial" w:cs="Arial"/>
                <w:b/>
                <w:bCs/>
                <w:sz w:val="18"/>
                <w:szCs w:val="18"/>
              </w:rPr>
              <w:t>341,039</w:t>
            </w:r>
          </w:p>
        </w:tc>
        <w:tc>
          <w:tcPr>
            <w:tcW w:w="236" w:type="dxa"/>
            <w:tcBorders>
              <w:top w:val="nil"/>
              <w:left w:val="nil"/>
              <w:bottom w:val="nil"/>
              <w:right w:val="nil"/>
            </w:tcBorders>
            <w:shd w:val="clear" w:color="FFFFFF" w:fill="FFFFFF"/>
            <w:noWrap/>
            <w:vAlign w:val="bottom"/>
            <w:hideMark/>
          </w:tcPr>
          <w:p w14:paraId="1E5C5F7D" w14:textId="77777777" w:rsidR="00A43992" w:rsidRDefault="00A43992" w:rsidP="007211E3">
            <w:pPr>
              <w:rPr>
                <w:rFonts w:ascii="Arial" w:hAnsi="Arial" w:cs="Arial"/>
                <w:sz w:val="18"/>
                <w:szCs w:val="18"/>
              </w:rPr>
            </w:pPr>
            <w:r>
              <w:rPr>
                <w:rFonts w:ascii="Arial" w:hAnsi="Arial" w:cs="Arial"/>
                <w:sz w:val="18"/>
                <w:szCs w:val="18"/>
              </w:rPr>
              <w:t> </w:t>
            </w:r>
          </w:p>
        </w:tc>
        <w:tc>
          <w:tcPr>
            <w:tcW w:w="1247" w:type="dxa"/>
            <w:tcBorders>
              <w:top w:val="nil"/>
              <w:left w:val="nil"/>
              <w:bottom w:val="single" w:sz="4" w:space="0" w:color="auto"/>
              <w:right w:val="nil"/>
            </w:tcBorders>
            <w:shd w:val="clear" w:color="FFFFFF" w:fill="FFFFFF"/>
            <w:noWrap/>
            <w:vAlign w:val="bottom"/>
            <w:hideMark/>
          </w:tcPr>
          <w:p w14:paraId="58C8134E" w14:textId="77777777" w:rsidR="00A43992" w:rsidRDefault="00A43992" w:rsidP="007211E3">
            <w:pPr>
              <w:jc w:val="right"/>
              <w:rPr>
                <w:rFonts w:ascii="Arial" w:hAnsi="Arial" w:cs="Arial"/>
                <w:sz w:val="18"/>
                <w:szCs w:val="18"/>
              </w:rPr>
            </w:pPr>
            <w:r>
              <w:rPr>
                <w:rFonts w:ascii="Arial" w:hAnsi="Arial" w:cs="Arial"/>
                <w:sz w:val="18"/>
                <w:szCs w:val="18"/>
              </w:rPr>
              <w:t>136,713</w:t>
            </w:r>
          </w:p>
        </w:tc>
      </w:tr>
    </w:tbl>
    <w:p w14:paraId="31E202A3" w14:textId="77777777" w:rsidR="00A43992" w:rsidRPr="009F204C" w:rsidRDefault="00A43992" w:rsidP="00A43992">
      <w:bookmarkStart w:id="533" w:name="RANGE!D7:D20"/>
      <w:bookmarkStart w:id="534" w:name="RANGE!D7:H20"/>
      <w:bookmarkEnd w:id="533"/>
      <w:bookmarkEnd w:id="534"/>
    </w:p>
    <w:p w14:paraId="468C03E7" w14:textId="77777777" w:rsidR="00A43992" w:rsidRPr="009F204C" w:rsidRDefault="00A43992" w:rsidP="00A43992"/>
    <w:p w14:paraId="047E82D9" w14:textId="77777777" w:rsidR="00A43992" w:rsidRPr="009F204C" w:rsidRDefault="00A43992" w:rsidP="00A43992"/>
    <w:p w14:paraId="046E6EB7" w14:textId="77777777" w:rsidR="00A43992" w:rsidRDefault="00A43992" w:rsidP="00A43992"/>
    <w:p w14:paraId="1B9A1895" w14:textId="77777777" w:rsidR="00A43992" w:rsidRDefault="00A43992" w:rsidP="00A43992"/>
    <w:p w14:paraId="01ADC527" w14:textId="77777777" w:rsidR="00A43992" w:rsidRDefault="00A43992" w:rsidP="00A43992"/>
    <w:p w14:paraId="0271256A" w14:textId="77777777" w:rsidR="00A43992" w:rsidRPr="009F204C" w:rsidRDefault="00A43992" w:rsidP="00A43992">
      <w:pPr>
        <w:sectPr w:rsidR="00A43992" w:rsidRPr="009F204C" w:rsidSect="007211E3">
          <w:pgSz w:w="11906" w:h="16838" w:code="9"/>
          <w:pgMar w:top="1670" w:right="1134" w:bottom="1134" w:left="1134" w:header="958" w:footer="737" w:gutter="0"/>
          <w:cols w:space="708"/>
          <w:docGrid w:linePitch="360"/>
        </w:sectPr>
      </w:pPr>
    </w:p>
    <w:p w14:paraId="49B5087C" w14:textId="77777777" w:rsidR="00A43992" w:rsidRPr="00F40720" w:rsidRDefault="00A43992" w:rsidP="00A43992">
      <w:pPr>
        <w:pStyle w:val="SubHeading"/>
      </w:pPr>
      <w:bookmarkStart w:id="535" w:name="RANGE!D7:D19"/>
      <w:bookmarkStart w:id="536" w:name="RANGE!D7:D18"/>
      <w:bookmarkStart w:id="537" w:name="RANGE!D7:H18"/>
      <w:bookmarkStart w:id="538" w:name="RANGE!D6:G11"/>
      <w:bookmarkStart w:id="539" w:name="RANGE!D18:J21"/>
      <w:bookmarkStart w:id="540" w:name="RANGE!D17:J20"/>
      <w:bookmarkStart w:id="541" w:name="RANGE!D17:J19"/>
      <w:bookmarkStart w:id="542" w:name="RANGE!D18:J20"/>
      <w:bookmarkStart w:id="543" w:name="RANGE!D36:J38"/>
      <w:bookmarkStart w:id="544" w:name="_Toc447030551"/>
      <w:bookmarkStart w:id="545" w:name="_Toc447030703"/>
      <w:bookmarkStart w:id="546" w:name="_Toc447030796"/>
      <w:bookmarkStart w:id="547" w:name="_Toc456865075"/>
      <w:bookmarkEnd w:id="535"/>
      <w:bookmarkEnd w:id="536"/>
      <w:bookmarkEnd w:id="537"/>
      <w:bookmarkEnd w:id="538"/>
      <w:bookmarkEnd w:id="539"/>
      <w:bookmarkEnd w:id="540"/>
      <w:bookmarkEnd w:id="541"/>
      <w:bookmarkEnd w:id="542"/>
      <w:bookmarkEnd w:id="543"/>
      <w:r w:rsidRPr="00F40720">
        <w:lastRenderedPageBreak/>
        <w:t>Fair Value Measurement</w:t>
      </w:r>
      <w:bookmarkEnd w:id="499"/>
      <w:bookmarkEnd w:id="500"/>
      <w:bookmarkEnd w:id="501"/>
      <w:bookmarkEnd w:id="544"/>
      <w:bookmarkEnd w:id="545"/>
      <w:bookmarkEnd w:id="546"/>
      <w:bookmarkEnd w:id="547"/>
    </w:p>
    <w:tbl>
      <w:tblPr>
        <w:tblW w:w="13991" w:type="dxa"/>
        <w:tblInd w:w="80" w:type="dxa"/>
        <w:tblLayout w:type="fixed"/>
        <w:tblLook w:val="04A0" w:firstRow="1" w:lastRow="0" w:firstColumn="1" w:lastColumn="0" w:noHBand="0" w:noVBand="1"/>
      </w:tblPr>
      <w:tblGrid>
        <w:gridCol w:w="4324"/>
        <w:gridCol w:w="1296"/>
        <w:gridCol w:w="1293"/>
        <w:gridCol w:w="1907"/>
        <w:gridCol w:w="2637"/>
        <w:gridCol w:w="2534"/>
      </w:tblGrid>
      <w:tr w:rsidR="00A43992" w14:paraId="1E15A4D7" w14:textId="77777777" w:rsidTr="007211E3">
        <w:trPr>
          <w:trHeight w:val="1703"/>
        </w:trPr>
        <w:tc>
          <w:tcPr>
            <w:tcW w:w="11120" w:type="dxa"/>
            <w:gridSpan w:val="6"/>
            <w:tcBorders>
              <w:top w:val="nil"/>
              <w:left w:val="nil"/>
              <w:bottom w:val="nil"/>
              <w:right w:val="nil"/>
            </w:tcBorders>
            <w:shd w:val="clear" w:color="FFFFFF" w:fill="FFFFFF"/>
            <w:vAlign w:val="bottom"/>
            <w:hideMark/>
          </w:tcPr>
          <w:p w14:paraId="411357A1" w14:textId="77777777" w:rsidR="00A43992" w:rsidRDefault="00A43992" w:rsidP="007211E3">
            <w:pPr>
              <w:rPr>
                <w:rFonts w:ascii="Arial" w:hAnsi="Arial" w:cs="Arial"/>
                <w:sz w:val="18"/>
                <w:szCs w:val="18"/>
              </w:rPr>
            </w:pPr>
            <w:bookmarkStart w:id="548" w:name="Note_FIMTABLE1" w:colFirst="0" w:colLast="0"/>
            <w:r>
              <w:rPr>
                <w:rFonts w:ascii="Arial" w:hAnsi="Arial" w:cs="Arial"/>
                <w:sz w:val="18"/>
                <w:szCs w:val="18"/>
              </w:rPr>
              <w:t>The following tables provide an analysis of assets and liabilities that are measured at fair value.</w:t>
            </w:r>
            <w:r>
              <w:rPr>
                <w:rFonts w:ascii="Arial" w:hAnsi="Arial" w:cs="Arial"/>
                <w:sz w:val="18"/>
                <w:szCs w:val="18"/>
              </w:rPr>
              <w:br/>
            </w:r>
            <w:r>
              <w:rPr>
                <w:rFonts w:ascii="Arial" w:hAnsi="Arial" w:cs="Arial"/>
                <w:sz w:val="18"/>
                <w:szCs w:val="18"/>
              </w:rPr>
              <w:br/>
              <w:t>The fair value hierarchy has the following levels:</w:t>
            </w:r>
            <w:r>
              <w:rPr>
                <w:rFonts w:ascii="Arial" w:hAnsi="Arial" w:cs="Arial"/>
                <w:sz w:val="18"/>
                <w:szCs w:val="18"/>
              </w:rPr>
              <w:br/>
              <w:t>Level 1:  Quoted prices (unadjusted) in active markets for identical assets or liabilities that the entity can access at measurement date;</w:t>
            </w:r>
            <w:r>
              <w:rPr>
                <w:rFonts w:ascii="Arial" w:hAnsi="Arial" w:cs="Arial"/>
                <w:sz w:val="18"/>
                <w:szCs w:val="18"/>
              </w:rPr>
              <w:br/>
              <w:t xml:space="preserve">Level 2:  Inputs other than quoted prices included within Level 1 that are observable for the asset or liability,          </w:t>
            </w:r>
            <w:r>
              <w:rPr>
                <w:rFonts w:ascii="Arial" w:hAnsi="Arial" w:cs="Arial"/>
                <w:sz w:val="18"/>
                <w:szCs w:val="18"/>
              </w:rPr>
              <w:br/>
              <w:t xml:space="preserve">               either directly (i.e. as prices) or indirectly (i.e. derived from prices); and</w:t>
            </w:r>
            <w:r>
              <w:rPr>
                <w:rFonts w:ascii="Arial" w:hAnsi="Arial" w:cs="Arial"/>
                <w:sz w:val="18"/>
                <w:szCs w:val="18"/>
              </w:rPr>
              <w:br/>
              <w:t>Level 3:  Inputs for the asset or liability that are not based on observable market data (unobservable inputs).</w:t>
            </w:r>
          </w:p>
        </w:tc>
      </w:tr>
      <w:bookmarkEnd w:id="548"/>
      <w:tr w:rsidR="00A43992" w14:paraId="2706E01C" w14:textId="77777777" w:rsidTr="007211E3">
        <w:trPr>
          <w:trHeight w:val="255"/>
        </w:trPr>
        <w:tc>
          <w:tcPr>
            <w:tcW w:w="3436" w:type="dxa"/>
            <w:tcBorders>
              <w:top w:val="nil"/>
              <w:left w:val="nil"/>
              <w:bottom w:val="nil"/>
              <w:right w:val="nil"/>
            </w:tcBorders>
            <w:shd w:val="clear" w:color="FFFFFF" w:fill="FFFFFF"/>
            <w:noWrap/>
            <w:vAlign w:val="bottom"/>
            <w:hideMark/>
          </w:tcPr>
          <w:p w14:paraId="3F618E6B" w14:textId="77777777" w:rsidR="00A43992" w:rsidRDefault="00A43992" w:rsidP="007211E3">
            <w:pPr>
              <w:rPr>
                <w:rFonts w:ascii="Arial" w:hAnsi="Arial" w:cs="Arial"/>
                <w:sz w:val="18"/>
                <w:szCs w:val="18"/>
              </w:rPr>
            </w:pPr>
            <w:r>
              <w:rPr>
                <w:rFonts w:ascii="Arial" w:hAnsi="Arial" w:cs="Arial"/>
                <w:sz w:val="18"/>
                <w:szCs w:val="18"/>
              </w:rPr>
              <w:t> </w:t>
            </w:r>
          </w:p>
        </w:tc>
        <w:tc>
          <w:tcPr>
            <w:tcW w:w="1030" w:type="dxa"/>
            <w:tcBorders>
              <w:top w:val="nil"/>
              <w:left w:val="nil"/>
              <w:bottom w:val="nil"/>
              <w:right w:val="nil"/>
            </w:tcBorders>
            <w:shd w:val="clear" w:color="FFFFFF" w:fill="FFFFFF"/>
            <w:vAlign w:val="bottom"/>
            <w:hideMark/>
          </w:tcPr>
          <w:p w14:paraId="1CA16F32" w14:textId="77777777" w:rsidR="00A43992" w:rsidRDefault="00A43992" w:rsidP="007211E3">
            <w:pPr>
              <w:jc w:val="right"/>
              <w:rPr>
                <w:rFonts w:ascii="Arial" w:hAnsi="Arial" w:cs="Arial"/>
                <w:b/>
                <w:bCs/>
                <w:sz w:val="18"/>
                <w:szCs w:val="18"/>
              </w:rPr>
            </w:pPr>
            <w:r>
              <w:rPr>
                <w:rFonts w:ascii="Arial" w:hAnsi="Arial" w:cs="Arial"/>
                <w:b/>
                <w:bCs/>
                <w:sz w:val="18"/>
                <w:szCs w:val="18"/>
              </w:rPr>
              <w:t> </w:t>
            </w:r>
          </w:p>
        </w:tc>
        <w:tc>
          <w:tcPr>
            <w:tcW w:w="1028" w:type="dxa"/>
            <w:tcBorders>
              <w:top w:val="nil"/>
              <w:left w:val="nil"/>
              <w:bottom w:val="nil"/>
              <w:right w:val="nil"/>
            </w:tcBorders>
            <w:shd w:val="clear" w:color="FFFFFF" w:fill="FFFFFF"/>
            <w:vAlign w:val="bottom"/>
            <w:hideMark/>
          </w:tcPr>
          <w:p w14:paraId="7833A036" w14:textId="77777777" w:rsidR="00A43992" w:rsidRDefault="00A43992" w:rsidP="007211E3">
            <w:pPr>
              <w:jc w:val="right"/>
              <w:rPr>
                <w:rFonts w:ascii="Arial" w:hAnsi="Arial" w:cs="Arial"/>
                <w:b/>
                <w:bCs/>
                <w:sz w:val="18"/>
                <w:szCs w:val="18"/>
              </w:rPr>
            </w:pPr>
            <w:r>
              <w:rPr>
                <w:rFonts w:ascii="Arial" w:hAnsi="Arial" w:cs="Arial"/>
                <w:b/>
                <w:bCs/>
                <w:sz w:val="18"/>
                <w:szCs w:val="18"/>
              </w:rPr>
              <w:t> </w:t>
            </w:r>
          </w:p>
        </w:tc>
        <w:tc>
          <w:tcPr>
            <w:tcW w:w="1516" w:type="dxa"/>
            <w:tcBorders>
              <w:top w:val="nil"/>
              <w:left w:val="nil"/>
              <w:bottom w:val="nil"/>
              <w:right w:val="nil"/>
            </w:tcBorders>
            <w:shd w:val="clear" w:color="FFFFFF" w:fill="FFFFFF"/>
            <w:noWrap/>
            <w:vAlign w:val="bottom"/>
            <w:hideMark/>
          </w:tcPr>
          <w:p w14:paraId="6F9629A8" w14:textId="77777777" w:rsidR="00A43992" w:rsidRDefault="00A43992" w:rsidP="007211E3">
            <w:pPr>
              <w:rPr>
                <w:rFonts w:ascii="Arial" w:hAnsi="Arial" w:cs="Arial"/>
                <w:sz w:val="18"/>
                <w:szCs w:val="18"/>
              </w:rPr>
            </w:pPr>
            <w:r>
              <w:rPr>
                <w:rFonts w:ascii="Arial" w:hAnsi="Arial" w:cs="Arial"/>
                <w:sz w:val="18"/>
                <w:szCs w:val="18"/>
              </w:rPr>
              <w:t> </w:t>
            </w:r>
          </w:p>
        </w:tc>
        <w:tc>
          <w:tcPr>
            <w:tcW w:w="2096" w:type="dxa"/>
            <w:tcBorders>
              <w:top w:val="nil"/>
              <w:left w:val="nil"/>
              <w:bottom w:val="nil"/>
              <w:right w:val="nil"/>
            </w:tcBorders>
            <w:shd w:val="clear" w:color="FFFFFF" w:fill="FFFFFF"/>
            <w:noWrap/>
            <w:vAlign w:val="bottom"/>
            <w:hideMark/>
          </w:tcPr>
          <w:p w14:paraId="6EC8FD8D" w14:textId="77777777" w:rsidR="00A43992" w:rsidRDefault="00A43992" w:rsidP="007211E3">
            <w:pPr>
              <w:rPr>
                <w:rFonts w:ascii="Arial" w:hAnsi="Arial" w:cs="Arial"/>
                <w:sz w:val="18"/>
                <w:szCs w:val="18"/>
              </w:rPr>
            </w:pPr>
            <w:r>
              <w:rPr>
                <w:rFonts w:ascii="Arial" w:hAnsi="Arial" w:cs="Arial"/>
                <w:sz w:val="18"/>
                <w:szCs w:val="18"/>
              </w:rPr>
              <w:t> </w:t>
            </w:r>
          </w:p>
        </w:tc>
        <w:tc>
          <w:tcPr>
            <w:tcW w:w="2014" w:type="dxa"/>
            <w:tcBorders>
              <w:top w:val="nil"/>
              <w:left w:val="nil"/>
              <w:bottom w:val="nil"/>
              <w:right w:val="nil"/>
            </w:tcBorders>
            <w:shd w:val="clear" w:color="FFFFFF" w:fill="FFFFFF"/>
            <w:vAlign w:val="bottom"/>
            <w:hideMark/>
          </w:tcPr>
          <w:p w14:paraId="2FB3FD3D" w14:textId="77777777" w:rsidR="00A43992" w:rsidRDefault="00A43992" w:rsidP="007211E3">
            <w:pPr>
              <w:jc w:val="right"/>
              <w:rPr>
                <w:rFonts w:ascii="Arial" w:hAnsi="Arial" w:cs="Arial"/>
                <w:sz w:val="18"/>
                <w:szCs w:val="18"/>
              </w:rPr>
            </w:pPr>
            <w:r>
              <w:rPr>
                <w:rFonts w:ascii="Arial" w:hAnsi="Arial" w:cs="Arial"/>
                <w:sz w:val="18"/>
                <w:szCs w:val="18"/>
              </w:rPr>
              <w:t> </w:t>
            </w:r>
          </w:p>
        </w:tc>
      </w:tr>
      <w:tr w:rsidR="00A43992" w14:paraId="4A7CDDEF" w14:textId="77777777" w:rsidTr="007211E3">
        <w:trPr>
          <w:trHeight w:val="255"/>
        </w:trPr>
        <w:tc>
          <w:tcPr>
            <w:tcW w:w="11120" w:type="dxa"/>
            <w:gridSpan w:val="6"/>
            <w:tcBorders>
              <w:top w:val="nil"/>
              <w:left w:val="nil"/>
              <w:bottom w:val="nil"/>
              <w:right w:val="nil"/>
            </w:tcBorders>
            <w:shd w:val="clear" w:color="FFFFFF" w:fill="FFFFFF"/>
            <w:noWrap/>
            <w:vAlign w:val="bottom"/>
            <w:hideMark/>
          </w:tcPr>
          <w:p w14:paraId="4DD04892" w14:textId="77777777" w:rsidR="00A43992" w:rsidRDefault="00A43992" w:rsidP="007211E3">
            <w:pPr>
              <w:rPr>
                <w:rFonts w:ascii="Arial" w:hAnsi="Arial" w:cs="Arial"/>
                <w:b/>
                <w:bCs/>
                <w:sz w:val="18"/>
                <w:szCs w:val="18"/>
              </w:rPr>
            </w:pPr>
            <w:r>
              <w:rPr>
                <w:rFonts w:ascii="Arial" w:hAnsi="Arial" w:cs="Arial"/>
                <w:b/>
                <w:bCs/>
                <w:sz w:val="18"/>
                <w:szCs w:val="18"/>
              </w:rPr>
              <w:t>Note 5.3A: Fair value measurements for recurring fair value measurement assets</w:t>
            </w:r>
          </w:p>
        </w:tc>
      </w:tr>
      <w:tr w:rsidR="00A43992" w14:paraId="1FA7A3F1" w14:textId="77777777" w:rsidTr="007211E3">
        <w:trPr>
          <w:trHeight w:val="255"/>
        </w:trPr>
        <w:tc>
          <w:tcPr>
            <w:tcW w:w="3436" w:type="dxa"/>
            <w:tcBorders>
              <w:top w:val="nil"/>
              <w:left w:val="nil"/>
              <w:bottom w:val="nil"/>
              <w:right w:val="nil"/>
            </w:tcBorders>
            <w:shd w:val="clear" w:color="FFFFFF" w:fill="FFFFFF"/>
            <w:noWrap/>
            <w:vAlign w:val="bottom"/>
            <w:hideMark/>
          </w:tcPr>
          <w:p w14:paraId="335AEBF2" w14:textId="77777777" w:rsidR="00A43992" w:rsidRDefault="00A43992" w:rsidP="007211E3">
            <w:pPr>
              <w:rPr>
                <w:rFonts w:ascii="Arial" w:hAnsi="Arial" w:cs="Arial"/>
                <w:b/>
                <w:bCs/>
                <w:sz w:val="18"/>
                <w:szCs w:val="18"/>
              </w:rPr>
            </w:pPr>
            <w:r>
              <w:rPr>
                <w:rFonts w:ascii="Arial" w:hAnsi="Arial" w:cs="Arial"/>
                <w:b/>
                <w:bCs/>
                <w:sz w:val="18"/>
                <w:szCs w:val="18"/>
              </w:rPr>
              <w:t> </w:t>
            </w:r>
          </w:p>
        </w:tc>
        <w:tc>
          <w:tcPr>
            <w:tcW w:w="1030" w:type="dxa"/>
            <w:tcBorders>
              <w:top w:val="nil"/>
              <w:left w:val="nil"/>
              <w:bottom w:val="nil"/>
              <w:right w:val="nil"/>
            </w:tcBorders>
            <w:shd w:val="clear" w:color="FFFFFF" w:fill="FFFFFF"/>
            <w:noWrap/>
            <w:vAlign w:val="bottom"/>
            <w:hideMark/>
          </w:tcPr>
          <w:p w14:paraId="421A7FC0" w14:textId="77777777" w:rsidR="00A43992" w:rsidRDefault="00A43992" w:rsidP="007211E3">
            <w:pPr>
              <w:rPr>
                <w:rFonts w:ascii="Arial" w:hAnsi="Arial" w:cs="Arial"/>
                <w:b/>
                <w:bCs/>
                <w:sz w:val="18"/>
                <w:szCs w:val="18"/>
              </w:rPr>
            </w:pPr>
            <w:r>
              <w:rPr>
                <w:rFonts w:ascii="Arial" w:hAnsi="Arial" w:cs="Arial"/>
                <w:b/>
                <w:bCs/>
                <w:sz w:val="18"/>
                <w:szCs w:val="18"/>
              </w:rPr>
              <w:t> </w:t>
            </w:r>
          </w:p>
        </w:tc>
        <w:tc>
          <w:tcPr>
            <w:tcW w:w="1028" w:type="dxa"/>
            <w:tcBorders>
              <w:top w:val="nil"/>
              <w:left w:val="nil"/>
              <w:bottom w:val="nil"/>
              <w:right w:val="nil"/>
            </w:tcBorders>
            <w:shd w:val="clear" w:color="FFFFFF" w:fill="FFFFFF"/>
            <w:noWrap/>
            <w:vAlign w:val="bottom"/>
            <w:hideMark/>
          </w:tcPr>
          <w:p w14:paraId="0DA3C49E" w14:textId="77777777" w:rsidR="00A43992" w:rsidRDefault="00A43992" w:rsidP="007211E3">
            <w:pPr>
              <w:rPr>
                <w:rFonts w:ascii="Arial" w:hAnsi="Arial" w:cs="Arial"/>
                <w:b/>
                <w:bCs/>
                <w:sz w:val="18"/>
                <w:szCs w:val="18"/>
              </w:rPr>
            </w:pPr>
            <w:r>
              <w:rPr>
                <w:rFonts w:ascii="Arial" w:hAnsi="Arial" w:cs="Arial"/>
                <w:b/>
                <w:bCs/>
                <w:sz w:val="18"/>
                <w:szCs w:val="18"/>
              </w:rPr>
              <w:t> </w:t>
            </w:r>
          </w:p>
        </w:tc>
        <w:tc>
          <w:tcPr>
            <w:tcW w:w="1516" w:type="dxa"/>
            <w:tcBorders>
              <w:top w:val="nil"/>
              <w:left w:val="nil"/>
              <w:bottom w:val="nil"/>
              <w:right w:val="nil"/>
            </w:tcBorders>
            <w:shd w:val="clear" w:color="FFFFFF" w:fill="FFFFFF"/>
            <w:noWrap/>
            <w:vAlign w:val="bottom"/>
            <w:hideMark/>
          </w:tcPr>
          <w:p w14:paraId="5EBA8909" w14:textId="77777777" w:rsidR="00A43992" w:rsidRDefault="00A43992" w:rsidP="007211E3">
            <w:pPr>
              <w:rPr>
                <w:rFonts w:ascii="Arial" w:hAnsi="Arial" w:cs="Arial"/>
                <w:b/>
                <w:bCs/>
                <w:sz w:val="18"/>
                <w:szCs w:val="18"/>
              </w:rPr>
            </w:pPr>
            <w:r>
              <w:rPr>
                <w:rFonts w:ascii="Arial" w:hAnsi="Arial" w:cs="Arial"/>
                <w:b/>
                <w:bCs/>
                <w:sz w:val="18"/>
                <w:szCs w:val="18"/>
              </w:rPr>
              <w:t> </w:t>
            </w:r>
          </w:p>
        </w:tc>
        <w:tc>
          <w:tcPr>
            <w:tcW w:w="2096" w:type="dxa"/>
            <w:tcBorders>
              <w:top w:val="nil"/>
              <w:left w:val="nil"/>
              <w:bottom w:val="nil"/>
              <w:right w:val="nil"/>
            </w:tcBorders>
            <w:shd w:val="clear" w:color="FFFFFF" w:fill="FFFFFF"/>
            <w:noWrap/>
            <w:vAlign w:val="bottom"/>
            <w:hideMark/>
          </w:tcPr>
          <w:p w14:paraId="3527FB7B" w14:textId="77777777" w:rsidR="00A43992" w:rsidRDefault="00A43992" w:rsidP="007211E3">
            <w:pPr>
              <w:rPr>
                <w:rFonts w:ascii="Arial" w:hAnsi="Arial" w:cs="Arial"/>
                <w:b/>
                <w:bCs/>
                <w:sz w:val="18"/>
                <w:szCs w:val="18"/>
              </w:rPr>
            </w:pPr>
            <w:r>
              <w:rPr>
                <w:rFonts w:ascii="Arial" w:hAnsi="Arial" w:cs="Arial"/>
                <w:b/>
                <w:bCs/>
                <w:sz w:val="18"/>
                <w:szCs w:val="18"/>
              </w:rPr>
              <w:t> </w:t>
            </w:r>
          </w:p>
        </w:tc>
        <w:tc>
          <w:tcPr>
            <w:tcW w:w="2014" w:type="dxa"/>
            <w:tcBorders>
              <w:top w:val="nil"/>
              <w:left w:val="nil"/>
              <w:bottom w:val="nil"/>
              <w:right w:val="nil"/>
            </w:tcBorders>
            <w:shd w:val="clear" w:color="FFFFFF" w:fill="FFFFFF"/>
            <w:noWrap/>
            <w:vAlign w:val="bottom"/>
            <w:hideMark/>
          </w:tcPr>
          <w:p w14:paraId="59E77606" w14:textId="77777777" w:rsidR="00A43992" w:rsidRDefault="00A43992" w:rsidP="007211E3">
            <w:pPr>
              <w:rPr>
                <w:rFonts w:ascii="Arial" w:hAnsi="Arial" w:cs="Arial"/>
                <w:b/>
                <w:bCs/>
                <w:sz w:val="18"/>
                <w:szCs w:val="18"/>
              </w:rPr>
            </w:pPr>
            <w:r>
              <w:rPr>
                <w:rFonts w:ascii="Arial" w:hAnsi="Arial" w:cs="Arial"/>
                <w:b/>
                <w:bCs/>
                <w:sz w:val="18"/>
                <w:szCs w:val="18"/>
              </w:rPr>
              <w:t> </w:t>
            </w:r>
          </w:p>
        </w:tc>
      </w:tr>
      <w:tr w:rsidR="00A43992" w14:paraId="768EFD29" w14:textId="77777777" w:rsidTr="007211E3">
        <w:trPr>
          <w:trHeight w:val="338"/>
        </w:trPr>
        <w:tc>
          <w:tcPr>
            <w:tcW w:w="11120" w:type="dxa"/>
            <w:gridSpan w:val="6"/>
            <w:tcBorders>
              <w:top w:val="nil"/>
              <w:left w:val="nil"/>
              <w:bottom w:val="single" w:sz="4" w:space="0" w:color="auto"/>
              <w:right w:val="nil"/>
            </w:tcBorders>
            <w:shd w:val="clear" w:color="auto" w:fill="auto"/>
            <w:noWrap/>
            <w:vAlign w:val="bottom"/>
            <w:hideMark/>
          </w:tcPr>
          <w:p w14:paraId="7D490D45" w14:textId="77777777" w:rsidR="00A43992" w:rsidRDefault="00A43992" w:rsidP="007211E3">
            <w:pPr>
              <w:rPr>
                <w:rFonts w:ascii="Arial" w:hAnsi="Arial" w:cs="Arial"/>
                <w:b/>
                <w:bCs/>
                <w:sz w:val="18"/>
                <w:szCs w:val="18"/>
              </w:rPr>
            </w:pPr>
            <w:r>
              <w:rPr>
                <w:rFonts w:ascii="Arial" w:hAnsi="Arial" w:cs="Arial"/>
                <w:b/>
                <w:bCs/>
                <w:sz w:val="18"/>
                <w:szCs w:val="18"/>
              </w:rPr>
              <w:t>Level 2 and Level 3 fair value measurements - valuation technique and the inputs used for assets and liabilities 2016</w:t>
            </w:r>
          </w:p>
        </w:tc>
      </w:tr>
      <w:tr w:rsidR="00A43992" w14:paraId="71DC3CD3" w14:textId="77777777" w:rsidTr="007211E3">
        <w:trPr>
          <w:trHeight w:val="525"/>
        </w:trPr>
        <w:tc>
          <w:tcPr>
            <w:tcW w:w="3436" w:type="dxa"/>
            <w:tcBorders>
              <w:top w:val="nil"/>
              <w:left w:val="nil"/>
              <w:bottom w:val="nil"/>
              <w:right w:val="nil"/>
            </w:tcBorders>
            <w:shd w:val="clear" w:color="FFFFFF" w:fill="FFFFFF"/>
            <w:noWrap/>
            <w:vAlign w:val="bottom"/>
            <w:hideMark/>
          </w:tcPr>
          <w:p w14:paraId="6692F9B7" w14:textId="77777777" w:rsidR="00A43992" w:rsidRDefault="00A43992" w:rsidP="007211E3">
            <w:pPr>
              <w:rPr>
                <w:rFonts w:ascii="Arial" w:hAnsi="Arial" w:cs="Arial"/>
                <w:sz w:val="18"/>
                <w:szCs w:val="18"/>
              </w:rPr>
            </w:pPr>
            <w:r>
              <w:rPr>
                <w:rFonts w:ascii="Arial" w:hAnsi="Arial" w:cs="Arial"/>
                <w:sz w:val="18"/>
                <w:szCs w:val="18"/>
              </w:rPr>
              <w:t> </w:t>
            </w:r>
          </w:p>
        </w:tc>
        <w:tc>
          <w:tcPr>
            <w:tcW w:w="3574" w:type="dxa"/>
            <w:gridSpan w:val="3"/>
            <w:tcBorders>
              <w:top w:val="single" w:sz="4" w:space="0" w:color="auto"/>
              <w:left w:val="nil"/>
              <w:bottom w:val="single" w:sz="4" w:space="0" w:color="auto"/>
              <w:right w:val="single" w:sz="4" w:space="0" w:color="000000"/>
            </w:tcBorders>
            <w:shd w:val="clear" w:color="FFFFFF" w:fill="FFFFFF"/>
            <w:vAlign w:val="bottom"/>
            <w:hideMark/>
          </w:tcPr>
          <w:p w14:paraId="2F82CA02" w14:textId="77777777" w:rsidR="00A43992" w:rsidRDefault="00A43992" w:rsidP="007211E3">
            <w:pPr>
              <w:jc w:val="center"/>
              <w:rPr>
                <w:rFonts w:ascii="Arial" w:hAnsi="Arial" w:cs="Arial"/>
                <w:b/>
                <w:bCs/>
                <w:sz w:val="18"/>
                <w:szCs w:val="18"/>
              </w:rPr>
            </w:pPr>
            <w:r>
              <w:rPr>
                <w:rFonts w:ascii="Arial" w:hAnsi="Arial" w:cs="Arial"/>
                <w:b/>
                <w:bCs/>
                <w:sz w:val="18"/>
                <w:szCs w:val="18"/>
              </w:rPr>
              <w:t>Fair value measurements at the end of the reporting period</w:t>
            </w:r>
          </w:p>
        </w:tc>
        <w:tc>
          <w:tcPr>
            <w:tcW w:w="4110" w:type="dxa"/>
            <w:gridSpan w:val="2"/>
            <w:tcBorders>
              <w:top w:val="single" w:sz="4" w:space="0" w:color="auto"/>
              <w:left w:val="nil"/>
              <w:bottom w:val="single" w:sz="4" w:space="0" w:color="auto"/>
              <w:right w:val="nil"/>
            </w:tcBorders>
            <w:shd w:val="clear" w:color="FFFFFF" w:fill="FFFFFF"/>
            <w:noWrap/>
            <w:vAlign w:val="center"/>
            <w:hideMark/>
          </w:tcPr>
          <w:p w14:paraId="478C711D" w14:textId="77777777" w:rsidR="00A43992" w:rsidRDefault="00A43992" w:rsidP="007211E3">
            <w:pPr>
              <w:jc w:val="center"/>
              <w:rPr>
                <w:rFonts w:ascii="Arial" w:hAnsi="Arial" w:cs="Arial"/>
                <w:b/>
                <w:bCs/>
                <w:sz w:val="18"/>
                <w:szCs w:val="18"/>
              </w:rPr>
            </w:pPr>
            <w:r>
              <w:rPr>
                <w:rFonts w:ascii="Arial" w:hAnsi="Arial" w:cs="Arial"/>
                <w:b/>
                <w:bCs/>
                <w:sz w:val="18"/>
                <w:szCs w:val="18"/>
              </w:rPr>
              <w:t>For level 2 and 3 fair value measurements</w:t>
            </w:r>
          </w:p>
        </w:tc>
      </w:tr>
      <w:tr w:rsidR="00A43992" w14:paraId="2EC452A8" w14:textId="77777777" w:rsidTr="007211E3">
        <w:trPr>
          <w:trHeight w:val="300"/>
        </w:trPr>
        <w:tc>
          <w:tcPr>
            <w:tcW w:w="3436" w:type="dxa"/>
            <w:tcBorders>
              <w:top w:val="nil"/>
              <w:left w:val="nil"/>
              <w:bottom w:val="nil"/>
              <w:right w:val="nil"/>
            </w:tcBorders>
            <w:shd w:val="clear" w:color="FFFFFF" w:fill="FFFFFF"/>
            <w:noWrap/>
            <w:vAlign w:val="bottom"/>
            <w:hideMark/>
          </w:tcPr>
          <w:p w14:paraId="29165BF2" w14:textId="77777777" w:rsidR="00A43992" w:rsidRDefault="00A43992" w:rsidP="007211E3">
            <w:pPr>
              <w:rPr>
                <w:rFonts w:ascii="Arial" w:hAnsi="Arial" w:cs="Arial"/>
                <w:sz w:val="18"/>
                <w:szCs w:val="18"/>
              </w:rPr>
            </w:pPr>
            <w:r>
              <w:rPr>
                <w:rFonts w:ascii="Arial" w:hAnsi="Arial" w:cs="Arial"/>
                <w:sz w:val="18"/>
                <w:szCs w:val="18"/>
              </w:rPr>
              <w:t> </w:t>
            </w:r>
          </w:p>
        </w:tc>
        <w:tc>
          <w:tcPr>
            <w:tcW w:w="1030" w:type="dxa"/>
            <w:tcBorders>
              <w:top w:val="nil"/>
              <w:left w:val="nil"/>
              <w:bottom w:val="nil"/>
              <w:right w:val="nil"/>
            </w:tcBorders>
            <w:shd w:val="clear" w:color="FFFFFF" w:fill="FFFFFF"/>
            <w:vAlign w:val="bottom"/>
            <w:hideMark/>
          </w:tcPr>
          <w:p w14:paraId="59D21EF7" w14:textId="77777777" w:rsidR="00A43992" w:rsidRDefault="00A43992" w:rsidP="007211E3">
            <w:pPr>
              <w:jc w:val="right"/>
              <w:rPr>
                <w:rFonts w:ascii="Arial" w:hAnsi="Arial" w:cs="Arial"/>
                <w:b/>
                <w:bCs/>
                <w:sz w:val="18"/>
                <w:szCs w:val="18"/>
              </w:rPr>
            </w:pPr>
            <w:r>
              <w:rPr>
                <w:rFonts w:ascii="Arial" w:hAnsi="Arial" w:cs="Arial"/>
                <w:b/>
                <w:bCs/>
                <w:sz w:val="18"/>
                <w:szCs w:val="18"/>
              </w:rPr>
              <w:t>2016</w:t>
            </w:r>
          </w:p>
        </w:tc>
        <w:tc>
          <w:tcPr>
            <w:tcW w:w="1028" w:type="dxa"/>
            <w:tcBorders>
              <w:top w:val="nil"/>
              <w:left w:val="nil"/>
              <w:bottom w:val="nil"/>
              <w:right w:val="nil"/>
            </w:tcBorders>
            <w:shd w:val="clear" w:color="FFFFFF" w:fill="FFFFFF"/>
            <w:vAlign w:val="bottom"/>
            <w:hideMark/>
          </w:tcPr>
          <w:p w14:paraId="6CFAD194" w14:textId="77777777" w:rsidR="00A43992" w:rsidRDefault="00A43992" w:rsidP="007211E3">
            <w:pPr>
              <w:jc w:val="right"/>
              <w:rPr>
                <w:rFonts w:ascii="Arial" w:hAnsi="Arial" w:cs="Arial"/>
                <w:sz w:val="18"/>
                <w:szCs w:val="18"/>
              </w:rPr>
            </w:pPr>
            <w:r>
              <w:rPr>
                <w:rFonts w:ascii="Arial" w:hAnsi="Arial" w:cs="Arial"/>
                <w:sz w:val="18"/>
                <w:szCs w:val="18"/>
              </w:rPr>
              <w:t>2015</w:t>
            </w:r>
          </w:p>
        </w:tc>
        <w:tc>
          <w:tcPr>
            <w:tcW w:w="1516" w:type="dxa"/>
            <w:vMerge w:val="restart"/>
            <w:tcBorders>
              <w:top w:val="nil"/>
              <w:left w:val="nil"/>
              <w:bottom w:val="single" w:sz="4" w:space="0" w:color="000000"/>
              <w:right w:val="single" w:sz="4" w:space="0" w:color="auto"/>
            </w:tcBorders>
            <w:shd w:val="clear" w:color="FFFFFF" w:fill="FFFFFF"/>
            <w:vAlign w:val="bottom"/>
            <w:hideMark/>
          </w:tcPr>
          <w:p w14:paraId="6D471186" w14:textId="77777777" w:rsidR="00A43992" w:rsidRDefault="00A43992" w:rsidP="007211E3">
            <w:pPr>
              <w:jc w:val="center"/>
              <w:rPr>
                <w:rFonts w:ascii="Arial" w:hAnsi="Arial" w:cs="Arial"/>
                <w:b/>
                <w:bCs/>
                <w:sz w:val="18"/>
                <w:szCs w:val="18"/>
              </w:rPr>
            </w:pPr>
            <w:r>
              <w:rPr>
                <w:rFonts w:ascii="Arial" w:hAnsi="Arial" w:cs="Arial"/>
                <w:b/>
                <w:bCs/>
                <w:sz w:val="18"/>
                <w:szCs w:val="18"/>
              </w:rPr>
              <w:t>Category (Level 1, 2 or 3)</w:t>
            </w:r>
          </w:p>
        </w:tc>
        <w:tc>
          <w:tcPr>
            <w:tcW w:w="2096" w:type="dxa"/>
            <w:vMerge w:val="restart"/>
            <w:tcBorders>
              <w:top w:val="nil"/>
              <w:left w:val="single" w:sz="4" w:space="0" w:color="auto"/>
              <w:bottom w:val="single" w:sz="4" w:space="0" w:color="000000"/>
              <w:right w:val="nil"/>
            </w:tcBorders>
            <w:shd w:val="clear" w:color="FFFFFF" w:fill="FFFFFF"/>
            <w:vAlign w:val="center"/>
            <w:hideMark/>
          </w:tcPr>
          <w:p w14:paraId="5A783E22" w14:textId="77777777" w:rsidR="00A43992" w:rsidRDefault="00A43992" w:rsidP="007211E3">
            <w:pPr>
              <w:jc w:val="center"/>
              <w:rPr>
                <w:rFonts w:ascii="Arial" w:hAnsi="Arial" w:cs="Arial"/>
                <w:b/>
                <w:bCs/>
                <w:sz w:val="18"/>
                <w:szCs w:val="18"/>
              </w:rPr>
            </w:pPr>
            <w:r>
              <w:rPr>
                <w:rFonts w:ascii="Arial" w:hAnsi="Arial" w:cs="Arial"/>
                <w:b/>
                <w:bCs/>
                <w:sz w:val="18"/>
                <w:szCs w:val="18"/>
              </w:rPr>
              <w:t>Valuation Technique</w:t>
            </w:r>
            <w:r>
              <w:rPr>
                <w:rFonts w:ascii="Arial" w:hAnsi="Arial" w:cs="Arial"/>
                <w:b/>
                <w:bCs/>
                <w:sz w:val="18"/>
                <w:szCs w:val="18"/>
                <w:vertAlign w:val="superscript"/>
              </w:rPr>
              <w:t>1</w:t>
            </w:r>
          </w:p>
        </w:tc>
        <w:tc>
          <w:tcPr>
            <w:tcW w:w="2014" w:type="dxa"/>
            <w:vMerge w:val="restart"/>
            <w:tcBorders>
              <w:top w:val="nil"/>
              <w:left w:val="nil"/>
              <w:bottom w:val="single" w:sz="4" w:space="0" w:color="000000"/>
              <w:right w:val="nil"/>
            </w:tcBorders>
            <w:shd w:val="clear" w:color="FFFFFF" w:fill="FFFFFF"/>
            <w:vAlign w:val="center"/>
            <w:hideMark/>
          </w:tcPr>
          <w:p w14:paraId="51F49350" w14:textId="77777777" w:rsidR="00A43992" w:rsidRDefault="00A43992" w:rsidP="007211E3">
            <w:pPr>
              <w:jc w:val="center"/>
              <w:rPr>
                <w:rFonts w:ascii="Arial" w:hAnsi="Arial" w:cs="Arial"/>
                <w:b/>
                <w:bCs/>
                <w:sz w:val="18"/>
                <w:szCs w:val="18"/>
              </w:rPr>
            </w:pPr>
            <w:r>
              <w:rPr>
                <w:rFonts w:ascii="Arial" w:hAnsi="Arial" w:cs="Arial"/>
                <w:b/>
                <w:bCs/>
                <w:sz w:val="18"/>
                <w:szCs w:val="18"/>
              </w:rPr>
              <w:t>Inputs used</w:t>
            </w:r>
          </w:p>
        </w:tc>
      </w:tr>
      <w:tr w:rsidR="00A43992" w14:paraId="5B2C6026" w14:textId="77777777" w:rsidTr="007211E3">
        <w:trPr>
          <w:trHeight w:val="255"/>
        </w:trPr>
        <w:tc>
          <w:tcPr>
            <w:tcW w:w="3436" w:type="dxa"/>
            <w:tcBorders>
              <w:top w:val="nil"/>
              <w:left w:val="nil"/>
              <w:bottom w:val="single" w:sz="4" w:space="0" w:color="auto"/>
              <w:right w:val="nil"/>
            </w:tcBorders>
            <w:shd w:val="clear" w:color="FFFFFF" w:fill="FFFFFF"/>
            <w:noWrap/>
            <w:vAlign w:val="bottom"/>
            <w:hideMark/>
          </w:tcPr>
          <w:p w14:paraId="3CA3D4C4" w14:textId="77777777" w:rsidR="00A43992" w:rsidRDefault="00A43992" w:rsidP="007211E3">
            <w:pPr>
              <w:rPr>
                <w:rFonts w:ascii="Arial" w:hAnsi="Arial" w:cs="Arial"/>
                <w:sz w:val="18"/>
                <w:szCs w:val="18"/>
              </w:rPr>
            </w:pPr>
            <w:r>
              <w:rPr>
                <w:rFonts w:ascii="Arial" w:hAnsi="Arial" w:cs="Arial"/>
                <w:sz w:val="18"/>
                <w:szCs w:val="18"/>
              </w:rPr>
              <w:t> </w:t>
            </w:r>
          </w:p>
        </w:tc>
        <w:tc>
          <w:tcPr>
            <w:tcW w:w="1030" w:type="dxa"/>
            <w:tcBorders>
              <w:top w:val="nil"/>
              <w:left w:val="nil"/>
              <w:bottom w:val="single" w:sz="4" w:space="0" w:color="auto"/>
              <w:right w:val="nil"/>
            </w:tcBorders>
            <w:shd w:val="clear" w:color="FFFFFF" w:fill="FFFFFF"/>
            <w:vAlign w:val="bottom"/>
            <w:hideMark/>
          </w:tcPr>
          <w:p w14:paraId="742645F5" w14:textId="77777777" w:rsidR="00A43992" w:rsidRDefault="00A43992" w:rsidP="007211E3">
            <w:pPr>
              <w:jc w:val="right"/>
              <w:rPr>
                <w:rFonts w:ascii="Arial" w:hAnsi="Arial" w:cs="Arial"/>
                <w:b/>
                <w:bCs/>
                <w:sz w:val="18"/>
                <w:szCs w:val="18"/>
              </w:rPr>
            </w:pPr>
            <w:r>
              <w:rPr>
                <w:rFonts w:ascii="Arial" w:hAnsi="Arial" w:cs="Arial"/>
                <w:b/>
                <w:bCs/>
                <w:sz w:val="18"/>
                <w:szCs w:val="18"/>
              </w:rPr>
              <w:t>$'000</w:t>
            </w:r>
          </w:p>
        </w:tc>
        <w:tc>
          <w:tcPr>
            <w:tcW w:w="1028" w:type="dxa"/>
            <w:tcBorders>
              <w:top w:val="nil"/>
              <w:left w:val="nil"/>
              <w:bottom w:val="single" w:sz="4" w:space="0" w:color="auto"/>
              <w:right w:val="nil"/>
            </w:tcBorders>
            <w:shd w:val="clear" w:color="FFFFFF" w:fill="FFFFFF"/>
            <w:vAlign w:val="bottom"/>
            <w:hideMark/>
          </w:tcPr>
          <w:p w14:paraId="7B56B146" w14:textId="77777777" w:rsidR="00A43992" w:rsidRDefault="00A43992" w:rsidP="007211E3">
            <w:pPr>
              <w:jc w:val="right"/>
              <w:rPr>
                <w:rFonts w:ascii="Arial" w:hAnsi="Arial" w:cs="Arial"/>
                <w:sz w:val="18"/>
                <w:szCs w:val="18"/>
              </w:rPr>
            </w:pPr>
            <w:r>
              <w:rPr>
                <w:rFonts w:ascii="Arial" w:hAnsi="Arial" w:cs="Arial"/>
                <w:sz w:val="18"/>
                <w:szCs w:val="18"/>
              </w:rPr>
              <w:t>$'000</w:t>
            </w:r>
          </w:p>
        </w:tc>
        <w:tc>
          <w:tcPr>
            <w:tcW w:w="1516" w:type="dxa"/>
            <w:vMerge/>
            <w:tcBorders>
              <w:top w:val="nil"/>
              <w:left w:val="nil"/>
              <w:bottom w:val="single" w:sz="4" w:space="0" w:color="000000"/>
              <w:right w:val="single" w:sz="4" w:space="0" w:color="auto"/>
            </w:tcBorders>
            <w:vAlign w:val="center"/>
            <w:hideMark/>
          </w:tcPr>
          <w:p w14:paraId="47DBD293" w14:textId="77777777" w:rsidR="00A43992" w:rsidRDefault="00A43992" w:rsidP="007211E3">
            <w:pPr>
              <w:rPr>
                <w:rFonts w:ascii="Arial" w:hAnsi="Arial" w:cs="Arial"/>
                <w:b/>
                <w:bCs/>
                <w:sz w:val="18"/>
                <w:szCs w:val="18"/>
              </w:rPr>
            </w:pPr>
          </w:p>
        </w:tc>
        <w:tc>
          <w:tcPr>
            <w:tcW w:w="2096" w:type="dxa"/>
            <w:vMerge/>
            <w:tcBorders>
              <w:top w:val="nil"/>
              <w:left w:val="single" w:sz="4" w:space="0" w:color="auto"/>
              <w:bottom w:val="single" w:sz="4" w:space="0" w:color="000000"/>
              <w:right w:val="nil"/>
            </w:tcBorders>
            <w:vAlign w:val="center"/>
            <w:hideMark/>
          </w:tcPr>
          <w:p w14:paraId="572A2CE4" w14:textId="77777777" w:rsidR="00A43992" w:rsidRDefault="00A43992" w:rsidP="007211E3">
            <w:pPr>
              <w:rPr>
                <w:rFonts w:ascii="Arial" w:hAnsi="Arial" w:cs="Arial"/>
                <w:b/>
                <w:bCs/>
                <w:sz w:val="18"/>
                <w:szCs w:val="18"/>
              </w:rPr>
            </w:pPr>
          </w:p>
        </w:tc>
        <w:tc>
          <w:tcPr>
            <w:tcW w:w="2014" w:type="dxa"/>
            <w:vMerge/>
            <w:tcBorders>
              <w:top w:val="nil"/>
              <w:left w:val="nil"/>
              <w:bottom w:val="single" w:sz="4" w:space="0" w:color="000000"/>
              <w:right w:val="nil"/>
            </w:tcBorders>
            <w:vAlign w:val="center"/>
            <w:hideMark/>
          </w:tcPr>
          <w:p w14:paraId="0808F85B" w14:textId="77777777" w:rsidR="00A43992" w:rsidRDefault="00A43992" w:rsidP="007211E3">
            <w:pPr>
              <w:rPr>
                <w:rFonts w:ascii="Arial" w:hAnsi="Arial" w:cs="Arial"/>
                <w:b/>
                <w:bCs/>
                <w:sz w:val="18"/>
                <w:szCs w:val="18"/>
              </w:rPr>
            </w:pPr>
          </w:p>
        </w:tc>
      </w:tr>
      <w:tr w:rsidR="00A43992" w14:paraId="746FD468" w14:textId="77777777" w:rsidTr="007211E3">
        <w:trPr>
          <w:trHeight w:val="255"/>
        </w:trPr>
        <w:tc>
          <w:tcPr>
            <w:tcW w:w="3436" w:type="dxa"/>
            <w:tcBorders>
              <w:top w:val="nil"/>
              <w:left w:val="nil"/>
              <w:bottom w:val="nil"/>
              <w:right w:val="nil"/>
            </w:tcBorders>
            <w:shd w:val="clear" w:color="FFFFFF" w:fill="FFFFFF"/>
            <w:noWrap/>
            <w:vAlign w:val="bottom"/>
            <w:hideMark/>
          </w:tcPr>
          <w:p w14:paraId="50716845" w14:textId="77777777" w:rsidR="00A43992" w:rsidRDefault="00A43992" w:rsidP="007211E3">
            <w:pPr>
              <w:rPr>
                <w:rFonts w:ascii="Arial" w:hAnsi="Arial" w:cs="Arial"/>
                <w:b/>
                <w:bCs/>
                <w:sz w:val="18"/>
                <w:szCs w:val="18"/>
              </w:rPr>
            </w:pPr>
            <w:r>
              <w:rPr>
                <w:rFonts w:ascii="Arial" w:hAnsi="Arial" w:cs="Arial"/>
                <w:b/>
                <w:bCs/>
                <w:sz w:val="18"/>
                <w:szCs w:val="18"/>
              </w:rPr>
              <w:t>Non-financial assets</w:t>
            </w:r>
          </w:p>
        </w:tc>
        <w:tc>
          <w:tcPr>
            <w:tcW w:w="1030" w:type="dxa"/>
            <w:tcBorders>
              <w:top w:val="nil"/>
              <w:left w:val="nil"/>
              <w:bottom w:val="nil"/>
              <w:right w:val="nil"/>
            </w:tcBorders>
            <w:shd w:val="clear" w:color="FFFFFF" w:fill="FFFFFF"/>
            <w:vAlign w:val="bottom"/>
            <w:hideMark/>
          </w:tcPr>
          <w:p w14:paraId="29BA106F" w14:textId="77777777" w:rsidR="00A43992" w:rsidRDefault="00A43992" w:rsidP="007211E3">
            <w:pPr>
              <w:jc w:val="right"/>
              <w:rPr>
                <w:rFonts w:ascii="Arial" w:hAnsi="Arial" w:cs="Arial"/>
                <w:b/>
                <w:bCs/>
                <w:sz w:val="18"/>
                <w:szCs w:val="18"/>
              </w:rPr>
            </w:pPr>
            <w:r>
              <w:rPr>
                <w:rFonts w:ascii="Arial" w:hAnsi="Arial" w:cs="Arial"/>
                <w:b/>
                <w:bCs/>
                <w:sz w:val="18"/>
                <w:szCs w:val="18"/>
              </w:rPr>
              <w:t> </w:t>
            </w:r>
          </w:p>
        </w:tc>
        <w:tc>
          <w:tcPr>
            <w:tcW w:w="1028" w:type="dxa"/>
            <w:tcBorders>
              <w:top w:val="nil"/>
              <w:left w:val="nil"/>
              <w:bottom w:val="nil"/>
              <w:right w:val="nil"/>
            </w:tcBorders>
            <w:shd w:val="clear" w:color="FFFFFF" w:fill="FFFFFF"/>
            <w:vAlign w:val="bottom"/>
            <w:hideMark/>
          </w:tcPr>
          <w:p w14:paraId="62154558" w14:textId="77777777" w:rsidR="00A43992" w:rsidRDefault="00A43992" w:rsidP="007211E3">
            <w:pPr>
              <w:jc w:val="right"/>
              <w:rPr>
                <w:rFonts w:ascii="Arial" w:hAnsi="Arial" w:cs="Arial"/>
                <w:sz w:val="18"/>
                <w:szCs w:val="18"/>
              </w:rPr>
            </w:pPr>
            <w:r>
              <w:rPr>
                <w:rFonts w:ascii="Arial" w:hAnsi="Arial" w:cs="Arial"/>
                <w:sz w:val="18"/>
                <w:szCs w:val="18"/>
              </w:rPr>
              <w:t> </w:t>
            </w:r>
          </w:p>
        </w:tc>
        <w:tc>
          <w:tcPr>
            <w:tcW w:w="1516" w:type="dxa"/>
            <w:tcBorders>
              <w:top w:val="nil"/>
              <w:left w:val="nil"/>
              <w:bottom w:val="nil"/>
              <w:right w:val="nil"/>
            </w:tcBorders>
            <w:shd w:val="clear" w:color="FFFFFF" w:fill="FFFFFF"/>
            <w:noWrap/>
            <w:vAlign w:val="bottom"/>
            <w:hideMark/>
          </w:tcPr>
          <w:p w14:paraId="651224B2" w14:textId="77777777" w:rsidR="00A43992" w:rsidRDefault="00A43992" w:rsidP="007211E3">
            <w:pPr>
              <w:rPr>
                <w:rFonts w:ascii="Arial" w:hAnsi="Arial" w:cs="Arial"/>
                <w:sz w:val="18"/>
                <w:szCs w:val="18"/>
              </w:rPr>
            </w:pPr>
            <w:r>
              <w:rPr>
                <w:rFonts w:ascii="Arial" w:hAnsi="Arial" w:cs="Arial"/>
                <w:sz w:val="18"/>
                <w:szCs w:val="18"/>
              </w:rPr>
              <w:t> </w:t>
            </w:r>
          </w:p>
        </w:tc>
        <w:tc>
          <w:tcPr>
            <w:tcW w:w="2096" w:type="dxa"/>
            <w:tcBorders>
              <w:top w:val="nil"/>
              <w:left w:val="nil"/>
              <w:bottom w:val="nil"/>
              <w:right w:val="nil"/>
            </w:tcBorders>
            <w:shd w:val="clear" w:color="FFFFFF" w:fill="FFFFFF"/>
            <w:noWrap/>
            <w:vAlign w:val="bottom"/>
            <w:hideMark/>
          </w:tcPr>
          <w:p w14:paraId="0416B7CE" w14:textId="77777777" w:rsidR="00A43992" w:rsidRDefault="00A43992" w:rsidP="007211E3">
            <w:pPr>
              <w:rPr>
                <w:rFonts w:ascii="Arial" w:hAnsi="Arial" w:cs="Arial"/>
                <w:sz w:val="18"/>
                <w:szCs w:val="18"/>
              </w:rPr>
            </w:pPr>
            <w:r>
              <w:rPr>
                <w:rFonts w:ascii="Arial" w:hAnsi="Arial" w:cs="Arial"/>
                <w:sz w:val="18"/>
                <w:szCs w:val="18"/>
              </w:rPr>
              <w:t> </w:t>
            </w:r>
          </w:p>
        </w:tc>
        <w:tc>
          <w:tcPr>
            <w:tcW w:w="2014" w:type="dxa"/>
            <w:tcBorders>
              <w:top w:val="nil"/>
              <w:left w:val="nil"/>
              <w:bottom w:val="nil"/>
              <w:right w:val="nil"/>
            </w:tcBorders>
            <w:shd w:val="clear" w:color="FFFFFF" w:fill="FFFFFF"/>
            <w:vAlign w:val="bottom"/>
            <w:hideMark/>
          </w:tcPr>
          <w:p w14:paraId="769605F7" w14:textId="77777777" w:rsidR="00A43992" w:rsidRDefault="00A43992" w:rsidP="007211E3">
            <w:pPr>
              <w:jc w:val="right"/>
              <w:rPr>
                <w:rFonts w:ascii="Arial" w:hAnsi="Arial" w:cs="Arial"/>
                <w:sz w:val="18"/>
                <w:szCs w:val="18"/>
              </w:rPr>
            </w:pPr>
            <w:r>
              <w:rPr>
                <w:rFonts w:ascii="Arial" w:hAnsi="Arial" w:cs="Arial"/>
                <w:sz w:val="18"/>
                <w:szCs w:val="18"/>
              </w:rPr>
              <w:t> </w:t>
            </w:r>
          </w:p>
        </w:tc>
      </w:tr>
      <w:tr w:rsidR="00A43992" w14:paraId="5BE9BD59" w14:textId="77777777" w:rsidTr="007211E3">
        <w:trPr>
          <w:trHeight w:val="480"/>
        </w:trPr>
        <w:tc>
          <w:tcPr>
            <w:tcW w:w="3436" w:type="dxa"/>
            <w:tcBorders>
              <w:top w:val="nil"/>
              <w:left w:val="nil"/>
              <w:bottom w:val="nil"/>
              <w:right w:val="nil"/>
            </w:tcBorders>
            <w:shd w:val="clear" w:color="FFFFFF" w:fill="FFFFFF"/>
            <w:noWrap/>
            <w:vAlign w:val="bottom"/>
            <w:hideMark/>
          </w:tcPr>
          <w:p w14:paraId="01348768" w14:textId="77777777" w:rsidR="00A43992" w:rsidRDefault="00A43992" w:rsidP="007211E3">
            <w:pPr>
              <w:ind w:firstLineChars="100" w:firstLine="180"/>
              <w:rPr>
                <w:rFonts w:ascii="Arial" w:hAnsi="Arial" w:cs="Arial"/>
                <w:sz w:val="18"/>
                <w:szCs w:val="18"/>
              </w:rPr>
            </w:pPr>
            <w:r>
              <w:rPr>
                <w:rFonts w:ascii="Arial" w:hAnsi="Arial" w:cs="Arial"/>
                <w:sz w:val="18"/>
                <w:szCs w:val="18"/>
              </w:rPr>
              <w:t>Buildings (leasehold improvements)</w:t>
            </w:r>
          </w:p>
        </w:tc>
        <w:tc>
          <w:tcPr>
            <w:tcW w:w="1030" w:type="dxa"/>
            <w:tcBorders>
              <w:top w:val="nil"/>
              <w:left w:val="nil"/>
              <w:bottom w:val="nil"/>
              <w:right w:val="nil"/>
            </w:tcBorders>
            <w:shd w:val="clear" w:color="FFFFFF" w:fill="FFFFFF"/>
            <w:noWrap/>
            <w:vAlign w:val="bottom"/>
            <w:hideMark/>
          </w:tcPr>
          <w:p w14:paraId="573B4A5E" w14:textId="77777777" w:rsidR="00A43992" w:rsidRDefault="00A43992" w:rsidP="007211E3">
            <w:pPr>
              <w:jc w:val="right"/>
              <w:rPr>
                <w:rFonts w:ascii="Arial" w:hAnsi="Arial" w:cs="Arial"/>
                <w:b/>
                <w:bCs/>
                <w:sz w:val="18"/>
                <w:szCs w:val="18"/>
              </w:rPr>
            </w:pPr>
            <w:r>
              <w:rPr>
                <w:rFonts w:ascii="Arial" w:hAnsi="Arial" w:cs="Arial"/>
                <w:b/>
                <w:bCs/>
                <w:sz w:val="18"/>
                <w:szCs w:val="18"/>
              </w:rPr>
              <w:t>24,301</w:t>
            </w:r>
          </w:p>
        </w:tc>
        <w:tc>
          <w:tcPr>
            <w:tcW w:w="1028" w:type="dxa"/>
            <w:tcBorders>
              <w:top w:val="nil"/>
              <w:left w:val="nil"/>
              <w:bottom w:val="nil"/>
              <w:right w:val="nil"/>
            </w:tcBorders>
            <w:shd w:val="clear" w:color="FFFFFF" w:fill="FFFFFF"/>
            <w:noWrap/>
            <w:vAlign w:val="bottom"/>
            <w:hideMark/>
          </w:tcPr>
          <w:p w14:paraId="18A0CAB9" w14:textId="77777777" w:rsidR="00A43992" w:rsidRDefault="00A43992" w:rsidP="007211E3">
            <w:pPr>
              <w:jc w:val="right"/>
              <w:rPr>
                <w:rFonts w:ascii="Arial" w:hAnsi="Arial" w:cs="Arial"/>
                <w:sz w:val="18"/>
                <w:szCs w:val="18"/>
              </w:rPr>
            </w:pPr>
            <w:r>
              <w:rPr>
                <w:rFonts w:ascii="Arial" w:hAnsi="Arial" w:cs="Arial"/>
                <w:sz w:val="18"/>
                <w:szCs w:val="18"/>
              </w:rPr>
              <w:t>26,463</w:t>
            </w:r>
          </w:p>
        </w:tc>
        <w:tc>
          <w:tcPr>
            <w:tcW w:w="1516" w:type="dxa"/>
            <w:tcBorders>
              <w:top w:val="nil"/>
              <w:left w:val="nil"/>
              <w:bottom w:val="nil"/>
              <w:right w:val="nil"/>
            </w:tcBorders>
            <w:shd w:val="clear" w:color="FFFFFF" w:fill="FFFFFF"/>
            <w:noWrap/>
            <w:vAlign w:val="bottom"/>
            <w:hideMark/>
          </w:tcPr>
          <w:p w14:paraId="6B8DE097" w14:textId="77777777" w:rsidR="00A43992" w:rsidRDefault="00A43992" w:rsidP="007211E3">
            <w:pPr>
              <w:jc w:val="center"/>
              <w:rPr>
                <w:rFonts w:ascii="Arial" w:hAnsi="Arial" w:cs="Arial"/>
                <w:sz w:val="18"/>
                <w:szCs w:val="18"/>
              </w:rPr>
            </w:pPr>
            <w:r>
              <w:rPr>
                <w:rFonts w:ascii="Arial" w:hAnsi="Arial" w:cs="Arial"/>
                <w:sz w:val="18"/>
                <w:szCs w:val="18"/>
              </w:rPr>
              <w:t>3</w:t>
            </w:r>
          </w:p>
        </w:tc>
        <w:tc>
          <w:tcPr>
            <w:tcW w:w="2096" w:type="dxa"/>
            <w:vMerge w:val="restart"/>
            <w:tcBorders>
              <w:top w:val="nil"/>
              <w:left w:val="nil"/>
              <w:bottom w:val="single" w:sz="4" w:space="0" w:color="000000"/>
              <w:right w:val="nil"/>
            </w:tcBorders>
            <w:shd w:val="clear" w:color="FFFFFF" w:fill="FFFFFF"/>
            <w:vAlign w:val="center"/>
            <w:hideMark/>
          </w:tcPr>
          <w:p w14:paraId="3CEDE256" w14:textId="77777777" w:rsidR="00A43992" w:rsidRDefault="00A43992" w:rsidP="007211E3">
            <w:pPr>
              <w:jc w:val="center"/>
              <w:rPr>
                <w:rFonts w:ascii="Arial" w:hAnsi="Arial" w:cs="Arial"/>
                <w:sz w:val="18"/>
                <w:szCs w:val="18"/>
              </w:rPr>
            </w:pPr>
            <w:r>
              <w:rPr>
                <w:rFonts w:ascii="Arial" w:hAnsi="Arial" w:cs="Arial"/>
                <w:sz w:val="18"/>
                <w:szCs w:val="18"/>
              </w:rPr>
              <w:t>Depreciated replacement cost</w:t>
            </w:r>
          </w:p>
        </w:tc>
        <w:tc>
          <w:tcPr>
            <w:tcW w:w="2014" w:type="dxa"/>
            <w:vMerge w:val="restart"/>
            <w:tcBorders>
              <w:top w:val="nil"/>
              <w:left w:val="nil"/>
              <w:bottom w:val="single" w:sz="4" w:space="0" w:color="000000"/>
              <w:right w:val="nil"/>
            </w:tcBorders>
            <w:shd w:val="clear" w:color="FFFFFF" w:fill="FFFFFF"/>
            <w:vAlign w:val="center"/>
            <w:hideMark/>
          </w:tcPr>
          <w:p w14:paraId="0D10E339" w14:textId="77777777" w:rsidR="00A43992" w:rsidRDefault="00A43992" w:rsidP="007211E3">
            <w:pPr>
              <w:jc w:val="center"/>
              <w:rPr>
                <w:rFonts w:ascii="Arial" w:hAnsi="Arial" w:cs="Arial"/>
                <w:sz w:val="18"/>
                <w:szCs w:val="18"/>
              </w:rPr>
            </w:pPr>
            <w:r>
              <w:rPr>
                <w:rFonts w:ascii="Arial" w:hAnsi="Arial" w:cs="Arial"/>
                <w:sz w:val="18"/>
                <w:szCs w:val="18"/>
              </w:rPr>
              <w:t>Cost prices, depreciation rates</w:t>
            </w:r>
          </w:p>
        </w:tc>
      </w:tr>
      <w:tr w:rsidR="00A43992" w14:paraId="17322C08" w14:textId="77777777" w:rsidTr="007211E3">
        <w:trPr>
          <w:trHeight w:val="480"/>
        </w:trPr>
        <w:tc>
          <w:tcPr>
            <w:tcW w:w="3436" w:type="dxa"/>
            <w:tcBorders>
              <w:top w:val="nil"/>
              <w:left w:val="nil"/>
              <w:bottom w:val="nil"/>
              <w:right w:val="nil"/>
            </w:tcBorders>
            <w:shd w:val="clear" w:color="FFFFFF" w:fill="FFFFFF"/>
            <w:noWrap/>
            <w:vAlign w:val="bottom"/>
            <w:hideMark/>
          </w:tcPr>
          <w:p w14:paraId="3111EFA7" w14:textId="77777777" w:rsidR="00A43992" w:rsidRDefault="00A43992" w:rsidP="007211E3">
            <w:pPr>
              <w:ind w:firstLineChars="100" w:firstLine="180"/>
              <w:rPr>
                <w:rFonts w:ascii="Arial" w:hAnsi="Arial" w:cs="Arial"/>
                <w:sz w:val="18"/>
                <w:szCs w:val="18"/>
              </w:rPr>
            </w:pPr>
            <w:r>
              <w:rPr>
                <w:rFonts w:ascii="Arial" w:hAnsi="Arial" w:cs="Arial"/>
                <w:sz w:val="18"/>
                <w:szCs w:val="18"/>
              </w:rPr>
              <w:t>Property, plant and equipment</w:t>
            </w:r>
          </w:p>
        </w:tc>
        <w:tc>
          <w:tcPr>
            <w:tcW w:w="1030" w:type="dxa"/>
            <w:tcBorders>
              <w:top w:val="nil"/>
              <w:left w:val="nil"/>
              <w:bottom w:val="nil"/>
              <w:right w:val="nil"/>
            </w:tcBorders>
            <w:shd w:val="clear" w:color="FFFFFF" w:fill="FFFFFF"/>
            <w:noWrap/>
            <w:vAlign w:val="bottom"/>
            <w:hideMark/>
          </w:tcPr>
          <w:p w14:paraId="182397DC" w14:textId="77777777" w:rsidR="00A43992" w:rsidRDefault="00A43992" w:rsidP="007211E3">
            <w:pPr>
              <w:jc w:val="right"/>
              <w:rPr>
                <w:rFonts w:ascii="Arial" w:hAnsi="Arial" w:cs="Arial"/>
                <w:b/>
                <w:bCs/>
                <w:sz w:val="18"/>
                <w:szCs w:val="18"/>
              </w:rPr>
            </w:pPr>
            <w:r>
              <w:rPr>
                <w:rFonts w:ascii="Arial" w:hAnsi="Arial" w:cs="Arial"/>
                <w:b/>
                <w:bCs/>
                <w:sz w:val="18"/>
                <w:szCs w:val="18"/>
              </w:rPr>
              <w:t>1,012</w:t>
            </w:r>
          </w:p>
        </w:tc>
        <w:tc>
          <w:tcPr>
            <w:tcW w:w="1028" w:type="dxa"/>
            <w:tcBorders>
              <w:top w:val="nil"/>
              <w:left w:val="nil"/>
              <w:bottom w:val="nil"/>
              <w:right w:val="nil"/>
            </w:tcBorders>
            <w:shd w:val="clear" w:color="FFFFFF" w:fill="FFFFFF"/>
            <w:noWrap/>
            <w:vAlign w:val="bottom"/>
            <w:hideMark/>
          </w:tcPr>
          <w:p w14:paraId="2885A39F" w14:textId="77777777" w:rsidR="00A43992" w:rsidRDefault="00A43992" w:rsidP="007211E3">
            <w:pPr>
              <w:jc w:val="right"/>
              <w:rPr>
                <w:rFonts w:ascii="Arial" w:hAnsi="Arial" w:cs="Arial"/>
                <w:sz w:val="18"/>
                <w:szCs w:val="18"/>
              </w:rPr>
            </w:pPr>
            <w:r>
              <w:rPr>
                <w:rFonts w:ascii="Arial" w:hAnsi="Arial" w:cs="Arial"/>
                <w:sz w:val="18"/>
                <w:szCs w:val="18"/>
              </w:rPr>
              <w:t>1,456</w:t>
            </w:r>
          </w:p>
        </w:tc>
        <w:tc>
          <w:tcPr>
            <w:tcW w:w="1516" w:type="dxa"/>
            <w:tcBorders>
              <w:top w:val="nil"/>
              <w:left w:val="nil"/>
              <w:bottom w:val="nil"/>
              <w:right w:val="nil"/>
            </w:tcBorders>
            <w:shd w:val="clear" w:color="FFFFFF" w:fill="FFFFFF"/>
            <w:noWrap/>
            <w:vAlign w:val="bottom"/>
            <w:hideMark/>
          </w:tcPr>
          <w:p w14:paraId="29E2D64B" w14:textId="77777777" w:rsidR="00A43992" w:rsidRDefault="00A43992" w:rsidP="007211E3">
            <w:pPr>
              <w:jc w:val="center"/>
              <w:rPr>
                <w:rFonts w:ascii="Arial" w:hAnsi="Arial" w:cs="Arial"/>
                <w:sz w:val="18"/>
                <w:szCs w:val="18"/>
              </w:rPr>
            </w:pPr>
            <w:r>
              <w:rPr>
                <w:rFonts w:ascii="Arial" w:hAnsi="Arial" w:cs="Arial"/>
                <w:sz w:val="18"/>
                <w:szCs w:val="18"/>
              </w:rPr>
              <w:t>3</w:t>
            </w:r>
          </w:p>
        </w:tc>
        <w:tc>
          <w:tcPr>
            <w:tcW w:w="2096" w:type="dxa"/>
            <w:vMerge/>
            <w:tcBorders>
              <w:top w:val="nil"/>
              <w:left w:val="nil"/>
              <w:bottom w:val="single" w:sz="4" w:space="0" w:color="000000"/>
              <w:right w:val="nil"/>
            </w:tcBorders>
            <w:vAlign w:val="center"/>
            <w:hideMark/>
          </w:tcPr>
          <w:p w14:paraId="7E43B251" w14:textId="77777777" w:rsidR="00A43992" w:rsidRDefault="00A43992" w:rsidP="007211E3">
            <w:pPr>
              <w:rPr>
                <w:rFonts w:ascii="Arial" w:hAnsi="Arial" w:cs="Arial"/>
                <w:sz w:val="18"/>
                <w:szCs w:val="18"/>
              </w:rPr>
            </w:pPr>
          </w:p>
        </w:tc>
        <w:tc>
          <w:tcPr>
            <w:tcW w:w="2014" w:type="dxa"/>
            <w:vMerge/>
            <w:tcBorders>
              <w:top w:val="nil"/>
              <w:left w:val="nil"/>
              <w:bottom w:val="single" w:sz="4" w:space="0" w:color="000000"/>
              <w:right w:val="nil"/>
            </w:tcBorders>
            <w:vAlign w:val="center"/>
            <w:hideMark/>
          </w:tcPr>
          <w:p w14:paraId="061CBAAD" w14:textId="77777777" w:rsidR="00A43992" w:rsidRDefault="00A43992" w:rsidP="007211E3">
            <w:pPr>
              <w:rPr>
                <w:rFonts w:ascii="Arial" w:hAnsi="Arial" w:cs="Arial"/>
                <w:sz w:val="18"/>
                <w:szCs w:val="18"/>
              </w:rPr>
            </w:pPr>
          </w:p>
        </w:tc>
      </w:tr>
      <w:tr w:rsidR="00A43992" w14:paraId="1892050C" w14:textId="77777777" w:rsidTr="007211E3">
        <w:trPr>
          <w:trHeight w:val="255"/>
        </w:trPr>
        <w:tc>
          <w:tcPr>
            <w:tcW w:w="3436" w:type="dxa"/>
            <w:tcBorders>
              <w:top w:val="nil"/>
              <w:left w:val="nil"/>
              <w:bottom w:val="nil"/>
              <w:right w:val="nil"/>
            </w:tcBorders>
            <w:shd w:val="clear" w:color="FFFFFF" w:fill="FFFFFF"/>
            <w:noWrap/>
            <w:vAlign w:val="bottom"/>
            <w:hideMark/>
          </w:tcPr>
          <w:p w14:paraId="7ACFF6AF" w14:textId="77777777" w:rsidR="00A43992" w:rsidRDefault="00A43992" w:rsidP="007211E3">
            <w:pPr>
              <w:rPr>
                <w:rFonts w:ascii="Arial" w:hAnsi="Arial" w:cs="Arial"/>
                <w:b/>
                <w:bCs/>
                <w:sz w:val="18"/>
                <w:szCs w:val="18"/>
              </w:rPr>
            </w:pPr>
            <w:r>
              <w:rPr>
                <w:rFonts w:ascii="Arial" w:hAnsi="Arial" w:cs="Arial"/>
                <w:b/>
                <w:bCs/>
                <w:sz w:val="18"/>
                <w:szCs w:val="18"/>
              </w:rPr>
              <w:t>Total non-financial assets</w:t>
            </w:r>
          </w:p>
        </w:tc>
        <w:tc>
          <w:tcPr>
            <w:tcW w:w="1030" w:type="dxa"/>
            <w:tcBorders>
              <w:top w:val="single" w:sz="4" w:space="0" w:color="auto"/>
              <w:left w:val="nil"/>
              <w:bottom w:val="single" w:sz="4" w:space="0" w:color="auto"/>
              <w:right w:val="nil"/>
            </w:tcBorders>
            <w:shd w:val="clear" w:color="FFFFFF" w:fill="FFFFFF"/>
            <w:noWrap/>
            <w:vAlign w:val="bottom"/>
            <w:hideMark/>
          </w:tcPr>
          <w:p w14:paraId="1737983B" w14:textId="77777777" w:rsidR="00A43992" w:rsidRDefault="00A43992" w:rsidP="007211E3">
            <w:pPr>
              <w:jc w:val="right"/>
              <w:rPr>
                <w:rFonts w:ascii="Arial" w:hAnsi="Arial" w:cs="Arial"/>
                <w:b/>
                <w:bCs/>
                <w:sz w:val="18"/>
                <w:szCs w:val="18"/>
              </w:rPr>
            </w:pPr>
            <w:r>
              <w:rPr>
                <w:rFonts w:ascii="Arial" w:hAnsi="Arial" w:cs="Arial"/>
                <w:b/>
                <w:bCs/>
                <w:sz w:val="18"/>
                <w:szCs w:val="18"/>
              </w:rPr>
              <w:t>25,313</w:t>
            </w:r>
          </w:p>
        </w:tc>
        <w:tc>
          <w:tcPr>
            <w:tcW w:w="1028" w:type="dxa"/>
            <w:tcBorders>
              <w:top w:val="single" w:sz="4" w:space="0" w:color="auto"/>
              <w:left w:val="nil"/>
              <w:bottom w:val="single" w:sz="4" w:space="0" w:color="auto"/>
              <w:right w:val="nil"/>
            </w:tcBorders>
            <w:shd w:val="clear" w:color="FFFFFF" w:fill="FFFFFF"/>
            <w:noWrap/>
            <w:vAlign w:val="bottom"/>
            <w:hideMark/>
          </w:tcPr>
          <w:p w14:paraId="4AD7BE43" w14:textId="77777777" w:rsidR="00A43992" w:rsidRDefault="00A43992" w:rsidP="007211E3">
            <w:pPr>
              <w:jc w:val="right"/>
              <w:rPr>
                <w:rFonts w:ascii="Arial" w:hAnsi="Arial" w:cs="Arial"/>
                <w:sz w:val="18"/>
                <w:szCs w:val="18"/>
              </w:rPr>
            </w:pPr>
            <w:r>
              <w:rPr>
                <w:rFonts w:ascii="Arial" w:hAnsi="Arial" w:cs="Arial"/>
                <w:sz w:val="18"/>
                <w:szCs w:val="18"/>
              </w:rPr>
              <w:t>27,919</w:t>
            </w:r>
          </w:p>
        </w:tc>
        <w:tc>
          <w:tcPr>
            <w:tcW w:w="1516" w:type="dxa"/>
            <w:tcBorders>
              <w:top w:val="single" w:sz="4" w:space="0" w:color="auto"/>
              <w:left w:val="nil"/>
              <w:bottom w:val="nil"/>
              <w:right w:val="nil"/>
            </w:tcBorders>
            <w:shd w:val="clear" w:color="FFFFFF" w:fill="FFFFFF"/>
            <w:noWrap/>
            <w:vAlign w:val="bottom"/>
            <w:hideMark/>
          </w:tcPr>
          <w:p w14:paraId="51AAFE55" w14:textId="77777777" w:rsidR="00A43992" w:rsidRDefault="00A43992" w:rsidP="007211E3">
            <w:pPr>
              <w:jc w:val="right"/>
              <w:rPr>
                <w:rFonts w:ascii="Arial" w:hAnsi="Arial" w:cs="Arial"/>
                <w:sz w:val="18"/>
                <w:szCs w:val="18"/>
              </w:rPr>
            </w:pPr>
            <w:r>
              <w:rPr>
                <w:rFonts w:ascii="Arial" w:hAnsi="Arial" w:cs="Arial"/>
                <w:sz w:val="18"/>
                <w:szCs w:val="18"/>
              </w:rPr>
              <w:t> </w:t>
            </w:r>
          </w:p>
        </w:tc>
        <w:tc>
          <w:tcPr>
            <w:tcW w:w="2096" w:type="dxa"/>
            <w:tcBorders>
              <w:top w:val="nil"/>
              <w:left w:val="nil"/>
              <w:bottom w:val="nil"/>
              <w:right w:val="nil"/>
            </w:tcBorders>
            <w:shd w:val="clear" w:color="FFFFFF" w:fill="FFFFFF"/>
            <w:noWrap/>
            <w:vAlign w:val="bottom"/>
            <w:hideMark/>
          </w:tcPr>
          <w:p w14:paraId="27EBF599" w14:textId="77777777" w:rsidR="00A43992" w:rsidRDefault="00A43992" w:rsidP="007211E3">
            <w:pPr>
              <w:jc w:val="right"/>
              <w:rPr>
                <w:rFonts w:ascii="Arial" w:hAnsi="Arial" w:cs="Arial"/>
                <w:sz w:val="18"/>
                <w:szCs w:val="18"/>
              </w:rPr>
            </w:pPr>
            <w:r>
              <w:rPr>
                <w:rFonts w:ascii="Arial" w:hAnsi="Arial" w:cs="Arial"/>
                <w:sz w:val="18"/>
                <w:szCs w:val="18"/>
              </w:rPr>
              <w:t> </w:t>
            </w:r>
          </w:p>
        </w:tc>
        <w:tc>
          <w:tcPr>
            <w:tcW w:w="2014" w:type="dxa"/>
            <w:tcBorders>
              <w:top w:val="nil"/>
              <w:left w:val="nil"/>
              <w:bottom w:val="nil"/>
              <w:right w:val="nil"/>
            </w:tcBorders>
            <w:shd w:val="clear" w:color="FFFFFF" w:fill="FFFFFF"/>
            <w:noWrap/>
            <w:vAlign w:val="bottom"/>
            <w:hideMark/>
          </w:tcPr>
          <w:p w14:paraId="2239A595" w14:textId="77777777" w:rsidR="00A43992" w:rsidRDefault="00A43992" w:rsidP="007211E3">
            <w:pPr>
              <w:jc w:val="right"/>
              <w:rPr>
                <w:rFonts w:ascii="Arial" w:hAnsi="Arial" w:cs="Arial"/>
                <w:sz w:val="18"/>
                <w:szCs w:val="18"/>
              </w:rPr>
            </w:pPr>
            <w:r>
              <w:rPr>
                <w:rFonts w:ascii="Arial" w:hAnsi="Arial" w:cs="Arial"/>
                <w:sz w:val="18"/>
                <w:szCs w:val="18"/>
              </w:rPr>
              <w:t> </w:t>
            </w:r>
          </w:p>
        </w:tc>
      </w:tr>
    </w:tbl>
    <w:p w14:paraId="34D84E83" w14:textId="77777777" w:rsidR="00A43992" w:rsidRPr="00C42BD6" w:rsidRDefault="00A43992" w:rsidP="00A43992">
      <w:pPr>
        <w:rPr>
          <w:rFonts w:ascii="Arial" w:hAnsi="Arial" w:cs="Arial"/>
          <w:b/>
          <w:sz w:val="18"/>
          <w:szCs w:val="18"/>
          <w:lang w:eastAsia="en-AU"/>
        </w:rPr>
      </w:pPr>
      <w:bookmarkStart w:id="549" w:name="RANGE!D7:K20"/>
      <w:bookmarkEnd w:id="549"/>
    </w:p>
    <w:p w14:paraId="6948D76C" w14:textId="77777777" w:rsidR="00A43992" w:rsidRDefault="00A43992" w:rsidP="00A43992">
      <w:pPr>
        <w:rPr>
          <w:rFonts w:ascii="Arial" w:hAnsi="Arial" w:cs="Arial"/>
          <w:sz w:val="18"/>
          <w:szCs w:val="18"/>
          <w:lang w:eastAsia="en-AU"/>
        </w:rPr>
      </w:pPr>
    </w:p>
    <w:p w14:paraId="2A7D304A" w14:textId="77777777" w:rsidR="00A43992" w:rsidRPr="00E13991" w:rsidRDefault="00A43992" w:rsidP="00A43992">
      <w:pPr>
        <w:pStyle w:val="PolicyheadingDept"/>
        <w:outlineLvl w:val="0"/>
        <w:rPr>
          <w:rFonts w:eastAsiaTheme="minorEastAsia"/>
          <w:sz w:val="24"/>
          <w:szCs w:val="24"/>
          <w:lang w:eastAsia="en-AU"/>
        </w:rPr>
      </w:pPr>
      <w:r w:rsidRPr="00E13991">
        <w:rPr>
          <w:rFonts w:eastAsiaTheme="minorEastAsia"/>
          <w:lang w:eastAsia="en-AU"/>
        </w:rPr>
        <w:lastRenderedPageBreak/>
        <w:t>Accounting Policy</w:t>
      </w:r>
    </w:p>
    <w:p w14:paraId="1FB2497F" w14:textId="77777777" w:rsidR="00A43992" w:rsidRDefault="00A43992" w:rsidP="00A43992">
      <w:pPr>
        <w:pStyle w:val="PolicytextDept"/>
        <w:rPr>
          <w:lang w:eastAsia="en-AU"/>
        </w:rPr>
      </w:pPr>
      <w:r w:rsidRPr="00E13991">
        <w:rPr>
          <w:lang w:eastAsia="en-AU"/>
        </w:rPr>
        <w:t xml:space="preserve">The Agency deems transfers between levels of the fair value hierarchy to have occurred at the end of the reporting period. </w:t>
      </w:r>
    </w:p>
    <w:p w14:paraId="15BA52F9" w14:textId="77777777" w:rsidR="00A43992" w:rsidRPr="00A43A22" w:rsidRDefault="00A43992" w:rsidP="00A43992">
      <w:pPr>
        <w:pStyle w:val="PolicytextDept"/>
        <w:outlineLvl w:val="0"/>
        <w:rPr>
          <w:b/>
          <w:lang w:eastAsia="en-AU"/>
        </w:rPr>
      </w:pPr>
      <w:r w:rsidRPr="00A43A22">
        <w:rPr>
          <w:b/>
          <w:lang w:eastAsia="en-AU"/>
        </w:rPr>
        <w:t>Key jud</w:t>
      </w:r>
      <w:r w:rsidRPr="00F36D6B">
        <w:rPr>
          <w:rFonts w:eastAsiaTheme="minorEastAsia"/>
          <w:b/>
          <w:lang w:eastAsia="en-AU"/>
        </w:rPr>
        <w:t xml:space="preserve">gements </w:t>
      </w:r>
      <w:r w:rsidRPr="00A43A22">
        <w:rPr>
          <w:b/>
          <w:lang w:eastAsia="en-AU"/>
        </w:rPr>
        <w:t>and estimates</w:t>
      </w:r>
    </w:p>
    <w:p w14:paraId="280DD906" w14:textId="77777777" w:rsidR="00A43992" w:rsidRPr="00C42BD6" w:rsidRDefault="00A43992" w:rsidP="00A43992">
      <w:pPr>
        <w:pStyle w:val="PolicytextDept"/>
        <w:rPr>
          <w:lang w:eastAsia="en-AU"/>
        </w:rPr>
        <w:sectPr w:rsidR="00A43992" w:rsidRPr="00C42BD6" w:rsidSect="007211E3">
          <w:pgSz w:w="16838" w:h="11906" w:orient="landscape" w:code="9"/>
          <w:pgMar w:top="1134" w:right="1670" w:bottom="1134" w:left="1134" w:header="958" w:footer="737" w:gutter="0"/>
          <w:cols w:space="708"/>
          <w:docGrid w:linePitch="360"/>
        </w:sectPr>
      </w:pPr>
      <w:r w:rsidRPr="00A43A22">
        <w:rPr>
          <w:lang w:eastAsia="en-AU"/>
        </w:rPr>
        <w:t>Buildings (leasehold improvements), property, plant and equipment are measured at their estimated fair value in the financial statements.</w:t>
      </w:r>
    </w:p>
    <w:tbl>
      <w:tblPr>
        <w:tblW w:w="13991" w:type="dxa"/>
        <w:tblInd w:w="80" w:type="dxa"/>
        <w:tblLayout w:type="fixed"/>
        <w:tblLook w:val="04A0" w:firstRow="1" w:lastRow="0" w:firstColumn="1" w:lastColumn="0" w:noHBand="0" w:noVBand="1"/>
      </w:tblPr>
      <w:tblGrid>
        <w:gridCol w:w="4464"/>
        <w:gridCol w:w="1587"/>
        <w:gridCol w:w="1588"/>
        <w:gridCol w:w="1588"/>
        <w:gridCol w:w="1588"/>
        <w:gridCol w:w="1588"/>
        <w:gridCol w:w="1588"/>
      </w:tblGrid>
      <w:tr w:rsidR="00A43992" w14:paraId="65A86B71" w14:textId="77777777" w:rsidTr="007211E3">
        <w:trPr>
          <w:trHeight w:val="255"/>
        </w:trPr>
        <w:tc>
          <w:tcPr>
            <w:tcW w:w="7488" w:type="dxa"/>
            <w:gridSpan w:val="3"/>
            <w:tcBorders>
              <w:top w:val="nil"/>
              <w:left w:val="nil"/>
              <w:bottom w:val="nil"/>
              <w:right w:val="nil"/>
            </w:tcBorders>
            <w:shd w:val="clear" w:color="FFFFFF" w:fill="FFFFFF"/>
            <w:noWrap/>
            <w:vAlign w:val="bottom"/>
            <w:hideMark/>
          </w:tcPr>
          <w:p w14:paraId="364B885B" w14:textId="77777777" w:rsidR="00A43992" w:rsidRDefault="00A43992" w:rsidP="007211E3">
            <w:pPr>
              <w:rPr>
                <w:rFonts w:ascii="Arial" w:hAnsi="Arial" w:cs="Arial"/>
                <w:b/>
                <w:bCs/>
                <w:sz w:val="18"/>
                <w:szCs w:val="18"/>
                <w:u w:val="single"/>
              </w:rPr>
            </w:pPr>
            <w:bookmarkStart w:id="550" w:name="Note_FIPTABLE1" w:colFirst="0" w:colLast="0"/>
            <w:r>
              <w:rPr>
                <w:rFonts w:ascii="Arial" w:hAnsi="Arial" w:cs="Arial"/>
                <w:b/>
                <w:bCs/>
                <w:sz w:val="18"/>
                <w:szCs w:val="18"/>
                <w:u w:val="single"/>
              </w:rPr>
              <w:lastRenderedPageBreak/>
              <w:t>Note 5.3B: Reconciliation for recurring level 3 fair value measurements</w:t>
            </w:r>
          </w:p>
        </w:tc>
        <w:tc>
          <w:tcPr>
            <w:tcW w:w="1556" w:type="dxa"/>
            <w:tcBorders>
              <w:top w:val="nil"/>
              <w:left w:val="nil"/>
              <w:bottom w:val="nil"/>
              <w:right w:val="nil"/>
            </w:tcBorders>
            <w:shd w:val="clear" w:color="FFFFFF" w:fill="FFFFFF"/>
            <w:noWrap/>
            <w:vAlign w:val="bottom"/>
            <w:hideMark/>
          </w:tcPr>
          <w:p w14:paraId="0ABAE859" w14:textId="77777777" w:rsidR="00A43992" w:rsidRDefault="00A43992" w:rsidP="007211E3">
            <w:pPr>
              <w:rPr>
                <w:rFonts w:ascii="Arial" w:hAnsi="Arial" w:cs="Arial"/>
                <w:sz w:val="18"/>
                <w:szCs w:val="18"/>
              </w:rPr>
            </w:pPr>
            <w:r>
              <w:rPr>
                <w:rFonts w:ascii="Arial" w:hAnsi="Arial" w:cs="Arial"/>
                <w:sz w:val="18"/>
                <w:szCs w:val="18"/>
              </w:rPr>
              <w:t> </w:t>
            </w:r>
          </w:p>
        </w:tc>
        <w:tc>
          <w:tcPr>
            <w:tcW w:w="1556" w:type="dxa"/>
            <w:tcBorders>
              <w:top w:val="nil"/>
              <w:left w:val="nil"/>
              <w:bottom w:val="nil"/>
              <w:right w:val="nil"/>
            </w:tcBorders>
            <w:shd w:val="clear" w:color="FFFFFF" w:fill="FFFFFF"/>
            <w:noWrap/>
            <w:vAlign w:val="bottom"/>
            <w:hideMark/>
          </w:tcPr>
          <w:p w14:paraId="3F705747" w14:textId="77777777" w:rsidR="00A43992" w:rsidRDefault="00A43992" w:rsidP="007211E3">
            <w:pPr>
              <w:rPr>
                <w:rFonts w:ascii="Arial" w:hAnsi="Arial" w:cs="Arial"/>
                <w:sz w:val="18"/>
                <w:szCs w:val="18"/>
              </w:rPr>
            </w:pPr>
            <w:r>
              <w:rPr>
                <w:rFonts w:ascii="Arial" w:hAnsi="Arial" w:cs="Arial"/>
                <w:sz w:val="18"/>
                <w:szCs w:val="18"/>
              </w:rPr>
              <w:t> </w:t>
            </w:r>
          </w:p>
        </w:tc>
        <w:tc>
          <w:tcPr>
            <w:tcW w:w="1556" w:type="dxa"/>
            <w:tcBorders>
              <w:top w:val="nil"/>
              <w:left w:val="nil"/>
              <w:bottom w:val="nil"/>
              <w:right w:val="nil"/>
            </w:tcBorders>
            <w:shd w:val="clear" w:color="FFFFFF" w:fill="FFFFFF"/>
            <w:noWrap/>
            <w:vAlign w:val="bottom"/>
            <w:hideMark/>
          </w:tcPr>
          <w:p w14:paraId="53D11A6E" w14:textId="77777777" w:rsidR="00A43992" w:rsidRDefault="00A43992" w:rsidP="007211E3">
            <w:pPr>
              <w:rPr>
                <w:rFonts w:ascii="Arial" w:hAnsi="Arial" w:cs="Arial"/>
                <w:sz w:val="18"/>
                <w:szCs w:val="18"/>
              </w:rPr>
            </w:pPr>
            <w:r>
              <w:rPr>
                <w:rFonts w:ascii="Arial" w:hAnsi="Arial" w:cs="Arial"/>
                <w:sz w:val="18"/>
                <w:szCs w:val="18"/>
              </w:rPr>
              <w:t> </w:t>
            </w:r>
          </w:p>
        </w:tc>
        <w:tc>
          <w:tcPr>
            <w:tcW w:w="1556" w:type="dxa"/>
            <w:tcBorders>
              <w:top w:val="nil"/>
              <w:left w:val="nil"/>
              <w:bottom w:val="nil"/>
              <w:right w:val="nil"/>
            </w:tcBorders>
            <w:shd w:val="clear" w:color="FFFFFF" w:fill="FFFFFF"/>
            <w:noWrap/>
            <w:vAlign w:val="bottom"/>
            <w:hideMark/>
          </w:tcPr>
          <w:p w14:paraId="17EFCD6C" w14:textId="77777777" w:rsidR="00A43992" w:rsidRDefault="00A43992" w:rsidP="007211E3">
            <w:pPr>
              <w:rPr>
                <w:rFonts w:ascii="Arial" w:hAnsi="Arial" w:cs="Arial"/>
                <w:sz w:val="18"/>
                <w:szCs w:val="18"/>
              </w:rPr>
            </w:pPr>
            <w:r>
              <w:rPr>
                <w:rFonts w:ascii="Arial" w:hAnsi="Arial" w:cs="Arial"/>
                <w:sz w:val="18"/>
                <w:szCs w:val="18"/>
              </w:rPr>
              <w:t> </w:t>
            </w:r>
          </w:p>
        </w:tc>
      </w:tr>
      <w:bookmarkEnd w:id="550"/>
      <w:tr w:rsidR="00A43992" w14:paraId="085B7D75" w14:textId="77777777" w:rsidTr="007211E3">
        <w:trPr>
          <w:trHeight w:val="255"/>
        </w:trPr>
        <w:tc>
          <w:tcPr>
            <w:tcW w:w="7488" w:type="dxa"/>
            <w:gridSpan w:val="3"/>
            <w:tcBorders>
              <w:top w:val="nil"/>
              <w:left w:val="nil"/>
              <w:bottom w:val="nil"/>
              <w:right w:val="nil"/>
            </w:tcBorders>
            <w:shd w:val="clear" w:color="FFFFFF" w:fill="FFFFFF"/>
            <w:noWrap/>
            <w:vAlign w:val="bottom"/>
            <w:hideMark/>
          </w:tcPr>
          <w:p w14:paraId="092ECBA2" w14:textId="77777777" w:rsidR="00A43992" w:rsidRDefault="00A43992" w:rsidP="007211E3">
            <w:pPr>
              <w:rPr>
                <w:rFonts w:ascii="Arial" w:hAnsi="Arial" w:cs="Arial"/>
                <w:b/>
                <w:bCs/>
                <w:sz w:val="18"/>
                <w:szCs w:val="18"/>
              </w:rPr>
            </w:pPr>
            <w:r>
              <w:rPr>
                <w:rFonts w:ascii="Arial" w:hAnsi="Arial" w:cs="Arial"/>
                <w:b/>
                <w:bCs/>
                <w:sz w:val="18"/>
                <w:szCs w:val="18"/>
              </w:rPr>
              <w:t>Recurring Level 3 fair value measurements - reconciliation for assets</w:t>
            </w:r>
          </w:p>
        </w:tc>
        <w:tc>
          <w:tcPr>
            <w:tcW w:w="1556" w:type="dxa"/>
            <w:tcBorders>
              <w:top w:val="nil"/>
              <w:left w:val="nil"/>
              <w:bottom w:val="nil"/>
              <w:right w:val="nil"/>
            </w:tcBorders>
            <w:shd w:val="clear" w:color="FFFFFF" w:fill="FFFFFF"/>
            <w:noWrap/>
            <w:vAlign w:val="bottom"/>
            <w:hideMark/>
          </w:tcPr>
          <w:p w14:paraId="6346C9CF" w14:textId="77777777" w:rsidR="00A43992" w:rsidRDefault="00A43992" w:rsidP="007211E3">
            <w:pPr>
              <w:rPr>
                <w:rFonts w:ascii="Arial" w:hAnsi="Arial" w:cs="Arial"/>
                <w:b/>
                <w:bCs/>
                <w:sz w:val="18"/>
                <w:szCs w:val="18"/>
              </w:rPr>
            </w:pPr>
            <w:r>
              <w:rPr>
                <w:rFonts w:ascii="Arial" w:hAnsi="Arial" w:cs="Arial"/>
                <w:b/>
                <w:bCs/>
                <w:sz w:val="18"/>
                <w:szCs w:val="18"/>
              </w:rPr>
              <w:t> </w:t>
            </w:r>
          </w:p>
        </w:tc>
        <w:tc>
          <w:tcPr>
            <w:tcW w:w="1556" w:type="dxa"/>
            <w:tcBorders>
              <w:top w:val="nil"/>
              <w:left w:val="nil"/>
              <w:bottom w:val="nil"/>
              <w:right w:val="nil"/>
            </w:tcBorders>
            <w:shd w:val="clear" w:color="FFFFFF" w:fill="FFFFFF"/>
            <w:noWrap/>
            <w:vAlign w:val="bottom"/>
            <w:hideMark/>
          </w:tcPr>
          <w:p w14:paraId="2DB900BD" w14:textId="77777777" w:rsidR="00A43992" w:rsidRDefault="00A43992" w:rsidP="007211E3">
            <w:pPr>
              <w:rPr>
                <w:rFonts w:ascii="Arial" w:hAnsi="Arial" w:cs="Arial"/>
                <w:b/>
                <w:bCs/>
                <w:sz w:val="18"/>
                <w:szCs w:val="18"/>
              </w:rPr>
            </w:pPr>
            <w:r>
              <w:rPr>
                <w:rFonts w:ascii="Arial" w:hAnsi="Arial" w:cs="Arial"/>
                <w:b/>
                <w:bCs/>
                <w:sz w:val="18"/>
                <w:szCs w:val="18"/>
              </w:rPr>
              <w:t> </w:t>
            </w:r>
          </w:p>
        </w:tc>
        <w:tc>
          <w:tcPr>
            <w:tcW w:w="1556" w:type="dxa"/>
            <w:tcBorders>
              <w:top w:val="nil"/>
              <w:left w:val="nil"/>
              <w:bottom w:val="nil"/>
              <w:right w:val="nil"/>
            </w:tcBorders>
            <w:shd w:val="clear" w:color="FFFFFF" w:fill="FFFFFF"/>
            <w:noWrap/>
            <w:vAlign w:val="bottom"/>
            <w:hideMark/>
          </w:tcPr>
          <w:p w14:paraId="2D5E13C6" w14:textId="77777777" w:rsidR="00A43992" w:rsidRDefault="00A43992" w:rsidP="007211E3">
            <w:pPr>
              <w:rPr>
                <w:rFonts w:ascii="Arial" w:hAnsi="Arial" w:cs="Arial"/>
                <w:b/>
                <w:bCs/>
                <w:sz w:val="18"/>
                <w:szCs w:val="18"/>
              </w:rPr>
            </w:pPr>
            <w:r>
              <w:rPr>
                <w:rFonts w:ascii="Arial" w:hAnsi="Arial" w:cs="Arial"/>
                <w:b/>
                <w:bCs/>
                <w:sz w:val="18"/>
                <w:szCs w:val="18"/>
              </w:rPr>
              <w:t> </w:t>
            </w:r>
          </w:p>
        </w:tc>
        <w:tc>
          <w:tcPr>
            <w:tcW w:w="1556" w:type="dxa"/>
            <w:tcBorders>
              <w:top w:val="nil"/>
              <w:left w:val="nil"/>
              <w:bottom w:val="nil"/>
              <w:right w:val="nil"/>
            </w:tcBorders>
            <w:shd w:val="clear" w:color="FFFFFF" w:fill="FFFFFF"/>
            <w:noWrap/>
            <w:vAlign w:val="bottom"/>
            <w:hideMark/>
          </w:tcPr>
          <w:p w14:paraId="0D2966DA" w14:textId="77777777" w:rsidR="00A43992" w:rsidRDefault="00A43992" w:rsidP="007211E3">
            <w:pPr>
              <w:rPr>
                <w:rFonts w:ascii="Arial" w:hAnsi="Arial" w:cs="Arial"/>
                <w:b/>
                <w:bCs/>
                <w:sz w:val="18"/>
                <w:szCs w:val="18"/>
              </w:rPr>
            </w:pPr>
            <w:r>
              <w:rPr>
                <w:rFonts w:ascii="Arial" w:hAnsi="Arial" w:cs="Arial"/>
                <w:b/>
                <w:bCs/>
                <w:sz w:val="18"/>
                <w:szCs w:val="18"/>
              </w:rPr>
              <w:t> </w:t>
            </w:r>
          </w:p>
        </w:tc>
      </w:tr>
      <w:tr w:rsidR="00A43992" w14:paraId="439C9F96" w14:textId="77777777" w:rsidTr="007211E3">
        <w:trPr>
          <w:trHeight w:val="255"/>
        </w:trPr>
        <w:tc>
          <w:tcPr>
            <w:tcW w:w="4376" w:type="dxa"/>
            <w:tcBorders>
              <w:top w:val="nil"/>
              <w:left w:val="nil"/>
              <w:bottom w:val="nil"/>
              <w:right w:val="nil"/>
            </w:tcBorders>
            <w:shd w:val="clear" w:color="FFFFFF" w:fill="FFFFFF"/>
            <w:noWrap/>
            <w:vAlign w:val="bottom"/>
            <w:hideMark/>
          </w:tcPr>
          <w:p w14:paraId="38E8B730" w14:textId="77777777" w:rsidR="00A43992" w:rsidRDefault="00A43992" w:rsidP="007211E3">
            <w:pPr>
              <w:rPr>
                <w:rFonts w:ascii="Arial" w:hAnsi="Arial" w:cs="Arial"/>
                <w:b/>
                <w:bCs/>
                <w:sz w:val="18"/>
                <w:szCs w:val="18"/>
              </w:rPr>
            </w:pPr>
            <w:r>
              <w:rPr>
                <w:rFonts w:ascii="Arial" w:hAnsi="Arial" w:cs="Arial"/>
                <w:b/>
                <w:bCs/>
                <w:sz w:val="18"/>
                <w:szCs w:val="18"/>
              </w:rPr>
              <w:t> </w:t>
            </w:r>
          </w:p>
        </w:tc>
        <w:tc>
          <w:tcPr>
            <w:tcW w:w="1556" w:type="dxa"/>
            <w:tcBorders>
              <w:top w:val="nil"/>
              <w:left w:val="nil"/>
              <w:bottom w:val="single" w:sz="4" w:space="0" w:color="auto"/>
              <w:right w:val="nil"/>
            </w:tcBorders>
            <w:shd w:val="clear" w:color="FFFFFF" w:fill="FFFFFF"/>
            <w:noWrap/>
            <w:vAlign w:val="bottom"/>
            <w:hideMark/>
          </w:tcPr>
          <w:p w14:paraId="52C8836E" w14:textId="77777777" w:rsidR="00A43992" w:rsidRDefault="00A43992" w:rsidP="007211E3">
            <w:pPr>
              <w:rPr>
                <w:rFonts w:ascii="Arial" w:hAnsi="Arial" w:cs="Arial"/>
                <w:b/>
                <w:bCs/>
                <w:sz w:val="18"/>
                <w:szCs w:val="18"/>
              </w:rPr>
            </w:pPr>
            <w:r>
              <w:rPr>
                <w:rFonts w:ascii="Arial" w:hAnsi="Arial" w:cs="Arial"/>
                <w:b/>
                <w:bCs/>
                <w:sz w:val="18"/>
                <w:szCs w:val="18"/>
              </w:rPr>
              <w:t> </w:t>
            </w:r>
          </w:p>
        </w:tc>
        <w:tc>
          <w:tcPr>
            <w:tcW w:w="1556" w:type="dxa"/>
            <w:tcBorders>
              <w:top w:val="nil"/>
              <w:left w:val="nil"/>
              <w:bottom w:val="single" w:sz="4" w:space="0" w:color="auto"/>
              <w:right w:val="nil"/>
            </w:tcBorders>
            <w:shd w:val="clear" w:color="FFFFFF" w:fill="FFFFFF"/>
            <w:noWrap/>
            <w:vAlign w:val="bottom"/>
            <w:hideMark/>
          </w:tcPr>
          <w:p w14:paraId="7166E860" w14:textId="77777777" w:rsidR="00A43992" w:rsidRDefault="00A43992" w:rsidP="007211E3">
            <w:pPr>
              <w:rPr>
                <w:rFonts w:ascii="Arial" w:hAnsi="Arial" w:cs="Arial"/>
                <w:b/>
                <w:bCs/>
                <w:sz w:val="18"/>
                <w:szCs w:val="18"/>
              </w:rPr>
            </w:pPr>
            <w:r>
              <w:rPr>
                <w:rFonts w:ascii="Arial" w:hAnsi="Arial" w:cs="Arial"/>
                <w:b/>
                <w:bCs/>
                <w:sz w:val="18"/>
                <w:szCs w:val="18"/>
              </w:rPr>
              <w:t> </w:t>
            </w:r>
          </w:p>
        </w:tc>
        <w:tc>
          <w:tcPr>
            <w:tcW w:w="1556" w:type="dxa"/>
            <w:tcBorders>
              <w:top w:val="nil"/>
              <w:left w:val="nil"/>
              <w:bottom w:val="single" w:sz="4" w:space="0" w:color="auto"/>
              <w:right w:val="nil"/>
            </w:tcBorders>
            <w:shd w:val="clear" w:color="FFFFFF" w:fill="FFFFFF"/>
            <w:noWrap/>
            <w:vAlign w:val="bottom"/>
            <w:hideMark/>
          </w:tcPr>
          <w:p w14:paraId="13EDADC7" w14:textId="77777777" w:rsidR="00A43992" w:rsidRDefault="00A43992" w:rsidP="007211E3">
            <w:pPr>
              <w:rPr>
                <w:rFonts w:ascii="Arial" w:hAnsi="Arial" w:cs="Arial"/>
                <w:b/>
                <w:bCs/>
                <w:sz w:val="18"/>
                <w:szCs w:val="18"/>
              </w:rPr>
            </w:pPr>
            <w:r>
              <w:rPr>
                <w:rFonts w:ascii="Arial" w:hAnsi="Arial" w:cs="Arial"/>
                <w:b/>
                <w:bCs/>
                <w:sz w:val="18"/>
                <w:szCs w:val="18"/>
              </w:rPr>
              <w:t> </w:t>
            </w:r>
          </w:p>
        </w:tc>
        <w:tc>
          <w:tcPr>
            <w:tcW w:w="1556" w:type="dxa"/>
            <w:tcBorders>
              <w:top w:val="nil"/>
              <w:left w:val="nil"/>
              <w:bottom w:val="single" w:sz="4" w:space="0" w:color="auto"/>
              <w:right w:val="nil"/>
            </w:tcBorders>
            <w:shd w:val="clear" w:color="FFFFFF" w:fill="FFFFFF"/>
            <w:noWrap/>
            <w:vAlign w:val="bottom"/>
            <w:hideMark/>
          </w:tcPr>
          <w:p w14:paraId="20306B5C" w14:textId="77777777" w:rsidR="00A43992" w:rsidRDefault="00A43992" w:rsidP="007211E3">
            <w:pPr>
              <w:rPr>
                <w:rFonts w:ascii="Arial" w:hAnsi="Arial" w:cs="Arial"/>
                <w:b/>
                <w:bCs/>
                <w:sz w:val="18"/>
                <w:szCs w:val="18"/>
              </w:rPr>
            </w:pPr>
            <w:r>
              <w:rPr>
                <w:rFonts w:ascii="Arial" w:hAnsi="Arial" w:cs="Arial"/>
                <w:b/>
                <w:bCs/>
                <w:sz w:val="18"/>
                <w:szCs w:val="18"/>
              </w:rPr>
              <w:t> </w:t>
            </w:r>
          </w:p>
        </w:tc>
        <w:tc>
          <w:tcPr>
            <w:tcW w:w="1556" w:type="dxa"/>
            <w:tcBorders>
              <w:top w:val="nil"/>
              <w:left w:val="nil"/>
              <w:bottom w:val="single" w:sz="4" w:space="0" w:color="auto"/>
              <w:right w:val="nil"/>
            </w:tcBorders>
            <w:shd w:val="clear" w:color="FFFFFF" w:fill="FFFFFF"/>
            <w:noWrap/>
            <w:vAlign w:val="bottom"/>
            <w:hideMark/>
          </w:tcPr>
          <w:p w14:paraId="7C936782" w14:textId="77777777" w:rsidR="00A43992" w:rsidRDefault="00A43992" w:rsidP="007211E3">
            <w:pPr>
              <w:rPr>
                <w:rFonts w:ascii="Arial" w:hAnsi="Arial" w:cs="Arial"/>
                <w:b/>
                <w:bCs/>
                <w:sz w:val="18"/>
                <w:szCs w:val="18"/>
              </w:rPr>
            </w:pPr>
            <w:r>
              <w:rPr>
                <w:rFonts w:ascii="Arial" w:hAnsi="Arial" w:cs="Arial"/>
                <w:b/>
                <w:bCs/>
                <w:sz w:val="18"/>
                <w:szCs w:val="18"/>
              </w:rPr>
              <w:t> </w:t>
            </w:r>
          </w:p>
        </w:tc>
        <w:tc>
          <w:tcPr>
            <w:tcW w:w="1556" w:type="dxa"/>
            <w:tcBorders>
              <w:top w:val="nil"/>
              <w:left w:val="nil"/>
              <w:bottom w:val="single" w:sz="4" w:space="0" w:color="auto"/>
              <w:right w:val="nil"/>
            </w:tcBorders>
            <w:shd w:val="clear" w:color="FFFFFF" w:fill="FFFFFF"/>
            <w:noWrap/>
            <w:vAlign w:val="bottom"/>
            <w:hideMark/>
          </w:tcPr>
          <w:p w14:paraId="3DF6E42E" w14:textId="77777777" w:rsidR="00A43992" w:rsidRDefault="00A43992" w:rsidP="007211E3">
            <w:pPr>
              <w:rPr>
                <w:rFonts w:ascii="Arial" w:hAnsi="Arial" w:cs="Arial"/>
                <w:b/>
                <w:bCs/>
                <w:sz w:val="18"/>
                <w:szCs w:val="18"/>
              </w:rPr>
            </w:pPr>
            <w:r>
              <w:rPr>
                <w:rFonts w:ascii="Arial" w:hAnsi="Arial" w:cs="Arial"/>
                <w:b/>
                <w:bCs/>
                <w:sz w:val="18"/>
                <w:szCs w:val="18"/>
              </w:rPr>
              <w:t> </w:t>
            </w:r>
          </w:p>
        </w:tc>
      </w:tr>
      <w:tr w:rsidR="00A43992" w14:paraId="1ECFC3A3" w14:textId="77777777" w:rsidTr="007211E3">
        <w:trPr>
          <w:trHeight w:val="255"/>
        </w:trPr>
        <w:tc>
          <w:tcPr>
            <w:tcW w:w="4376" w:type="dxa"/>
            <w:tcBorders>
              <w:top w:val="nil"/>
              <w:left w:val="nil"/>
              <w:bottom w:val="nil"/>
              <w:right w:val="nil"/>
            </w:tcBorders>
            <w:shd w:val="clear" w:color="FFFFFF" w:fill="FFFFFF"/>
            <w:noWrap/>
            <w:vAlign w:val="bottom"/>
            <w:hideMark/>
          </w:tcPr>
          <w:p w14:paraId="6AA32664" w14:textId="77777777" w:rsidR="00A43992" w:rsidRDefault="00A43992" w:rsidP="007211E3">
            <w:pPr>
              <w:rPr>
                <w:rFonts w:ascii="Arial" w:hAnsi="Arial" w:cs="Arial"/>
                <w:b/>
                <w:bCs/>
                <w:sz w:val="18"/>
                <w:szCs w:val="18"/>
              </w:rPr>
            </w:pPr>
            <w:r>
              <w:rPr>
                <w:rFonts w:ascii="Arial" w:hAnsi="Arial" w:cs="Arial"/>
                <w:b/>
                <w:bCs/>
                <w:sz w:val="18"/>
                <w:szCs w:val="18"/>
              </w:rPr>
              <w:t> </w:t>
            </w:r>
          </w:p>
        </w:tc>
        <w:tc>
          <w:tcPr>
            <w:tcW w:w="9336" w:type="dxa"/>
            <w:gridSpan w:val="6"/>
            <w:tcBorders>
              <w:top w:val="nil"/>
              <w:left w:val="nil"/>
              <w:bottom w:val="single" w:sz="4" w:space="0" w:color="auto"/>
              <w:right w:val="nil"/>
            </w:tcBorders>
            <w:shd w:val="clear" w:color="FFFFFF" w:fill="FFFFFF"/>
            <w:noWrap/>
            <w:vAlign w:val="bottom"/>
            <w:hideMark/>
          </w:tcPr>
          <w:p w14:paraId="1004AF8F" w14:textId="77777777" w:rsidR="00A43992" w:rsidRDefault="00A43992" w:rsidP="007211E3">
            <w:pPr>
              <w:jc w:val="center"/>
              <w:rPr>
                <w:rFonts w:ascii="Arial" w:hAnsi="Arial" w:cs="Arial"/>
                <w:b/>
                <w:bCs/>
                <w:sz w:val="18"/>
                <w:szCs w:val="18"/>
              </w:rPr>
            </w:pPr>
            <w:r>
              <w:rPr>
                <w:rFonts w:ascii="Arial" w:hAnsi="Arial" w:cs="Arial"/>
                <w:b/>
                <w:bCs/>
                <w:sz w:val="18"/>
                <w:szCs w:val="18"/>
              </w:rPr>
              <w:t>Non-financial assets</w:t>
            </w:r>
          </w:p>
        </w:tc>
      </w:tr>
      <w:tr w:rsidR="00A43992" w14:paraId="245317ED" w14:textId="77777777" w:rsidTr="007211E3">
        <w:trPr>
          <w:trHeight w:val="480"/>
        </w:trPr>
        <w:tc>
          <w:tcPr>
            <w:tcW w:w="4376" w:type="dxa"/>
            <w:tcBorders>
              <w:top w:val="nil"/>
              <w:left w:val="nil"/>
              <w:bottom w:val="nil"/>
              <w:right w:val="nil"/>
            </w:tcBorders>
            <w:shd w:val="clear" w:color="FFFFFF" w:fill="FFFFFF"/>
            <w:noWrap/>
            <w:vAlign w:val="bottom"/>
            <w:hideMark/>
          </w:tcPr>
          <w:p w14:paraId="23911105" w14:textId="77777777" w:rsidR="00A43992" w:rsidRDefault="00A43992" w:rsidP="007211E3">
            <w:pPr>
              <w:rPr>
                <w:rFonts w:ascii="Arial" w:hAnsi="Arial" w:cs="Arial"/>
                <w:b/>
                <w:bCs/>
                <w:sz w:val="18"/>
                <w:szCs w:val="18"/>
              </w:rPr>
            </w:pPr>
            <w:r>
              <w:rPr>
                <w:rFonts w:ascii="Arial" w:hAnsi="Arial" w:cs="Arial"/>
                <w:b/>
                <w:bCs/>
                <w:sz w:val="18"/>
                <w:szCs w:val="18"/>
              </w:rPr>
              <w:t> </w:t>
            </w:r>
          </w:p>
        </w:tc>
        <w:tc>
          <w:tcPr>
            <w:tcW w:w="3112" w:type="dxa"/>
            <w:gridSpan w:val="2"/>
            <w:tcBorders>
              <w:top w:val="single" w:sz="4" w:space="0" w:color="auto"/>
              <w:left w:val="nil"/>
              <w:bottom w:val="nil"/>
              <w:right w:val="nil"/>
            </w:tcBorders>
            <w:shd w:val="clear" w:color="FFFFFF" w:fill="FFFFFF"/>
            <w:vAlign w:val="bottom"/>
            <w:hideMark/>
          </w:tcPr>
          <w:p w14:paraId="0F46A744" w14:textId="77777777" w:rsidR="00A43992" w:rsidRDefault="00A43992" w:rsidP="007211E3">
            <w:pPr>
              <w:jc w:val="center"/>
              <w:rPr>
                <w:rFonts w:ascii="Arial" w:hAnsi="Arial" w:cs="Arial"/>
                <w:b/>
                <w:bCs/>
                <w:sz w:val="18"/>
                <w:szCs w:val="18"/>
              </w:rPr>
            </w:pPr>
            <w:r>
              <w:rPr>
                <w:rFonts w:ascii="Arial" w:hAnsi="Arial" w:cs="Arial"/>
                <w:b/>
                <w:bCs/>
                <w:sz w:val="18"/>
                <w:szCs w:val="18"/>
              </w:rPr>
              <w:t>Leasehold improvements</w:t>
            </w:r>
          </w:p>
        </w:tc>
        <w:tc>
          <w:tcPr>
            <w:tcW w:w="3112" w:type="dxa"/>
            <w:gridSpan w:val="2"/>
            <w:tcBorders>
              <w:top w:val="single" w:sz="4" w:space="0" w:color="auto"/>
              <w:left w:val="nil"/>
              <w:bottom w:val="nil"/>
              <w:right w:val="nil"/>
            </w:tcBorders>
            <w:shd w:val="clear" w:color="FFFFFF" w:fill="FFFFFF"/>
            <w:vAlign w:val="bottom"/>
            <w:hideMark/>
          </w:tcPr>
          <w:p w14:paraId="248B82E5" w14:textId="77777777" w:rsidR="00A43992" w:rsidRDefault="00A43992" w:rsidP="007211E3">
            <w:pPr>
              <w:jc w:val="center"/>
              <w:rPr>
                <w:rFonts w:ascii="Arial" w:hAnsi="Arial" w:cs="Arial"/>
                <w:b/>
                <w:bCs/>
                <w:sz w:val="18"/>
                <w:szCs w:val="18"/>
              </w:rPr>
            </w:pPr>
            <w:r>
              <w:rPr>
                <w:rFonts w:ascii="Arial" w:hAnsi="Arial" w:cs="Arial"/>
                <w:b/>
                <w:bCs/>
                <w:sz w:val="18"/>
                <w:szCs w:val="18"/>
              </w:rPr>
              <w:t>Property, plant and equipment</w:t>
            </w:r>
          </w:p>
        </w:tc>
        <w:tc>
          <w:tcPr>
            <w:tcW w:w="3112" w:type="dxa"/>
            <w:gridSpan w:val="2"/>
            <w:tcBorders>
              <w:top w:val="single" w:sz="4" w:space="0" w:color="auto"/>
              <w:left w:val="nil"/>
              <w:bottom w:val="nil"/>
              <w:right w:val="nil"/>
            </w:tcBorders>
            <w:shd w:val="clear" w:color="FFFFFF" w:fill="FFFFFF"/>
            <w:vAlign w:val="bottom"/>
            <w:hideMark/>
          </w:tcPr>
          <w:p w14:paraId="17293E98" w14:textId="77777777" w:rsidR="00A43992" w:rsidRDefault="00A43992" w:rsidP="007211E3">
            <w:pPr>
              <w:jc w:val="center"/>
              <w:rPr>
                <w:rFonts w:ascii="Arial" w:hAnsi="Arial" w:cs="Arial"/>
                <w:b/>
                <w:bCs/>
                <w:sz w:val="18"/>
                <w:szCs w:val="18"/>
              </w:rPr>
            </w:pPr>
            <w:r>
              <w:rPr>
                <w:rFonts w:ascii="Arial" w:hAnsi="Arial" w:cs="Arial"/>
                <w:b/>
                <w:bCs/>
                <w:sz w:val="18"/>
                <w:szCs w:val="18"/>
              </w:rPr>
              <w:t>Total</w:t>
            </w:r>
          </w:p>
        </w:tc>
      </w:tr>
      <w:tr w:rsidR="00A43992" w14:paraId="1B34A9B3" w14:textId="77777777" w:rsidTr="007211E3">
        <w:trPr>
          <w:trHeight w:val="255"/>
        </w:trPr>
        <w:tc>
          <w:tcPr>
            <w:tcW w:w="4376" w:type="dxa"/>
            <w:tcBorders>
              <w:top w:val="nil"/>
              <w:left w:val="nil"/>
              <w:bottom w:val="nil"/>
              <w:right w:val="nil"/>
            </w:tcBorders>
            <w:shd w:val="clear" w:color="FFFFFF" w:fill="FFFFFF"/>
            <w:noWrap/>
            <w:vAlign w:val="bottom"/>
            <w:hideMark/>
          </w:tcPr>
          <w:p w14:paraId="22C9963F" w14:textId="77777777" w:rsidR="00A43992" w:rsidRDefault="00A43992" w:rsidP="007211E3">
            <w:pPr>
              <w:rPr>
                <w:rFonts w:ascii="Arial" w:hAnsi="Arial" w:cs="Arial"/>
                <w:b/>
                <w:bCs/>
                <w:sz w:val="18"/>
                <w:szCs w:val="18"/>
              </w:rPr>
            </w:pPr>
            <w:r>
              <w:rPr>
                <w:rFonts w:ascii="Arial" w:hAnsi="Arial" w:cs="Arial"/>
                <w:b/>
                <w:bCs/>
                <w:sz w:val="18"/>
                <w:szCs w:val="18"/>
              </w:rPr>
              <w:t> </w:t>
            </w:r>
          </w:p>
        </w:tc>
        <w:tc>
          <w:tcPr>
            <w:tcW w:w="1556" w:type="dxa"/>
            <w:tcBorders>
              <w:top w:val="nil"/>
              <w:left w:val="nil"/>
              <w:bottom w:val="nil"/>
              <w:right w:val="nil"/>
            </w:tcBorders>
            <w:shd w:val="clear" w:color="FFFFFF" w:fill="FFFFFF"/>
            <w:noWrap/>
            <w:vAlign w:val="bottom"/>
            <w:hideMark/>
          </w:tcPr>
          <w:p w14:paraId="2A95BCBD" w14:textId="77777777" w:rsidR="00A43992" w:rsidRDefault="00A43992" w:rsidP="007211E3">
            <w:pPr>
              <w:jc w:val="right"/>
              <w:rPr>
                <w:rFonts w:ascii="Arial" w:hAnsi="Arial" w:cs="Arial"/>
                <w:b/>
                <w:bCs/>
                <w:sz w:val="18"/>
                <w:szCs w:val="18"/>
              </w:rPr>
            </w:pPr>
            <w:r>
              <w:rPr>
                <w:rFonts w:ascii="Arial" w:hAnsi="Arial" w:cs="Arial"/>
                <w:b/>
                <w:bCs/>
                <w:sz w:val="18"/>
                <w:szCs w:val="18"/>
              </w:rPr>
              <w:t>2016</w:t>
            </w:r>
          </w:p>
        </w:tc>
        <w:tc>
          <w:tcPr>
            <w:tcW w:w="1556" w:type="dxa"/>
            <w:tcBorders>
              <w:top w:val="nil"/>
              <w:left w:val="nil"/>
              <w:bottom w:val="nil"/>
              <w:right w:val="nil"/>
            </w:tcBorders>
            <w:shd w:val="clear" w:color="FFFFFF" w:fill="FFFFFF"/>
            <w:noWrap/>
            <w:vAlign w:val="bottom"/>
            <w:hideMark/>
          </w:tcPr>
          <w:p w14:paraId="4D766DEF" w14:textId="77777777" w:rsidR="00A43992" w:rsidRDefault="00A43992" w:rsidP="007211E3">
            <w:pPr>
              <w:jc w:val="right"/>
              <w:rPr>
                <w:rFonts w:ascii="Arial" w:hAnsi="Arial" w:cs="Arial"/>
                <w:sz w:val="18"/>
                <w:szCs w:val="18"/>
              </w:rPr>
            </w:pPr>
            <w:r>
              <w:rPr>
                <w:rFonts w:ascii="Arial" w:hAnsi="Arial" w:cs="Arial"/>
                <w:sz w:val="18"/>
                <w:szCs w:val="18"/>
              </w:rPr>
              <w:t>2015</w:t>
            </w:r>
          </w:p>
        </w:tc>
        <w:tc>
          <w:tcPr>
            <w:tcW w:w="1556" w:type="dxa"/>
            <w:tcBorders>
              <w:top w:val="nil"/>
              <w:left w:val="nil"/>
              <w:bottom w:val="nil"/>
              <w:right w:val="nil"/>
            </w:tcBorders>
            <w:shd w:val="clear" w:color="FFFFFF" w:fill="FFFFFF"/>
            <w:noWrap/>
            <w:vAlign w:val="bottom"/>
            <w:hideMark/>
          </w:tcPr>
          <w:p w14:paraId="53644A68" w14:textId="77777777" w:rsidR="00A43992" w:rsidRDefault="00A43992" w:rsidP="007211E3">
            <w:pPr>
              <w:jc w:val="right"/>
              <w:rPr>
                <w:rFonts w:ascii="Arial" w:hAnsi="Arial" w:cs="Arial"/>
                <w:b/>
                <w:bCs/>
                <w:sz w:val="18"/>
                <w:szCs w:val="18"/>
              </w:rPr>
            </w:pPr>
            <w:r>
              <w:rPr>
                <w:rFonts w:ascii="Arial" w:hAnsi="Arial" w:cs="Arial"/>
                <w:b/>
                <w:bCs/>
                <w:sz w:val="18"/>
                <w:szCs w:val="18"/>
              </w:rPr>
              <w:t>2016</w:t>
            </w:r>
          </w:p>
        </w:tc>
        <w:tc>
          <w:tcPr>
            <w:tcW w:w="1556" w:type="dxa"/>
            <w:tcBorders>
              <w:top w:val="nil"/>
              <w:left w:val="nil"/>
              <w:bottom w:val="nil"/>
              <w:right w:val="nil"/>
            </w:tcBorders>
            <w:shd w:val="clear" w:color="FFFFFF" w:fill="FFFFFF"/>
            <w:noWrap/>
            <w:vAlign w:val="bottom"/>
            <w:hideMark/>
          </w:tcPr>
          <w:p w14:paraId="498756CA" w14:textId="77777777" w:rsidR="00A43992" w:rsidRDefault="00A43992" w:rsidP="007211E3">
            <w:pPr>
              <w:jc w:val="right"/>
              <w:rPr>
                <w:rFonts w:ascii="Arial" w:hAnsi="Arial" w:cs="Arial"/>
                <w:sz w:val="18"/>
                <w:szCs w:val="18"/>
              </w:rPr>
            </w:pPr>
            <w:r>
              <w:rPr>
                <w:rFonts w:ascii="Arial" w:hAnsi="Arial" w:cs="Arial"/>
                <w:sz w:val="18"/>
                <w:szCs w:val="18"/>
              </w:rPr>
              <w:t>2015</w:t>
            </w:r>
          </w:p>
        </w:tc>
        <w:tc>
          <w:tcPr>
            <w:tcW w:w="1556" w:type="dxa"/>
            <w:tcBorders>
              <w:top w:val="nil"/>
              <w:left w:val="nil"/>
              <w:bottom w:val="nil"/>
              <w:right w:val="nil"/>
            </w:tcBorders>
            <w:shd w:val="clear" w:color="FFFFFF" w:fill="FFFFFF"/>
            <w:noWrap/>
            <w:vAlign w:val="bottom"/>
            <w:hideMark/>
          </w:tcPr>
          <w:p w14:paraId="68196982" w14:textId="77777777" w:rsidR="00A43992" w:rsidRDefault="00A43992" w:rsidP="007211E3">
            <w:pPr>
              <w:jc w:val="right"/>
              <w:rPr>
                <w:rFonts w:ascii="Arial" w:hAnsi="Arial" w:cs="Arial"/>
                <w:b/>
                <w:bCs/>
                <w:sz w:val="18"/>
                <w:szCs w:val="18"/>
              </w:rPr>
            </w:pPr>
            <w:r>
              <w:rPr>
                <w:rFonts w:ascii="Arial" w:hAnsi="Arial" w:cs="Arial"/>
                <w:b/>
                <w:bCs/>
                <w:sz w:val="18"/>
                <w:szCs w:val="18"/>
              </w:rPr>
              <w:t>2016</w:t>
            </w:r>
          </w:p>
        </w:tc>
        <w:tc>
          <w:tcPr>
            <w:tcW w:w="1556" w:type="dxa"/>
            <w:tcBorders>
              <w:top w:val="nil"/>
              <w:left w:val="nil"/>
              <w:bottom w:val="nil"/>
              <w:right w:val="nil"/>
            </w:tcBorders>
            <w:shd w:val="clear" w:color="FFFFFF" w:fill="FFFFFF"/>
            <w:noWrap/>
            <w:vAlign w:val="bottom"/>
            <w:hideMark/>
          </w:tcPr>
          <w:p w14:paraId="31F1902C" w14:textId="77777777" w:rsidR="00A43992" w:rsidRDefault="00A43992" w:rsidP="007211E3">
            <w:pPr>
              <w:jc w:val="right"/>
              <w:rPr>
                <w:rFonts w:ascii="Arial" w:hAnsi="Arial" w:cs="Arial"/>
                <w:sz w:val="18"/>
                <w:szCs w:val="18"/>
              </w:rPr>
            </w:pPr>
            <w:r>
              <w:rPr>
                <w:rFonts w:ascii="Arial" w:hAnsi="Arial" w:cs="Arial"/>
                <w:sz w:val="18"/>
                <w:szCs w:val="18"/>
              </w:rPr>
              <w:t>2015</w:t>
            </w:r>
          </w:p>
        </w:tc>
      </w:tr>
      <w:tr w:rsidR="00A43992" w14:paraId="5844A739" w14:textId="77777777" w:rsidTr="007211E3">
        <w:trPr>
          <w:trHeight w:val="255"/>
        </w:trPr>
        <w:tc>
          <w:tcPr>
            <w:tcW w:w="4376" w:type="dxa"/>
            <w:tcBorders>
              <w:top w:val="nil"/>
              <w:left w:val="nil"/>
              <w:bottom w:val="single" w:sz="4" w:space="0" w:color="auto"/>
              <w:right w:val="nil"/>
            </w:tcBorders>
            <w:shd w:val="clear" w:color="FFFFFF" w:fill="FFFFFF"/>
            <w:noWrap/>
            <w:vAlign w:val="bottom"/>
            <w:hideMark/>
          </w:tcPr>
          <w:p w14:paraId="4E5EF6F7" w14:textId="77777777" w:rsidR="00A43992" w:rsidRDefault="00A43992" w:rsidP="007211E3">
            <w:pPr>
              <w:rPr>
                <w:rFonts w:ascii="Arial" w:hAnsi="Arial" w:cs="Arial"/>
                <w:b/>
                <w:bCs/>
                <w:sz w:val="18"/>
                <w:szCs w:val="18"/>
              </w:rPr>
            </w:pPr>
            <w:r>
              <w:rPr>
                <w:rFonts w:ascii="Arial" w:hAnsi="Arial" w:cs="Arial"/>
                <w:b/>
                <w:bCs/>
                <w:sz w:val="18"/>
                <w:szCs w:val="18"/>
              </w:rPr>
              <w:t> </w:t>
            </w:r>
          </w:p>
        </w:tc>
        <w:tc>
          <w:tcPr>
            <w:tcW w:w="1556" w:type="dxa"/>
            <w:tcBorders>
              <w:top w:val="nil"/>
              <w:left w:val="nil"/>
              <w:bottom w:val="single" w:sz="4" w:space="0" w:color="auto"/>
              <w:right w:val="nil"/>
            </w:tcBorders>
            <w:shd w:val="clear" w:color="FFFFFF" w:fill="FFFFFF"/>
            <w:noWrap/>
            <w:vAlign w:val="bottom"/>
            <w:hideMark/>
          </w:tcPr>
          <w:p w14:paraId="2C3551C0" w14:textId="77777777" w:rsidR="00A43992" w:rsidRDefault="00A43992" w:rsidP="007211E3">
            <w:pPr>
              <w:jc w:val="right"/>
              <w:rPr>
                <w:rFonts w:ascii="Arial" w:hAnsi="Arial" w:cs="Arial"/>
                <w:b/>
                <w:bCs/>
                <w:sz w:val="18"/>
                <w:szCs w:val="18"/>
              </w:rPr>
            </w:pPr>
            <w:r>
              <w:rPr>
                <w:rFonts w:ascii="Arial" w:hAnsi="Arial" w:cs="Arial"/>
                <w:b/>
                <w:bCs/>
                <w:sz w:val="18"/>
                <w:szCs w:val="18"/>
              </w:rPr>
              <w:t>$'000</w:t>
            </w:r>
          </w:p>
        </w:tc>
        <w:tc>
          <w:tcPr>
            <w:tcW w:w="1556" w:type="dxa"/>
            <w:tcBorders>
              <w:top w:val="nil"/>
              <w:left w:val="nil"/>
              <w:bottom w:val="single" w:sz="4" w:space="0" w:color="auto"/>
              <w:right w:val="nil"/>
            </w:tcBorders>
            <w:shd w:val="clear" w:color="FFFFFF" w:fill="FFFFFF"/>
            <w:noWrap/>
            <w:vAlign w:val="bottom"/>
            <w:hideMark/>
          </w:tcPr>
          <w:p w14:paraId="148DFB6F" w14:textId="77777777" w:rsidR="00A43992" w:rsidRDefault="00A43992" w:rsidP="007211E3">
            <w:pPr>
              <w:jc w:val="right"/>
              <w:rPr>
                <w:rFonts w:ascii="Arial" w:hAnsi="Arial" w:cs="Arial"/>
                <w:sz w:val="18"/>
                <w:szCs w:val="18"/>
              </w:rPr>
            </w:pPr>
            <w:r>
              <w:rPr>
                <w:rFonts w:ascii="Arial" w:hAnsi="Arial" w:cs="Arial"/>
                <w:sz w:val="18"/>
                <w:szCs w:val="18"/>
              </w:rPr>
              <w:t>$'000</w:t>
            </w:r>
          </w:p>
        </w:tc>
        <w:tc>
          <w:tcPr>
            <w:tcW w:w="1556" w:type="dxa"/>
            <w:tcBorders>
              <w:top w:val="nil"/>
              <w:left w:val="nil"/>
              <w:bottom w:val="single" w:sz="4" w:space="0" w:color="auto"/>
              <w:right w:val="nil"/>
            </w:tcBorders>
            <w:shd w:val="clear" w:color="FFFFFF" w:fill="FFFFFF"/>
            <w:noWrap/>
            <w:vAlign w:val="bottom"/>
            <w:hideMark/>
          </w:tcPr>
          <w:p w14:paraId="25F38C25" w14:textId="77777777" w:rsidR="00A43992" w:rsidRDefault="00A43992" w:rsidP="007211E3">
            <w:pPr>
              <w:jc w:val="right"/>
              <w:rPr>
                <w:rFonts w:ascii="Arial" w:hAnsi="Arial" w:cs="Arial"/>
                <w:b/>
                <w:bCs/>
                <w:sz w:val="18"/>
                <w:szCs w:val="18"/>
              </w:rPr>
            </w:pPr>
            <w:r>
              <w:rPr>
                <w:rFonts w:ascii="Arial" w:hAnsi="Arial" w:cs="Arial"/>
                <w:b/>
                <w:bCs/>
                <w:sz w:val="18"/>
                <w:szCs w:val="18"/>
              </w:rPr>
              <w:t>$'000</w:t>
            </w:r>
          </w:p>
        </w:tc>
        <w:tc>
          <w:tcPr>
            <w:tcW w:w="1556" w:type="dxa"/>
            <w:tcBorders>
              <w:top w:val="nil"/>
              <w:left w:val="nil"/>
              <w:bottom w:val="single" w:sz="4" w:space="0" w:color="auto"/>
              <w:right w:val="nil"/>
            </w:tcBorders>
            <w:shd w:val="clear" w:color="FFFFFF" w:fill="FFFFFF"/>
            <w:noWrap/>
            <w:vAlign w:val="bottom"/>
            <w:hideMark/>
          </w:tcPr>
          <w:p w14:paraId="0B543179" w14:textId="77777777" w:rsidR="00A43992" w:rsidRDefault="00A43992" w:rsidP="007211E3">
            <w:pPr>
              <w:jc w:val="right"/>
              <w:rPr>
                <w:rFonts w:ascii="Arial" w:hAnsi="Arial" w:cs="Arial"/>
                <w:sz w:val="18"/>
                <w:szCs w:val="18"/>
              </w:rPr>
            </w:pPr>
            <w:r>
              <w:rPr>
                <w:rFonts w:ascii="Arial" w:hAnsi="Arial" w:cs="Arial"/>
                <w:sz w:val="18"/>
                <w:szCs w:val="18"/>
              </w:rPr>
              <w:t>$'000</w:t>
            </w:r>
          </w:p>
        </w:tc>
        <w:tc>
          <w:tcPr>
            <w:tcW w:w="1556" w:type="dxa"/>
            <w:tcBorders>
              <w:top w:val="nil"/>
              <w:left w:val="nil"/>
              <w:bottom w:val="single" w:sz="4" w:space="0" w:color="auto"/>
              <w:right w:val="nil"/>
            </w:tcBorders>
            <w:shd w:val="clear" w:color="FFFFFF" w:fill="FFFFFF"/>
            <w:noWrap/>
            <w:vAlign w:val="bottom"/>
            <w:hideMark/>
          </w:tcPr>
          <w:p w14:paraId="37FAB41E" w14:textId="77777777" w:rsidR="00A43992" w:rsidRDefault="00A43992" w:rsidP="007211E3">
            <w:pPr>
              <w:jc w:val="right"/>
              <w:rPr>
                <w:rFonts w:ascii="Arial" w:hAnsi="Arial" w:cs="Arial"/>
                <w:b/>
                <w:bCs/>
                <w:sz w:val="18"/>
                <w:szCs w:val="18"/>
              </w:rPr>
            </w:pPr>
            <w:r>
              <w:rPr>
                <w:rFonts w:ascii="Arial" w:hAnsi="Arial" w:cs="Arial"/>
                <w:b/>
                <w:bCs/>
                <w:sz w:val="18"/>
                <w:szCs w:val="18"/>
              </w:rPr>
              <w:t>$'000</w:t>
            </w:r>
          </w:p>
        </w:tc>
        <w:tc>
          <w:tcPr>
            <w:tcW w:w="1556" w:type="dxa"/>
            <w:tcBorders>
              <w:top w:val="nil"/>
              <w:left w:val="nil"/>
              <w:bottom w:val="single" w:sz="4" w:space="0" w:color="auto"/>
              <w:right w:val="nil"/>
            </w:tcBorders>
            <w:shd w:val="clear" w:color="FFFFFF" w:fill="FFFFFF"/>
            <w:noWrap/>
            <w:vAlign w:val="bottom"/>
            <w:hideMark/>
          </w:tcPr>
          <w:p w14:paraId="27DCAF7A" w14:textId="77777777" w:rsidR="00A43992" w:rsidRDefault="00A43992" w:rsidP="007211E3">
            <w:pPr>
              <w:jc w:val="right"/>
              <w:rPr>
                <w:rFonts w:ascii="Arial" w:hAnsi="Arial" w:cs="Arial"/>
                <w:sz w:val="18"/>
                <w:szCs w:val="18"/>
              </w:rPr>
            </w:pPr>
            <w:r>
              <w:rPr>
                <w:rFonts w:ascii="Arial" w:hAnsi="Arial" w:cs="Arial"/>
                <w:sz w:val="18"/>
                <w:szCs w:val="18"/>
              </w:rPr>
              <w:t>$'000</w:t>
            </w:r>
          </w:p>
        </w:tc>
      </w:tr>
      <w:tr w:rsidR="00A43992" w14:paraId="28E034C3" w14:textId="77777777" w:rsidTr="007211E3">
        <w:trPr>
          <w:trHeight w:val="255"/>
        </w:trPr>
        <w:tc>
          <w:tcPr>
            <w:tcW w:w="4376" w:type="dxa"/>
            <w:tcBorders>
              <w:top w:val="nil"/>
              <w:left w:val="nil"/>
              <w:bottom w:val="nil"/>
              <w:right w:val="nil"/>
            </w:tcBorders>
            <w:shd w:val="clear" w:color="FFFFFF" w:fill="FFFFFF"/>
            <w:noWrap/>
            <w:vAlign w:val="bottom"/>
            <w:hideMark/>
          </w:tcPr>
          <w:p w14:paraId="5CD00F9F" w14:textId="77777777" w:rsidR="00A43992" w:rsidRDefault="00A43992" w:rsidP="007211E3">
            <w:pPr>
              <w:rPr>
                <w:rFonts w:ascii="Arial" w:hAnsi="Arial" w:cs="Arial"/>
                <w:b/>
                <w:bCs/>
                <w:sz w:val="18"/>
                <w:szCs w:val="18"/>
              </w:rPr>
            </w:pPr>
            <w:r>
              <w:rPr>
                <w:rFonts w:ascii="Arial" w:hAnsi="Arial" w:cs="Arial"/>
                <w:b/>
                <w:bCs/>
                <w:sz w:val="18"/>
                <w:szCs w:val="18"/>
              </w:rPr>
              <w:t>Opening balance</w:t>
            </w:r>
          </w:p>
        </w:tc>
        <w:tc>
          <w:tcPr>
            <w:tcW w:w="1556" w:type="dxa"/>
            <w:tcBorders>
              <w:top w:val="nil"/>
              <w:left w:val="nil"/>
              <w:bottom w:val="nil"/>
              <w:right w:val="nil"/>
            </w:tcBorders>
            <w:shd w:val="clear" w:color="FFFFFF" w:fill="FFFFFF"/>
            <w:noWrap/>
            <w:vAlign w:val="bottom"/>
            <w:hideMark/>
          </w:tcPr>
          <w:p w14:paraId="34F41F67" w14:textId="77777777" w:rsidR="00A43992" w:rsidRDefault="00A43992" w:rsidP="007211E3">
            <w:pPr>
              <w:jc w:val="right"/>
              <w:rPr>
                <w:rFonts w:ascii="Arial" w:hAnsi="Arial" w:cs="Arial"/>
                <w:b/>
                <w:bCs/>
                <w:sz w:val="18"/>
                <w:szCs w:val="18"/>
              </w:rPr>
            </w:pPr>
            <w:r>
              <w:rPr>
                <w:rFonts w:ascii="Arial" w:hAnsi="Arial" w:cs="Arial"/>
                <w:b/>
                <w:bCs/>
                <w:sz w:val="18"/>
                <w:szCs w:val="18"/>
              </w:rPr>
              <w:t>26,463</w:t>
            </w:r>
          </w:p>
        </w:tc>
        <w:tc>
          <w:tcPr>
            <w:tcW w:w="1556" w:type="dxa"/>
            <w:tcBorders>
              <w:top w:val="nil"/>
              <w:left w:val="nil"/>
              <w:bottom w:val="nil"/>
              <w:right w:val="nil"/>
            </w:tcBorders>
            <w:shd w:val="clear" w:color="FFFFFF" w:fill="FFFFFF"/>
            <w:noWrap/>
            <w:vAlign w:val="bottom"/>
            <w:hideMark/>
          </w:tcPr>
          <w:p w14:paraId="146587B0" w14:textId="77777777" w:rsidR="00A43992" w:rsidRDefault="00A43992" w:rsidP="007211E3">
            <w:pPr>
              <w:jc w:val="right"/>
              <w:rPr>
                <w:rFonts w:ascii="Arial" w:hAnsi="Arial" w:cs="Arial"/>
                <w:sz w:val="18"/>
                <w:szCs w:val="18"/>
              </w:rPr>
            </w:pPr>
            <w:r>
              <w:rPr>
                <w:rFonts w:ascii="Arial" w:hAnsi="Arial" w:cs="Arial"/>
                <w:sz w:val="18"/>
                <w:szCs w:val="18"/>
              </w:rPr>
              <w:t>20,461</w:t>
            </w:r>
          </w:p>
        </w:tc>
        <w:tc>
          <w:tcPr>
            <w:tcW w:w="1556" w:type="dxa"/>
            <w:tcBorders>
              <w:top w:val="nil"/>
              <w:left w:val="nil"/>
              <w:bottom w:val="nil"/>
              <w:right w:val="nil"/>
            </w:tcBorders>
            <w:shd w:val="clear" w:color="FFFFFF" w:fill="FFFFFF"/>
            <w:noWrap/>
            <w:vAlign w:val="bottom"/>
            <w:hideMark/>
          </w:tcPr>
          <w:p w14:paraId="1613398A" w14:textId="77777777" w:rsidR="00A43992" w:rsidRDefault="00A43992" w:rsidP="007211E3">
            <w:pPr>
              <w:jc w:val="right"/>
              <w:rPr>
                <w:rFonts w:ascii="Arial" w:hAnsi="Arial" w:cs="Arial"/>
                <w:b/>
                <w:bCs/>
                <w:sz w:val="18"/>
                <w:szCs w:val="18"/>
              </w:rPr>
            </w:pPr>
            <w:r>
              <w:rPr>
                <w:rFonts w:ascii="Arial" w:hAnsi="Arial" w:cs="Arial"/>
                <w:b/>
                <w:bCs/>
                <w:sz w:val="18"/>
                <w:szCs w:val="18"/>
              </w:rPr>
              <w:t>1,456</w:t>
            </w:r>
          </w:p>
        </w:tc>
        <w:tc>
          <w:tcPr>
            <w:tcW w:w="1556" w:type="dxa"/>
            <w:tcBorders>
              <w:top w:val="nil"/>
              <w:left w:val="nil"/>
              <w:bottom w:val="nil"/>
              <w:right w:val="nil"/>
            </w:tcBorders>
            <w:shd w:val="clear" w:color="FFFFFF" w:fill="FFFFFF"/>
            <w:noWrap/>
            <w:vAlign w:val="bottom"/>
            <w:hideMark/>
          </w:tcPr>
          <w:p w14:paraId="7A932B5C" w14:textId="77777777" w:rsidR="00A43992" w:rsidRDefault="00A43992" w:rsidP="007211E3">
            <w:pPr>
              <w:jc w:val="right"/>
              <w:rPr>
                <w:rFonts w:ascii="Arial" w:hAnsi="Arial" w:cs="Arial"/>
                <w:sz w:val="18"/>
                <w:szCs w:val="18"/>
              </w:rPr>
            </w:pPr>
            <w:r>
              <w:rPr>
                <w:rFonts w:ascii="Arial" w:hAnsi="Arial" w:cs="Arial"/>
                <w:sz w:val="18"/>
                <w:szCs w:val="18"/>
              </w:rPr>
              <w:t>897</w:t>
            </w:r>
          </w:p>
        </w:tc>
        <w:tc>
          <w:tcPr>
            <w:tcW w:w="1556" w:type="dxa"/>
            <w:tcBorders>
              <w:top w:val="nil"/>
              <w:left w:val="nil"/>
              <w:bottom w:val="nil"/>
              <w:right w:val="nil"/>
            </w:tcBorders>
            <w:shd w:val="clear" w:color="FFFFFF" w:fill="FFFFFF"/>
            <w:noWrap/>
            <w:vAlign w:val="bottom"/>
            <w:hideMark/>
          </w:tcPr>
          <w:p w14:paraId="7AF36C84" w14:textId="77777777" w:rsidR="00A43992" w:rsidRDefault="00A43992" w:rsidP="007211E3">
            <w:pPr>
              <w:jc w:val="right"/>
              <w:rPr>
                <w:rFonts w:ascii="Arial" w:hAnsi="Arial" w:cs="Arial"/>
                <w:b/>
                <w:bCs/>
                <w:sz w:val="18"/>
                <w:szCs w:val="18"/>
              </w:rPr>
            </w:pPr>
            <w:r>
              <w:rPr>
                <w:rFonts w:ascii="Arial" w:hAnsi="Arial" w:cs="Arial"/>
                <w:b/>
                <w:bCs/>
                <w:sz w:val="18"/>
                <w:szCs w:val="18"/>
              </w:rPr>
              <w:t>27,919</w:t>
            </w:r>
          </w:p>
        </w:tc>
        <w:tc>
          <w:tcPr>
            <w:tcW w:w="1556" w:type="dxa"/>
            <w:tcBorders>
              <w:top w:val="nil"/>
              <w:left w:val="nil"/>
              <w:bottom w:val="nil"/>
              <w:right w:val="nil"/>
            </w:tcBorders>
            <w:shd w:val="clear" w:color="FFFFFF" w:fill="FFFFFF"/>
            <w:noWrap/>
            <w:vAlign w:val="bottom"/>
            <w:hideMark/>
          </w:tcPr>
          <w:p w14:paraId="67970D25" w14:textId="77777777" w:rsidR="00A43992" w:rsidRDefault="00A43992" w:rsidP="007211E3">
            <w:pPr>
              <w:jc w:val="right"/>
              <w:rPr>
                <w:rFonts w:ascii="Arial" w:hAnsi="Arial" w:cs="Arial"/>
                <w:sz w:val="18"/>
                <w:szCs w:val="18"/>
              </w:rPr>
            </w:pPr>
            <w:r>
              <w:rPr>
                <w:rFonts w:ascii="Arial" w:hAnsi="Arial" w:cs="Arial"/>
                <w:sz w:val="18"/>
                <w:szCs w:val="18"/>
              </w:rPr>
              <w:t>21,358</w:t>
            </w:r>
          </w:p>
        </w:tc>
      </w:tr>
      <w:tr w:rsidR="00A43992" w14:paraId="0BC1EB00" w14:textId="77777777" w:rsidTr="007211E3">
        <w:trPr>
          <w:trHeight w:val="255"/>
        </w:trPr>
        <w:tc>
          <w:tcPr>
            <w:tcW w:w="4376" w:type="dxa"/>
            <w:tcBorders>
              <w:top w:val="nil"/>
              <w:left w:val="nil"/>
              <w:bottom w:val="nil"/>
              <w:right w:val="nil"/>
            </w:tcBorders>
            <w:shd w:val="clear" w:color="FFFFFF" w:fill="FFFFFF"/>
            <w:vAlign w:val="bottom"/>
            <w:hideMark/>
          </w:tcPr>
          <w:p w14:paraId="3C54DB08" w14:textId="77777777" w:rsidR="00A43992" w:rsidRDefault="00A43992" w:rsidP="007211E3">
            <w:pPr>
              <w:rPr>
                <w:rFonts w:ascii="Arial" w:hAnsi="Arial" w:cs="Arial"/>
                <w:sz w:val="18"/>
                <w:szCs w:val="18"/>
              </w:rPr>
            </w:pPr>
            <w:r>
              <w:rPr>
                <w:rFonts w:ascii="Arial" w:hAnsi="Arial" w:cs="Arial"/>
                <w:sz w:val="18"/>
                <w:szCs w:val="18"/>
              </w:rPr>
              <w:t>Purchases</w:t>
            </w:r>
          </w:p>
        </w:tc>
        <w:tc>
          <w:tcPr>
            <w:tcW w:w="1556" w:type="dxa"/>
            <w:tcBorders>
              <w:top w:val="nil"/>
              <w:left w:val="nil"/>
              <w:bottom w:val="nil"/>
              <w:right w:val="nil"/>
            </w:tcBorders>
            <w:shd w:val="clear" w:color="FFFFFF" w:fill="FFFFFF"/>
            <w:noWrap/>
            <w:vAlign w:val="bottom"/>
            <w:hideMark/>
          </w:tcPr>
          <w:p w14:paraId="1E63929B" w14:textId="77777777" w:rsidR="00A43992" w:rsidRDefault="00A43992" w:rsidP="007211E3">
            <w:pPr>
              <w:jc w:val="right"/>
              <w:rPr>
                <w:rFonts w:ascii="Arial" w:hAnsi="Arial" w:cs="Arial"/>
                <w:b/>
                <w:bCs/>
                <w:sz w:val="18"/>
                <w:szCs w:val="18"/>
              </w:rPr>
            </w:pPr>
            <w:r>
              <w:rPr>
                <w:rFonts w:ascii="Arial" w:hAnsi="Arial" w:cs="Arial"/>
                <w:b/>
                <w:bCs/>
                <w:sz w:val="18"/>
                <w:szCs w:val="18"/>
              </w:rPr>
              <w:t>3,829</w:t>
            </w:r>
          </w:p>
        </w:tc>
        <w:tc>
          <w:tcPr>
            <w:tcW w:w="1556" w:type="dxa"/>
            <w:tcBorders>
              <w:top w:val="nil"/>
              <w:left w:val="nil"/>
              <w:bottom w:val="nil"/>
              <w:right w:val="nil"/>
            </w:tcBorders>
            <w:shd w:val="clear" w:color="FFFFFF" w:fill="FFFFFF"/>
            <w:noWrap/>
            <w:vAlign w:val="bottom"/>
            <w:hideMark/>
          </w:tcPr>
          <w:p w14:paraId="6CFC0FD5" w14:textId="77777777" w:rsidR="00A43992" w:rsidRDefault="00A43992" w:rsidP="007211E3">
            <w:pPr>
              <w:jc w:val="right"/>
              <w:rPr>
                <w:rFonts w:ascii="Arial" w:hAnsi="Arial" w:cs="Arial"/>
                <w:sz w:val="18"/>
                <w:szCs w:val="18"/>
              </w:rPr>
            </w:pPr>
            <w:r>
              <w:rPr>
                <w:rFonts w:ascii="Arial" w:hAnsi="Arial" w:cs="Arial"/>
                <w:sz w:val="18"/>
                <w:szCs w:val="18"/>
              </w:rPr>
              <w:t>13,088</w:t>
            </w:r>
          </w:p>
        </w:tc>
        <w:tc>
          <w:tcPr>
            <w:tcW w:w="1556" w:type="dxa"/>
            <w:tcBorders>
              <w:top w:val="nil"/>
              <w:left w:val="nil"/>
              <w:bottom w:val="nil"/>
              <w:right w:val="nil"/>
            </w:tcBorders>
            <w:shd w:val="clear" w:color="FFFFFF" w:fill="FFFFFF"/>
            <w:noWrap/>
            <w:vAlign w:val="bottom"/>
            <w:hideMark/>
          </w:tcPr>
          <w:p w14:paraId="1CF8622E" w14:textId="77777777" w:rsidR="00A43992" w:rsidRDefault="00A43992" w:rsidP="007211E3">
            <w:pPr>
              <w:jc w:val="right"/>
              <w:rPr>
                <w:rFonts w:ascii="Arial" w:hAnsi="Arial" w:cs="Arial"/>
                <w:b/>
                <w:bCs/>
                <w:sz w:val="18"/>
                <w:szCs w:val="18"/>
              </w:rPr>
            </w:pPr>
            <w:r>
              <w:rPr>
                <w:rFonts w:ascii="Arial" w:hAnsi="Arial" w:cs="Arial"/>
                <w:b/>
                <w:bCs/>
                <w:sz w:val="18"/>
                <w:szCs w:val="18"/>
              </w:rPr>
              <w:t>396</w:t>
            </w:r>
          </w:p>
        </w:tc>
        <w:tc>
          <w:tcPr>
            <w:tcW w:w="1556" w:type="dxa"/>
            <w:tcBorders>
              <w:top w:val="nil"/>
              <w:left w:val="nil"/>
              <w:bottom w:val="nil"/>
              <w:right w:val="nil"/>
            </w:tcBorders>
            <w:shd w:val="clear" w:color="FFFFFF" w:fill="FFFFFF"/>
            <w:noWrap/>
            <w:vAlign w:val="bottom"/>
            <w:hideMark/>
          </w:tcPr>
          <w:p w14:paraId="7FDB45AA" w14:textId="77777777" w:rsidR="00A43992" w:rsidRDefault="00A43992" w:rsidP="007211E3">
            <w:pPr>
              <w:jc w:val="right"/>
              <w:rPr>
                <w:rFonts w:ascii="Arial" w:hAnsi="Arial" w:cs="Arial"/>
                <w:sz w:val="18"/>
                <w:szCs w:val="18"/>
              </w:rPr>
            </w:pPr>
            <w:r>
              <w:rPr>
                <w:rFonts w:ascii="Arial" w:hAnsi="Arial" w:cs="Arial"/>
                <w:sz w:val="18"/>
                <w:szCs w:val="18"/>
              </w:rPr>
              <w:t>1,179</w:t>
            </w:r>
          </w:p>
        </w:tc>
        <w:tc>
          <w:tcPr>
            <w:tcW w:w="1556" w:type="dxa"/>
            <w:tcBorders>
              <w:top w:val="nil"/>
              <w:left w:val="nil"/>
              <w:bottom w:val="nil"/>
              <w:right w:val="nil"/>
            </w:tcBorders>
            <w:shd w:val="clear" w:color="FFFFFF" w:fill="FFFFFF"/>
            <w:noWrap/>
            <w:vAlign w:val="bottom"/>
            <w:hideMark/>
          </w:tcPr>
          <w:p w14:paraId="1A0C8B7D" w14:textId="77777777" w:rsidR="00A43992" w:rsidRDefault="00A43992" w:rsidP="007211E3">
            <w:pPr>
              <w:jc w:val="right"/>
              <w:rPr>
                <w:rFonts w:ascii="Arial" w:hAnsi="Arial" w:cs="Arial"/>
                <w:b/>
                <w:bCs/>
                <w:sz w:val="18"/>
                <w:szCs w:val="18"/>
              </w:rPr>
            </w:pPr>
            <w:r>
              <w:rPr>
                <w:rFonts w:ascii="Arial" w:hAnsi="Arial" w:cs="Arial"/>
                <w:b/>
                <w:bCs/>
                <w:sz w:val="18"/>
                <w:szCs w:val="18"/>
              </w:rPr>
              <w:t>4,225</w:t>
            </w:r>
          </w:p>
        </w:tc>
        <w:tc>
          <w:tcPr>
            <w:tcW w:w="1556" w:type="dxa"/>
            <w:tcBorders>
              <w:top w:val="nil"/>
              <w:left w:val="nil"/>
              <w:bottom w:val="nil"/>
              <w:right w:val="nil"/>
            </w:tcBorders>
            <w:shd w:val="clear" w:color="FFFFFF" w:fill="FFFFFF"/>
            <w:noWrap/>
            <w:vAlign w:val="bottom"/>
            <w:hideMark/>
          </w:tcPr>
          <w:p w14:paraId="6E4FF048" w14:textId="77777777" w:rsidR="00A43992" w:rsidRDefault="00A43992" w:rsidP="007211E3">
            <w:pPr>
              <w:jc w:val="right"/>
              <w:rPr>
                <w:rFonts w:ascii="Arial" w:hAnsi="Arial" w:cs="Arial"/>
                <w:sz w:val="18"/>
                <w:szCs w:val="18"/>
              </w:rPr>
            </w:pPr>
            <w:r>
              <w:rPr>
                <w:rFonts w:ascii="Arial" w:hAnsi="Arial" w:cs="Arial"/>
                <w:sz w:val="18"/>
                <w:szCs w:val="18"/>
              </w:rPr>
              <w:t>14,267</w:t>
            </w:r>
          </w:p>
        </w:tc>
      </w:tr>
      <w:tr w:rsidR="00A43992" w14:paraId="3FFE2D93" w14:textId="77777777" w:rsidTr="007211E3">
        <w:trPr>
          <w:trHeight w:val="255"/>
        </w:trPr>
        <w:tc>
          <w:tcPr>
            <w:tcW w:w="4376" w:type="dxa"/>
            <w:tcBorders>
              <w:top w:val="nil"/>
              <w:left w:val="nil"/>
              <w:bottom w:val="nil"/>
              <w:right w:val="nil"/>
            </w:tcBorders>
            <w:shd w:val="clear" w:color="FFFFFF" w:fill="FFFFFF"/>
            <w:noWrap/>
            <w:vAlign w:val="bottom"/>
            <w:hideMark/>
          </w:tcPr>
          <w:p w14:paraId="296127C2" w14:textId="77777777" w:rsidR="00A43992" w:rsidRDefault="00A43992" w:rsidP="007211E3">
            <w:pPr>
              <w:rPr>
                <w:rFonts w:ascii="Arial" w:hAnsi="Arial" w:cs="Arial"/>
                <w:sz w:val="18"/>
                <w:szCs w:val="18"/>
              </w:rPr>
            </w:pPr>
            <w:r>
              <w:rPr>
                <w:rFonts w:ascii="Arial" w:hAnsi="Arial" w:cs="Arial"/>
                <w:sz w:val="18"/>
                <w:szCs w:val="18"/>
              </w:rPr>
              <w:t>Revaluations in other comprehensive income</w:t>
            </w:r>
          </w:p>
        </w:tc>
        <w:tc>
          <w:tcPr>
            <w:tcW w:w="1556" w:type="dxa"/>
            <w:tcBorders>
              <w:top w:val="nil"/>
              <w:left w:val="nil"/>
              <w:bottom w:val="nil"/>
              <w:right w:val="nil"/>
            </w:tcBorders>
            <w:shd w:val="clear" w:color="FFFFFF" w:fill="FFFFFF"/>
            <w:noWrap/>
            <w:vAlign w:val="bottom"/>
            <w:hideMark/>
          </w:tcPr>
          <w:p w14:paraId="0F3EFF44" w14:textId="77777777" w:rsidR="00A43992" w:rsidRDefault="00A43992" w:rsidP="007211E3">
            <w:pPr>
              <w:jc w:val="right"/>
              <w:rPr>
                <w:rFonts w:ascii="Arial" w:hAnsi="Arial" w:cs="Arial"/>
                <w:b/>
                <w:bCs/>
                <w:sz w:val="18"/>
                <w:szCs w:val="18"/>
              </w:rPr>
            </w:pPr>
            <w:r>
              <w:rPr>
                <w:rFonts w:ascii="Arial" w:hAnsi="Arial" w:cs="Arial"/>
                <w:b/>
                <w:bCs/>
                <w:sz w:val="18"/>
                <w:szCs w:val="18"/>
              </w:rPr>
              <w:t>1,881</w:t>
            </w:r>
          </w:p>
        </w:tc>
        <w:tc>
          <w:tcPr>
            <w:tcW w:w="1556" w:type="dxa"/>
            <w:tcBorders>
              <w:top w:val="nil"/>
              <w:left w:val="nil"/>
              <w:bottom w:val="nil"/>
              <w:right w:val="nil"/>
            </w:tcBorders>
            <w:shd w:val="clear" w:color="FFFFFF" w:fill="FFFFFF"/>
            <w:noWrap/>
            <w:vAlign w:val="bottom"/>
            <w:hideMark/>
          </w:tcPr>
          <w:p w14:paraId="7ED3999C" w14:textId="77777777" w:rsidR="00A43992" w:rsidRDefault="00A43992" w:rsidP="007211E3">
            <w:pPr>
              <w:jc w:val="right"/>
              <w:rPr>
                <w:rFonts w:ascii="Arial" w:hAnsi="Arial" w:cs="Arial"/>
                <w:sz w:val="18"/>
                <w:szCs w:val="18"/>
              </w:rPr>
            </w:pPr>
            <w:r>
              <w:rPr>
                <w:rFonts w:ascii="Arial" w:hAnsi="Arial" w:cs="Arial"/>
                <w:sz w:val="18"/>
                <w:szCs w:val="18"/>
              </w:rPr>
              <w:t>-</w:t>
            </w:r>
          </w:p>
        </w:tc>
        <w:tc>
          <w:tcPr>
            <w:tcW w:w="1556" w:type="dxa"/>
            <w:tcBorders>
              <w:top w:val="nil"/>
              <w:left w:val="nil"/>
              <w:bottom w:val="nil"/>
              <w:right w:val="nil"/>
            </w:tcBorders>
            <w:shd w:val="clear" w:color="FFFFFF" w:fill="FFFFFF"/>
            <w:noWrap/>
            <w:vAlign w:val="bottom"/>
            <w:hideMark/>
          </w:tcPr>
          <w:p w14:paraId="16B8E192" w14:textId="77777777" w:rsidR="00A43992" w:rsidRDefault="00A43992" w:rsidP="007211E3">
            <w:pPr>
              <w:jc w:val="right"/>
              <w:rPr>
                <w:rFonts w:ascii="Arial" w:hAnsi="Arial" w:cs="Arial"/>
                <w:b/>
                <w:bCs/>
                <w:sz w:val="18"/>
                <w:szCs w:val="18"/>
              </w:rPr>
            </w:pPr>
            <w:r>
              <w:rPr>
                <w:rFonts w:ascii="Arial" w:hAnsi="Arial" w:cs="Arial"/>
                <w:b/>
                <w:bCs/>
                <w:sz w:val="18"/>
                <w:szCs w:val="18"/>
              </w:rPr>
              <w:t>-</w:t>
            </w:r>
          </w:p>
        </w:tc>
        <w:tc>
          <w:tcPr>
            <w:tcW w:w="1556" w:type="dxa"/>
            <w:tcBorders>
              <w:top w:val="nil"/>
              <w:left w:val="nil"/>
              <w:bottom w:val="nil"/>
              <w:right w:val="nil"/>
            </w:tcBorders>
            <w:shd w:val="clear" w:color="FFFFFF" w:fill="FFFFFF"/>
            <w:noWrap/>
            <w:vAlign w:val="bottom"/>
            <w:hideMark/>
          </w:tcPr>
          <w:p w14:paraId="4DB26718" w14:textId="77777777" w:rsidR="00A43992" w:rsidRDefault="00A43992" w:rsidP="007211E3">
            <w:pPr>
              <w:jc w:val="right"/>
              <w:rPr>
                <w:rFonts w:ascii="Arial" w:hAnsi="Arial" w:cs="Arial"/>
                <w:sz w:val="18"/>
                <w:szCs w:val="18"/>
              </w:rPr>
            </w:pPr>
            <w:r>
              <w:rPr>
                <w:rFonts w:ascii="Arial" w:hAnsi="Arial" w:cs="Arial"/>
                <w:sz w:val="18"/>
                <w:szCs w:val="18"/>
              </w:rPr>
              <w:t>-</w:t>
            </w:r>
          </w:p>
        </w:tc>
        <w:tc>
          <w:tcPr>
            <w:tcW w:w="1556" w:type="dxa"/>
            <w:tcBorders>
              <w:top w:val="nil"/>
              <w:left w:val="nil"/>
              <w:bottom w:val="nil"/>
              <w:right w:val="nil"/>
            </w:tcBorders>
            <w:shd w:val="clear" w:color="FFFFFF" w:fill="FFFFFF"/>
            <w:noWrap/>
            <w:vAlign w:val="bottom"/>
            <w:hideMark/>
          </w:tcPr>
          <w:p w14:paraId="5029E161" w14:textId="77777777" w:rsidR="00A43992" w:rsidRDefault="00A43992" w:rsidP="007211E3">
            <w:pPr>
              <w:jc w:val="right"/>
              <w:rPr>
                <w:rFonts w:ascii="Arial" w:hAnsi="Arial" w:cs="Arial"/>
                <w:b/>
                <w:bCs/>
                <w:sz w:val="18"/>
                <w:szCs w:val="18"/>
              </w:rPr>
            </w:pPr>
            <w:r>
              <w:rPr>
                <w:rFonts w:ascii="Arial" w:hAnsi="Arial" w:cs="Arial"/>
                <w:b/>
                <w:bCs/>
                <w:sz w:val="18"/>
                <w:szCs w:val="18"/>
              </w:rPr>
              <w:t>1,881</w:t>
            </w:r>
          </w:p>
        </w:tc>
        <w:tc>
          <w:tcPr>
            <w:tcW w:w="1556" w:type="dxa"/>
            <w:tcBorders>
              <w:top w:val="nil"/>
              <w:left w:val="nil"/>
              <w:bottom w:val="nil"/>
              <w:right w:val="nil"/>
            </w:tcBorders>
            <w:shd w:val="clear" w:color="FFFFFF" w:fill="FFFFFF"/>
            <w:noWrap/>
            <w:vAlign w:val="bottom"/>
            <w:hideMark/>
          </w:tcPr>
          <w:p w14:paraId="71B82206" w14:textId="77777777" w:rsidR="00A43992" w:rsidRDefault="00A43992" w:rsidP="007211E3">
            <w:pPr>
              <w:jc w:val="right"/>
              <w:rPr>
                <w:rFonts w:ascii="Arial" w:hAnsi="Arial" w:cs="Arial"/>
                <w:sz w:val="18"/>
                <w:szCs w:val="18"/>
              </w:rPr>
            </w:pPr>
            <w:r>
              <w:rPr>
                <w:rFonts w:ascii="Arial" w:hAnsi="Arial" w:cs="Arial"/>
                <w:sz w:val="18"/>
                <w:szCs w:val="18"/>
              </w:rPr>
              <w:t>-</w:t>
            </w:r>
          </w:p>
        </w:tc>
      </w:tr>
      <w:tr w:rsidR="00A43992" w14:paraId="1046628C" w14:textId="77777777" w:rsidTr="007211E3">
        <w:trPr>
          <w:trHeight w:val="255"/>
        </w:trPr>
        <w:tc>
          <w:tcPr>
            <w:tcW w:w="4376" w:type="dxa"/>
            <w:tcBorders>
              <w:top w:val="nil"/>
              <w:left w:val="nil"/>
              <w:bottom w:val="nil"/>
              <w:right w:val="nil"/>
            </w:tcBorders>
            <w:shd w:val="clear" w:color="FFFFFF" w:fill="FFFFFF"/>
            <w:vAlign w:val="bottom"/>
            <w:hideMark/>
          </w:tcPr>
          <w:p w14:paraId="152741BD" w14:textId="77777777" w:rsidR="00A43992" w:rsidRDefault="00A43992" w:rsidP="007211E3">
            <w:pPr>
              <w:rPr>
                <w:rFonts w:ascii="Arial" w:hAnsi="Arial" w:cs="Arial"/>
                <w:sz w:val="18"/>
                <w:szCs w:val="18"/>
              </w:rPr>
            </w:pPr>
            <w:r>
              <w:rPr>
                <w:rFonts w:ascii="Arial" w:hAnsi="Arial" w:cs="Arial"/>
                <w:sz w:val="18"/>
                <w:szCs w:val="18"/>
              </w:rPr>
              <w:t xml:space="preserve">Assets first found </w:t>
            </w:r>
            <w:proofErr w:type="spellStart"/>
            <w:r>
              <w:rPr>
                <w:rFonts w:ascii="Arial" w:hAnsi="Arial" w:cs="Arial"/>
                <w:sz w:val="18"/>
                <w:szCs w:val="18"/>
              </w:rPr>
              <w:t>recognised</w:t>
            </w:r>
            <w:proofErr w:type="spellEnd"/>
          </w:p>
        </w:tc>
        <w:tc>
          <w:tcPr>
            <w:tcW w:w="1556" w:type="dxa"/>
            <w:tcBorders>
              <w:top w:val="nil"/>
              <w:left w:val="nil"/>
              <w:bottom w:val="nil"/>
              <w:right w:val="nil"/>
            </w:tcBorders>
            <w:shd w:val="clear" w:color="FFFFFF" w:fill="FFFFFF"/>
            <w:noWrap/>
            <w:vAlign w:val="bottom"/>
            <w:hideMark/>
          </w:tcPr>
          <w:p w14:paraId="1E11A144" w14:textId="77777777" w:rsidR="00A43992" w:rsidRDefault="00A43992" w:rsidP="007211E3">
            <w:pPr>
              <w:jc w:val="right"/>
              <w:rPr>
                <w:rFonts w:ascii="Arial" w:hAnsi="Arial" w:cs="Arial"/>
                <w:b/>
                <w:bCs/>
                <w:sz w:val="18"/>
                <w:szCs w:val="18"/>
              </w:rPr>
            </w:pPr>
            <w:r>
              <w:rPr>
                <w:rFonts w:ascii="Arial" w:hAnsi="Arial" w:cs="Arial"/>
                <w:b/>
                <w:bCs/>
                <w:sz w:val="18"/>
                <w:szCs w:val="18"/>
              </w:rPr>
              <w:t>-</w:t>
            </w:r>
          </w:p>
        </w:tc>
        <w:tc>
          <w:tcPr>
            <w:tcW w:w="1556" w:type="dxa"/>
            <w:tcBorders>
              <w:top w:val="nil"/>
              <w:left w:val="nil"/>
              <w:bottom w:val="nil"/>
              <w:right w:val="nil"/>
            </w:tcBorders>
            <w:shd w:val="clear" w:color="FFFFFF" w:fill="FFFFFF"/>
            <w:noWrap/>
            <w:vAlign w:val="bottom"/>
            <w:hideMark/>
          </w:tcPr>
          <w:p w14:paraId="25646A9F" w14:textId="77777777" w:rsidR="00A43992" w:rsidRDefault="00A43992" w:rsidP="007211E3">
            <w:pPr>
              <w:jc w:val="right"/>
              <w:rPr>
                <w:rFonts w:ascii="Arial" w:hAnsi="Arial" w:cs="Arial"/>
                <w:sz w:val="18"/>
                <w:szCs w:val="18"/>
              </w:rPr>
            </w:pPr>
            <w:r>
              <w:rPr>
                <w:rFonts w:ascii="Arial" w:hAnsi="Arial" w:cs="Arial"/>
                <w:sz w:val="18"/>
                <w:szCs w:val="18"/>
              </w:rPr>
              <w:t>-</w:t>
            </w:r>
          </w:p>
        </w:tc>
        <w:tc>
          <w:tcPr>
            <w:tcW w:w="1556" w:type="dxa"/>
            <w:tcBorders>
              <w:top w:val="nil"/>
              <w:left w:val="nil"/>
              <w:bottom w:val="nil"/>
              <w:right w:val="nil"/>
            </w:tcBorders>
            <w:shd w:val="clear" w:color="FFFFFF" w:fill="FFFFFF"/>
            <w:noWrap/>
            <w:vAlign w:val="bottom"/>
            <w:hideMark/>
          </w:tcPr>
          <w:p w14:paraId="185B2317" w14:textId="77777777" w:rsidR="00A43992" w:rsidRDefault="00A43992" w:rsidP="007211E3">
            <w:pPr>
              <w:jc w:val="right"/>
              <w:rPr>
                <w:rFonts w:ascii="Arial" w:hAnsi="Arial" w:cs="Arial"/>
                <w:b/>
                <w:bCs/>
                <w:sz w:val="18"/>
                <w:szCs w:val="18"/>
              </w:rPr>
            </w:pPr>
            <w:r>
              <w:rPr>
                <w:rFonts w:ascii="Arial" w:hAnsi="Arial" w:cs="Arial"/>
                <w:b/>
                <w:bCs/>
                <w:sz w:val="18"/>
                <w:szCs w:val="18"/>
              </w:rPr>
              <w:t>143</w:t>
            </w:r>
          </w:p>
        </w:tc>
        <w:tc>
          <w:tcPr>
            <w:tcW w:w="1556" w:type="dxa"/>
            <w:tcBorders>
              <w:top w:val="nil"/>
              <w:left w:val="nil"/>
              <w:bottom w:val="nil"/>
              <w:right w:val="nil"/>
            </w:tcBorders>
            <w:shd w:val="clear" w:color="FFFFFF" w:fill="FFFFFF"/>
            <w:noWrap/>
            <w:vAlign w:val="bottom"/>
            <w:hideMark/>
          </w:tcPr>
          <w:p w14:paraId="7B5DEE36" w14:textId="77777777" w:rsidR="00A43992" w:rsidRDefault="00A43992" w:rsidP="007211E3">
            <w:pPr>
              <w:jc w:val="right"/>
              <w:rPr>
                <w:rFonts w:ascii="Arial" w:hAnsi="Arial" w:cs="Arial"/>
                <w:sz w:val="18"/>
                <w:szCs w:val="18"/>
              </w:rPr>
            </w:pPr>
            <w:r>
              <w:rPr>
                <w:rFonts w:ascii="Arial" w:hAnsi="Arial" w:cs="Arial"/>
                <w:sz w:val="18"/>
                <w:szCs w:val="18"/>
              </w:rPr>
              <w:t>206</w:t>
            </w:r>
          </w:p>
        </w:tc>
        <w:tc>
          <w:tcPr>
            <w:tcW w:w="1556" w:type="dxa"/>
            <w:tcBorders>
              <w:top w:val="nil"/>
              <w:left w:val="nil"/>
              <w:bottom w:val="nil"/>
              <w:right w:val="nil"/>
            </w:tcBorders>
            <w:shd w:val="clear" w:color="FFFFFF" w:fill="FFFFFF"/>
            <w:noWrap/>
            <w:vAlign w:val="bottom"/>
            <w:hideMark/>
          </w:tcPr>
          <w:p w14:paraId="5D888B0C" w14:textId="77777777" w:rsidR="00A43992" w:rsidRDefault="00A43992" w:rsidP="007211E3">
            <w:pPr>
              <w:jc w:val="right"/>
              <w:rPr>
                <w:rFonts w:ascii="Arial" w:hAnsi="Arial" w:cs="Arial"/>
                <w:b/>
                <w:bCs/>
                <w:sz w:val="18"/>
                <w:szCs w:val="18"/>
              </w:rPr>
            </w:pPr>
            <w:r>
              <w:rPr>
                <w:rFonts w:ascii="Arial" w:hAnsi="Arial" w:cs="Arial"/>
                <w:b/>
                <w:bCs/>
                <w:sz w:val="18"/>
                <w:szCs w:val="18"/>
              </w:rPr>
              <w:t>143</w:t>
            </w:r>
          </w:p>
        </w:tc>
        <w:tc>
          <w:tcPr>
            <w:tcW w:w="1556" w:type="dxa"/>
            <w:tcBorders>
              <w:top w:val="nil"/>
              <w:left w:val="nil"/>
              <w:bottom w:val="nil"/>
              <w:right w:val="nil"/>
            </w:tcBorders>
            <w:shd w:val="clear" w:color="FFFFFF" w:fill="FFFFFF"/>
            <w:noWrap/>
            <w:vAlign w:val="bottom"/>
            <w:hideMark/>
          </w:tcPr>
          <w:p w14:paraId="5A4B27E5" w14:textId="77777777" w:rsidR="00A43992" w:rsidRDefault="00A43992" w:rsidP="007211E3">
            <w:pPr>
              <w:jc w:val="right"/>
              <w:rPr>
                <w:rFonts w:ascii="Arial" w:hAnsi="Arial" w:cs="Arial"/>
                <w:sz w:val="18"/>
                <w:szCs w:val="18"/>
              </w:rPr>
            </w:pPr>
            <w:r>
              <w:rPr>
                <w:rFonts w:ascii="Arial" w:hAnsi="Arial" w:cs="Arial"/>
                <w:sz w:val="18"/>
                <w:szCs w:val="18"/>
              </w:rPr>
              <w:t>206</w:t>
            </w:r>
          </w:p>
        </w:tc>
      </w:tr>
      <w:tr w:rsidR="00A43992" w14:paraId="483F87B1" w14:textId="77777777" w:rsidTr="007211E3">
        <w:trPr>
          <w:trHeight w:val="255"/>
        </w:trPr>
        <w:tc>
          <w:tcPr>
            <w:tcW w:w="4376" w:type="dxa"/>
            <w:tcBorders>
              <w:top w:val="nil"/>
              <w:left w:val="nil"/>
              <w:bottom w:val="nil"/>
              <w:right w:val="nil"/>
            </w:tcBorders>
            <w:shd w:val="clear" w:color="FFFFFF" w:fill="FFFFFF"/>
            <w:vAlign w:val="bottom"/>
            <w:hideMark/>
          </w:tcPr>
          <w:p w14:paraId="773F4CFA" w14:textId="77777777" w:rsidR="00A43992" w:rsidRDefault="00A43992" w:rsidP="007211E3">
            <w:pPr>
              <w:rPr>
                <w:rFonts w:ascii="Arial" w:hAnsi="Arial" w:cs="Arial"/>
                <w:sz w:val="18"/>
                <w:szCs w:val="18"/>
              </w:rPr>
            </w:pPr>
            <w:r>
              <w:rPr>
                <w:rFonts w:ascii="Arial" w:hAnsi="Arial" w:cs="Arial"/>
                <w:sz w:val="18"/>
                <w:szCs w:val="18"/>
              </w:rPr>
              <w:t>Write offs</w:t>
            </w:r>
          </w:p>
        </w:tc>
        <w:tc>
          <w:tcPr>
            <w:tcW w:w="1556" w:type="dxa"/>
            <w:tcBorders>
              <w:top w:val="nil"/>
              <w:left w:val="nil"/>
              <w:bottom w:val="nil"/>
              <w:right w:val="nil"/>
            </w:tcBorders>
            <w:shd w:val="clear" w:color="FFFFFF" w:fill="FFFFFF"/>
            <w:noWrap/>
            <w:vAlign w:val="bottom"/>
            <w:hideMark/>
          </w:tcPr>
          <w:p w14:paraId="527914E5" w14:textId="77777777" w:rsidR="00A43992" w:rsidRDefault="00A43992" w:rsidP="007211E3">
            <w:pPr>
              <w:jc w:val="right"/>
              <w:rPr>
                <w:rFonts w:ascii="Arial" w:hAnsi="Arial" w:cs="Arial"/>
                <w:b/>
                <w:bCs/>
                <w:sz w:val="18"/>
                <w:szCs w:val="18"/>
              </w:rPr>
            </w:pPr>
            <w:r>
              <w:rPr>
                <w:rFonts w:ascii="Arial" w:hAnsi="Arial" w:cs="Arial"/>
                <w:b/>
                <w:bCs/>
                <w:sz w:val="18"/>
                <w:szCs w:val="18"/>
              </w:rPr>
              <w:t>(106)</w:t>
            </w:r>
          </w:p>
        </w:tc>
        <w:tc>
          <w:tcPr>
            <w:tcW w:w="1556" w:type="dxa"/>
            <w:tcBorders>
              <w:top w:val="nil"/>
              <w:left w:val="nil"/>
              <w:bottom w:val="nil"/>
              <w:right w:val="nil"/>
            </w:tcBorders>
            <w:shd w:val="clear" w:color="FFFFFF" w:fill="FFFFFF"/>
            <w:noWrap/>
            <w:vAlign w:val="bottom"/>
            <w:hideMark/>
          </w:tcPr>
          <w:p w14:paraId="0A237B9F" w14:textId="77777777" w:rsidR="00A43992" w:rsidRDefault="00A43992" w:rsidP="007211E3">
            <w:pPr>
              <w:jc w:val="right"/>
              <w:rPr>
                <w:rFonts w:ascii="Arial" w:hAnsi="Arial" w:cs="Arial"/>
                <w:sz w:val="18"/>
                <w:szCs w:val="18"/>
              </w:rPr>
            </w:pPr>
            <w:r>
              <w:rPr>
                <w:rFonts w:ascii="Arial" w:hAnsi="Arial" w:cs="Arial"/>
                <w:sz w:val="18"/>
                <w:szCs w:val="18"/>
              </w:rPr>
              <w:t>-</w:t>
            </w:r>
          </w:p>
        </w:tc>
        <w:tc>
          <w:tcPr>
            <w:tcW w:w="1556" w:type="dxa"/>
            <w:tcBorders>
              <w:top w:val="nil"/>
              <w:left w:val="nil"/>
              <w:bottom w:val="nil"/>
              <w:right w:val="nil"/>
            </w:tcBorders>
            <w:shd w:val="clear" w:color="FFFFFF" w:fill="FFFFFF"/>
            <w:noWrap/>
            <w:vAlign w:val="bottom"/>
            <w:hideMark/>
          </w:tcPr>
          <w:p w14:paraId="0E4A41DB" w14:textId="77777777" w:rsidR="00A43992" w:rsidRDefault="00A43992" w:rsidP="007211E3">
            <w:pPr>
              <w:jc w:val="right"/>
              <w:rPr>
                <w:rFonts w:ascii="Arial" w:hAnsi="Arial" w:cs="Arial"/>
                <w:b/>
                <w:bCs/>
                <w:sz w:val="18"/>
                <w:szCs w:val="18"/>
              </w:rPr>
            </w:pPr>
            <w:r>
              <w:rPr>
                <w:rFonts w:ascii="Arial" w:hAnsi="Arial" w:cs="Arial"/>
                <w:b/>
                <w:bCs/>
                <w:sz w:val="18"/>
                <w:szCs w:val="18"/>
              </w:rPr>
              <w:t>(178)</w:t>
            </w:r>
          </w:p>
        </w:tc>
        <w:tc>
          <w:tcPr>
            <w:tcW w:w="1556" w:type="dxa"/>
            <w:tcBorders>
              <w:top w:val="nil"/>
              <w:left w:val="nil"/>
              <w:bottom w:val="nil"/>
              <w:right w:val="nil"/>
            </w:tcBorders>
            <w:shd w:val="clear" w:color="FFFFFF" w:fill="FFFFFF"/>
            <w:noWrap/>
            <w:vAlign w:val="bottom"/>
            <w:hideMark/>
          </w:tcPr>
          <w:p w14:paraId="51CD1FC9" w14:textId="77777777" w:rsidR="00A43992" w:rsidRDefault="00A43992" w:rsidP="007211E3">
            <w:pPr>
              <w:jc w:val="right"/>
              <w:rPr>
                <w:rFonts w:ascii="Arial" w:hAnsi="Arial" w:cs="Arial"/>
                <w:sz w:val="18"/>
                <w:szCs w:val="18"/>
              </w:rPr>
            </w:pPr>
            <w:r>
              <w:rPr>
                <w:rFonts w:ascii="Arial" w:hAnsi="Arial" w:cs="Arial"/>
                <w:sz w:val="18"/>
                <w:szCs w:val="18"/>
              </w:rPr>
              <w:t>(35)</w:t>
            </w:r>
          </w:p>
        </w:tc>
        <w:tc>
          <w:tcPr>
            <w:tcW w:w="1556" w:type="dxa"/>
            <w:tcBorders>
              <w:top w:val="nil"/>
              <w:left w:val="nil"/>
              <w:bottom w:val="nil"/>
              <w:right w:val="nil"/>
            </w:tcBorders>
            <w:shd w:val="clear" w:color="FFFFFF" w:fill="FFFFFF"/>
            <w:noWrap/>
            <w:vAlign w:val="bottom"/>
            <w:hideMark/>
          </w:tcPr>
          <w:p w14:paraId="454948D2" w14:textId="77777777" w:rsidR="00A43992" w:rsidRDefault="00A43992" w:rsidP="007211E3">
            <w:pPr>
              <w:jc w:val="right"/>
              <w:rPr>
                <w:rFonts w:ascii="Arial" w:hAnsi="Arial" w:cs="Arial"/>
                <w:b/>
                <w:bCs/>
                <w:sz w:val="18"/>
                <w:szCs w:val="18"/>
              </w:rPr>
            </w:pPr>
            <w:r>
              <w:rPr>
                <w:rFonts w:ascii="Arial" w:hAnsi="Arial" w:cs="Arial"/>
                <w:b/>
                <w:bCs/>
                <w:sz w:val="18"/>
                <w:szCs w:val="18"/>
              </w:rPr>
              <w:t>(284)</w:t>
            </w:r>
          </w:p>
        </w:tc>
        <w:tc>
          <w:tcPr>
            <w:tcW w:w="1556" w:type="dxa"/>
            <w:tcBorders>
              <w:top w:val="nil"/>
              <w:left w:val="nil"/>
              <w:bottom w:val="nil"/>
              <w:right w:val="nil"/>
            </w:tcBorders>
            <w:shd w:val="clear" w:color="FFFFFF" w:fill="FFFFFF"/>
            <w:noWrap/>
            <w:vAlign w:val="bottom"/>
            <w:hideMark/>
          </w:tcPr>
          <w:p w14:paraId="277B8239" w14:textId="77777777" w:rsidR="00A43992" w:rsidRDefault="00A43992" w:rsidP="007211E3">
            <w:pPr>
              <w:jc w:val="right"/>
              <w:rPr>
                <w:rFonts w:ascii="Arial" w:hAnsi="Arial" w:cs="Arial"/>
                <w:sz w:val="18"/>
                <w:szCs w:val="18"/>
              </w:rPr>
            </w:pPr>
            <w:r>
              <w:rPr>
                <w:rFonts w:ascii="Arial" w:hAnsi="Arial" w:cs="Arial"/>
                <w:sz w:val="18"/>
                <w:szCs w:val="18"/>
              </w:rPr>
              <w:t>(35)</w:t>
            </w:r>
          </w:p>
        </w:tc>
      </w:tr>
      <w:tr w:rsidR="00A43992" w14:paraId="17D1D223" w14:textId="77777777" w:rsidTr="007211E3">
        <w:trPr>
          <w:trHeight w:val="255"/>
        </w:trPr>
        <w:tc>
          <w:tcPr>
            <w:tcW w:w="4376" w:type="dxa"/>
            <w:tcBorders>
              <w:top w:val="nil"/>
              <w:left w:val="nil"/>
              <w:bottom w:val="nil"/>
              <w:right w:val="nil"/>
            </w:tcBorders>
            <w:shd w:val="clear" w:color="FFFFFF" w:fill="FFFFFF"/>
            <w:vAlign w:val="bottom"/>
            <w:hideMark/>
          </w:tcPr>
          <w:p w14:paraId="484579FA" w14:textId="77777777" w:rsidR="00A43992" w:rsidRDefault="00A43992" w:rsidP="007211E3">
            <w:pPr>
              <w:rPr>
                <w:rFonts w:ascii="Arial" w:hAnsi="Arial" w:cs="Arial"/>
                <w:sz w:val="18"/>
                <w:szCs w:val="18"/>
              </w:rPr>
            </w:pPr>
            <w:r>
              <w:rPr>
                <w:rFonts w:ascii="Arial" w:hAnsi="Arial" w:cs="Arial"/>
                <w:sz w:val="18"/>
                <w:szCs w:val="18"/>
              </w:rPr>
              <w:t>Depreciation</w:t>
            </w:r>
          </w:p>
        </w:tc>
        <w:tc>
          <w:tcPr>
            <w:tcW w:w="1556" w:type="dxa"/>
            <w:tcBorders>
              <w:top w:val="nil"/>
              <w:left w:val="nil"/>
              <w:bottom w:val="nil"/>
              <w:right w:val="nil"/>
            </w:tcBorders>
            <w:shd w:val="clear" w:color="FFFFFF" w:fill="FFFFFF"/>
            <w:noWrap/>
            <w:vAlign w:val="bottom"/>
            <w:hideMark/>
          </w:tcPr>
          <w:p w14:paraId="2C653C25" w14:textId="77777777" w:rsidR="00A43992" w:rsidRDefault="00A43992" w:rsidP="007211E3">
            <w:pPr>
              <w:jc w:val="right"/>
              <w:rPr>
                <w:rFonts w:ascii="Arial" w:hAnsi="Arial" w:cs="Arial"/>
                <w:b/>
                <w:bCs/>
                <w:sz w:val="18"/>
                <w:szCs w:val="18"/>
              </w:rPr>
            </w:pPr>
            <w:r>
              <w:rPr>
                <w:rFonts w:ascii="Arial" w:hAnsi="Arial" w:cs="Arial"/>
                <w:b/>
                <w:bCs/>
                <w:sz w:val="18"/>
                <w:szCs w:val="18"/>
              </w:rPr>
              <w:t>(7,766)</w:t>
            </w:r>
          </w:p>
        </w:tc>
        <w:tc>
          <w:tcPr>
            <w:tcW w:w="1556" w:type="dxa"/>
            <w:tcBorders>
              <w:top w:val="nil"/>
              <w:left w:val="nil"/>
              <w:bottom w:val="nil"/>
              <w:right w:val="nil"/>
            </w:tcBorders>
            <w:shd w:val="clear" w:color="FFFFFF" w:fill="FFFFFF"/>
            <w:noWrap/>
            <w:vAlign w:val="bottom"/>
            <w:hideMark/>
          </w:tcPr>
          <w:p w14:paraId="42C1267E" w14:textId="77777777" w:rsidR="00A43992" w:rsidRDefault="00A43992" w:rsidP="007211E3">
            <w:pPr>
              <w:jc w:val="right"/>
              <w:rPr>
                <w:rFonts w:ascii="Arial" w:hAnsi="Arial" w:cs="Arial"/>
                <w:sz w:val="18"/>
                <w:szCs w:val="18"/>
              </w:rPr>
            </w:pPr>
            <w:r>
              <w:rPr>
                <w:rFonts w:ascii="Arial" w:hAnsi="Arial" w:cs="Arial"/>
                <w:sz w:val="18"/>
                <w:szCs w:val="18"/>
              </w:rPr>
              <w:t>(7,086)</w:t>
            </w:r>
          </w:p>
        </w:tc>
        <w:tc>
          <w:tcPr>
            <w:tcW w:w="1556" w:type="dxa"/>
            <w:tcBorders>
              <w:top w:val="nil"/>
              <w:left w:val="nil"/>
              <w:bottom w:val="nil"/>
              <w:right w:val="nil"/>
            </w:tcBorders>
            <w:shd w:val="clear" w:color="FFFFFF" w:fill="FFFFFF"/>
            <w:noWrap/>
            <w:vAlign w:val="bottom"/>
            <w:hideMark/>
          </w:tcPr>
          <w:p w14:paraId="06EE7B74" w14:textId="77777777" w:rsidR="00A43992" w:rsidRDefault="00A43992" w:rsidP="007211E3">
            <w:pPr>
              <w:jc w:val="right"/>
              <w:rPr>
                <w:rFonts w:ascii="Arial" w:hAnsi="Arial" w:cs="Arial"/>
                <w:b/>
                <w:bCs/>
                <w:sz w:val="18"/>
                <w:szCs w:val="18"/>
              </w:rPr>
            </w:pPr>
            <w:r>
              <w:rPr>
                <w:rFonts w:ascii="Arial" w:hAnsi="Arial" w:cs="Arial"/>
                <w:b/>
                <w:bCs/>
                <w:sz w:val="18"/>
                <w:szCs w:val="18"/>
              </w:rPr>
              <w:t>(805)</w:t>
            </w:r>
          </w:p>
        </w:tc>
        <w:tc>
          <w:tcPr>
            <w:tcW w:w="1556" w:type="dxa"/>
            <w:tcBorders>
              <w:top w:val="nil"/>
              <w:left w:val="nil"/>
              <w:bottom w:val="nil"/>
              <w:right w:val="nil"/>
            </w:tcBorders>
            <w:shd w:val="clear" w:color="FFFFFF" w:fill="FFFFFF"/>
            <w:noWrap/>
            <w:vAlign w:val="bottom"/>
            <w:hideMark/>
          </w:tcPr>
          <w:p w14:paraId="0602D627" w14:textId="77777777" w:rsidR="00A43992" w:rsidRDefault="00A43992" w:rsidP="007211E3">
            <w:pPr>
              <w:jc w:val="right"/>
              <w:rPr>
                <w:rFonts w:ascii="Arial" w:hAnsi="Arial" w:cs="Arial"/>
                <w:sz w:val="18"/>
                <w:szCs w:val="18"/>
              </w:rPr>
            </w:pPr>
            <w:r>
              <w:rPr>
                <w:rFonts w:ascii="Arial" w:hAnsi="Arial" w:cs="Arial"/>
                <w:sz w:val="18"/>
                <w:szCs w:val="18"/>
              </w:rPr>
              <w:t>(791)</w:t>
            </w:r>
          </w:p>
        </w:tc>
        <w:tc>
          <w:tcPr>
            <w:tcW w:w="1556" w:type="dxa"/>
            <w:tcBorders>
              <w:top w:val="nil"/>
              <w:left w:val="nil"/>
              <w:bottom w:val="nil"/>
              <w:right w:val="nil"/>
            </w:tcBorders>
            <w:shd w:val="clear" w:color="FFFFFF" w:fill="FFFFFF"/>
            <w:noWrap/>
            <w:vAlign w:val="bottom"/>
            <w:hideMark/>
          </w:tcPr>
          <w:p w14:paraId="35DE54CF" w14:textId="77777777" w:rsidR="00A43992" w:rsidRDefault="00A43992" w:rsidP="007211E3">
            <w:pPr>
              <w:jc w:val="right"/>
              <w:rPr>
                <w:rFonts w:ascii="Arial" w:hAnsi="Arial" w:cs="Arial"/>
                <w:b/>
                <w:bCs/>
                <w:sz w:val="18"/>
                <w:szCs w:val="18"/>
              </w:rPr>
            </w:pPr>
            <w:r>
              <w:rPr>
                <w:rFonts w:ascii="Arial" w:hAnsi="Arial" w:cs="Arial"/>
                <w:b/>
                <w:bCs/>
                <w:sz w:val="18"/>
                <w:szCs w:val="18"/>
              </w:rPr>
              <w:t>(8,571)</w:t>
            </w:r>
          </w:p>
        </w:tc>
        <w:tc>
          <w:tcPr>
            <w:tcW w:w="1556" w:type="dxa"/>
            <w:tcBorders>
              <w:top w:val="nil"/>
              <w:left w:val="nil"/>
              <w:bottom w:val="nil"/>
              <w:right w:val="nil"/>
            </w:tcBorders>
            <w:shd w:val="clear" w:color="FFFFFF" w:fill="FFFFFF"/>
            <w:noWrap/>
            <w:vAlign w:val="bottom"/>
            <w:hideMark/>
          </w:tcPr>
          <w:p w14:paraId="2D685D58" w14:textId="77777777" w:rsidR="00A43992" w:rsidRDefault="00A43992" w:rsidP="007211E3">
            <w:pPr>
              <w:jc w:val="right"/>
              <w:rPr>
                <w:rFonts w:ascii="Arial" w:hAnsi="Arial" w:cs="Arial"/>
                <w:sz w:val="18"/>
                <w:szCs w:val="18"/>
              </w:rPr>
            </w:pPr>
            <w:r>
              <w:rPr>
                <w:rFonts w:ascii="Arial" w:hAnsi="Arial" w:cs="Arial"/>
                <w:sz w:val="18"/>
                <w:szCs w:val="18"/>
              </w:rPr>
              <w:t>(7,877)</w:t>
            </w:r>
          </w:p>
        </w:tc>
      </w:tr>
      <w:tr w:rsidR="00A43992" w14:paraId="60D85651" w14:textId="77777777" w:rsidTr="007211E3">
        <w:trPr>
          <w:trHeight w:val="255"/>
        </w:trPr>
        <w:tc>
          <w:tcPr>
            <w:tcW w:w="4376" w:type="dxa"/>
            <w:tcBorders>
              <w:top w:val="nil"/>
              <w:left w:val="nil"/>
              <w:bottom w:val="nil"/>
              <w:right w:val="nil"/>
            </w:tcBorders>
            <w:shd w:val="clear" w:color="FFFFFF" w:fill="FFFFFF"/>
            <w:noWrap/>
            <w:vAlign w:val="bottom"/>
            <w:hideMark/>
          </w:tcPr>
          <w:p w14:paraId="67774208" w14:textId="77777777" w:rsidR="00A43992" w:rsidRDefault="00A43992" w:rsidP="007211E3">
            <w:pPr>
              <w:rPr>
                <w:rFonts w:ascii="Arial" w:hAnsi="Arial" w:cs="Arial"/>
                <w:b/>
                <w:bCs/>
                <w:sz w:val="18"/>
                <w:szCs w:val="18"/>
              </w:rPr>
            </w:pPr>
            <w:r>
              <w:rPr>
                <w:rFonts w:ascii="Arial" w:hAnsi="Arial" w:cs="Arial"/>
                <w:b/>
                <w:bCs/>
                <w:sz w:val="18"/>
                <w:szCs w:val="18"/>
              </w:rPr>
              <w:t>Closing balance</w:t>
            </w:r>
          </w:p>
        </w:tc>
        <w:tc>
          <w:tcPr>
            <w:tcW w:w="1556" w:type="dxa"/>
            <w:tcBorders>
              <w:top w:val="single" w:sz="4" w:space="0" w:color="auto"/>
              <w:left w:val="nil"/>
              <w:bottom w:val="single" w:sz="4" w:space="0" w:color="auto"/>
              <w:right w:val="nil"/>
            </w:tcBorders>
            <w:shd w:val="clear" w:color="FFFFFF" w:fill="FFFFFF"/>
            <w:noWrap/>
            <w:vAlign w:val="bottom"/>
            <w:hideMark/>
          </w:tcPr>
          <w:p w14:paraId="652D2B62" w14:textId="77777777" w:rsidR="00A43992" w:rsidRDefault="00A43992" w:rsidP="007211E3">
            <w:pPr>
              <w:jc w:val="right"/>
              <w:rPr>
                <w:rFonts w:ascii="Arial" w:hAnsi="Arial" w:cs="Arial"/>
                <w:b/>
                <w:bCs/>
                <w:sz w:val="18"/>
                <w:szCs w:val="18"/>
              </w:rPr>
            </w:pPr>
            <w:r>
              <w:rPr>
                <w:rFonts w:ascii="Arial" w:hAnsi="Arial" w:cs="Arial"/>
                <w:b/>
                <w:bCs/>
                <w:sz w:val="18"/>
                <w:szCs w:val="18"/>
              </w:rPr>
              <w:t>24,301</w:t>
            </w:r>
          </w:p>
        </w:tc>
        <w:tc>
          <w:tcPr>
            <w:tcW w:w="1556" w:type="dxa"/>
            <w:tcBorders>
              <w:top w:val="single" w:sz="4" w:space="0" w:color="auto"/>
              <w:left w:val="nil"/>
              <w:bottom w:val="single" w:sz="4" w:space="0" w:color="auto"/>
              <w:right w:val="nil"/>
            </w:tcBorders>
            <w:shd w:val="clear" w:color="FFFFFF" w:fill="FFFFFF"/>
            <w:noWrap/>
            <w:vAlign w:val="bottom"/>
            <w:hideMark/>
          </w:tcPr>
          <w:p w14:paraId="10E63FD2" w14:textId="77777777" w:rsidR="00A43992" w:rsidRDefault="00A43992" w:rsidP="007211E3">
            <w:pPr>
              <w:jc w:val="right"/>
              <w:rPr>
                <w:rFonts w:ascii="Arial" w:hAnsi="Arial" w:cs="Arial"/>
                <w:sz w:val="18"/>
                <w:szCs w:val="18"/>
              </w:rPr>
            </w:pPr>
            <w:r>
              <w:rPr>
                <w:rFonts w:ascii="Arial" w:hAnsi="Arial" w:cs="Arial"/>
                <w:sz w:val="18"/>
                <w:szCs w:val="18"/>
              </w:rPr>
              <w:t>26,463</w:t>
            </w:r>
          </w:p>
        </w:tc>
        <w:tc>
          <w:tcPr>
            <w:tcW w:w="1556" w:type="dxa"/>
            <w:tcBorders>
              <w:top w:val="single" w:sz="4" w:space="0" w:color="auto"/>
              <w:left w:val="nil"/>
              <w:bottom w:val="single" w:sz="4" w:space="0" w:color="auto"/>
              <w:right w:val="nil"/>
            </w:tcBorders>
            <w:shd w:val="clear" w:color="FFFFFF" w:fill="FFFFFF"/>
            <w:noWrap/>
            <w:vAlign w:val="bottom"/>
            <w:hideMark/>
          </w:tcPr>
          <w:p w14:paraId="6C2B205F" w14:textId="77777777" w:rsidR="00A43992" w:rsidRDefault="00A43992" w:rsidP="007211E3">
            <w:pPr>
              <w:jc w:val="right"/>
              <w:rPr>
                <w:rFonts w:ascii="Arial" w:hAnsi="Arial" w:cs="Arial"/>
                <w:b/>
                <w:bCs/>
                <w:sz w:val="18"/>
                <w:szCs w:val="18"/>
              </w:rPr>
            </w:pPr>
            <w:r>
              <w:rPr>
                <w:rFonts w:ascii="Arial" w:hAnsi="Arial" w:cs="Arial"/>
                <w:b/>
                <w:bCs/>
                <w:sz w:val="18"/>
                <w:szCs w:val="18"/>
              </w:rPr>
              <w:t>1,012</w:t>
            </w:r>
          </w:p>
        </w:tc>
        <w:tc>
          <w:tcPr>
            <w:tcW w:w="1556" w:type="dxa"/>
            <w:tcBorders>
              <w:top w:val="single" w:sz="4" w:space="0" w:color="auto"/>
              <w:left w:val="nil"/>
              <w:bottom w:val="single" w:sz="4" w:space="0" w:color="auto"/>
              <w:right w:val="nil"/>
            </w:tcBorders>
            <w:shd w:val="clear" w:color="FFFFFF" w:fill="FFFFFF"/>
            <w:noWrap/>
            <w:vAlign w:val="bottom"/>
            <w:hideMark/>
          </w:tcPr>
          <w:p w14:paraId="4D85C87C" w14:textId="77777777" w:rsidR="00A43992" w:rsidRDefault="00A43992" w:rsidP="007211E3">
            <w:pPr>
              <w:jc w:val="right"/>
              <w:rPr>
                <w:rFonts w:ascii="Arial" w:hAnsi="Arial" w:cs="Arial"/>
                <w:sz w:val="18"/>
                <w:szCs w:val="18"/>
              </w:rPr>
            </w:pPr>
            <w:r>
              <w:rPr>
                <w:rFonts w:ascii="Arial" w:hAnsi="Arial" w:cs="Arial"/>
                <w:sz w:val="18"/>
                <w:szCs w:val="18"/>
              </w:rPr>
              <w:t>1,456</w:t>
            </w:r>
          </w:p>
        </w:tc>
        <w:tc>
          <w:tcPr>
            <w:tcW w:w="1556" w:type="dxa"/>
            <w:tcBorders>
              <w:top w:val="single" w:sz="4" w:space="0" w:color="auto"/>
              <w:left w:val="nil"/>
              <w:bottom w:val="single" w:sz="4" w:space="0" w:color="auto"/>
              <w:right w:val="nil"/>
            </w:tcBorders>
            <w:shd w:val="clear" w:color="FFFFFF" w:fill="FFFFFF"/>
            <w:noWrap/>
            <w:vAlign w:val="bottom"/>
            <w:hideMark/>
          </w:tcPr>
          <w:p w14:paraId="20690D26" w14:textId="77777777" w:rsidR="00A43992" w:rsidRDefault="00A43992" w:rsidP="007211E3">
            <w:pPr>
              <w:jc w:val="right"/>
              <w:rPr>
                <w:rFonts w:ascii="Arial" w:hAnsi="Arial" w:cs="Arial"/>
                <w:b/>
                <w:bCs/>
                <w:sz w:val="18"/>
                <w:szCs w:val="18"/>
              </w:rPr>
            </w:pPr>
            <w:r>
              <w:rPr>
                <w:rFonts w:ascii="Arial" w:hAnsi="Arial" w:cs="Arial"/>
                <w:b/>
                <w:bCs/>
                <w:sz w:val="18"/>
                <w:szCs w:val="18"/>
              </w:rPr>
              <w:t>25,313</w:t>
            </w:r>
          </w:p>
        </w:tc>
        <w:tc>
          <w:tcPr>
            <w:tcW w:w="1556" w:type="dxa"/>
            <w:tcBorders>
              <w:top w:val="single" w:sz="4" w:space="0" w:color="auto"/>
              <w:left w:val="nil"/>
              <w:bottom w:val="single" w:sz="4" w:space="0" w:color="auto"/>
              <w:right w:val="nil"/>
            </w:tcBorders>
            <w:shd w:val="clear" w:color="FFFFFF" w:fill="FFFFFF"/>
            <w:noWrap/>
            <w:vAlign w:val="bottom"/>
            <w:hideMark/>
          </w:tcPr>
          <w:p w14:paraId="792A24F2" w14:textId="77777777" w:rsidR="00A43992" w:rsidRDefault="00A43992" w:rsidP="007211E3">
            <w:pPr>
              <w:jc w:val="right"/>
              <w:rPr>
                <w:rFonts w:ascii="Arial" w:hAnsi="Arial" w:cs="Arial"/>
                <w:sz w:val="18"/>
                <w:szCs w:val="18"/>
              </w:rPr>
            </w:pPr>
            <w:r>
              <w:rPr>
                <w:rFonts w:ascii="Arial" w:hAnsi="Arial" w:cs="Arial"/>
                <w:sz w:val="18"/>
                <w:szCs w:val="18"/>
              </w:rPr>
              <w:t>27,919</w:t>
            </w:r>
          </w:p>
        </w:tc>
      </w:tr>
    </w:tbl>
    <w:p w14:paraId="66744BBF" w14:textId="77777777" w:rsidR="00A43992" w:rsidRDefault="00A43992" w:rsidP="00A43992">
      <w:pPr>
        <w:pStyle w:val="PolicyheadingDept"/>
        <w:pBdr>
          <w:top w:val="none" w:sz="0" w:space="0" w:color="auto"/>
          <w:left w:val="none" w:sz="0" w:space="0" w:color="auto"/>
          <w:bottom w:val="none" w:sz="0" w:space="0" w:color="auto"/>
          <w:right w:val="none" w:sz="0" w:space="0" w:color="auto"/>
        </w:pBdr>
      </w:pPr>
      <w:bookmarkStart w:id="551" w:name="RANGE!D7:F25"/>
      <w:bookmarkStart w:id="552" w:name="RANGE!D7:J24"/>
      <w:bookmarkEnd w:id="551"/>
      <w:bookmarkEnd w:id="552"/>
    </w:p>
    <w:p w14:paraId="168AD4ED" w14:textId="77777777" w:rsidR="00A43992" w:rsidRPr="00AB05BC" w:rsidRDefault="00A43992" w:rsidP="00A43992">
      <w:pPr>
        <w:pStyle w:val="PolicyheadingDept"/>
        <w:pBdr>
          <w:left w:val="single" w:sz="4" w:space="4" w:color="009560"/>
          <w:right w:val="single" w:sz="4" w:space="4" w:color="009560"/>
        </w:pBdr>
        <w:outlineLvl w:val="0"/>
      </w:pPr>
      <w:r w:rsidRPr="00AB05BC">
        <w:t>Accounting Policy</w:t>
      </w:r>
    </w:p>
    <w:p w14:paraId="67174935" w14:textId="77777777" w:rsidR="00A43992" w:rsidRPr="00C26EC1" w:rsidRDefault="00A43992" w:rsidP="00A43992">
      <w:pPr>
        <w:pStyle w:val="PolicytextDept"/>
        <w:pBdr>
          <w:left w:val="single" w:sz="4" w:space="4" w:color="009560"/>
          <w:right w:val="single" w:sz="4" w:space="4" w:color="009560"/>
        </w:pBdr>
      </w:pPr>
      <w:r w:rsidRPr="00C26EC1">
        <w:t>Assets are recorded at cost on acquisition except as stated below.  The cost of acquisition includes the fair value of assets transferred in exchange and liabilities undertaken.  Financial assets are initially measured at their fair value plus transaction costs where appropriate.</w:t>
      </w:r>
    </w:p>
    <w:p w14:paraId="0360708A" w14:textId="77777777" w:rsidR="00A43992" w:rsidRPr="00C26EC1" w:rsidRDefault="00A43992" w:rsidP="00A43992">
      <w:pPr>
        <w:pStyle w:val="PolicytextDept"/>
        <w:pBdr>
          <w:left w:val="single" w:sz="4" w:space="4" w:color="009560"/>
          <w:right w:val="single" w:sz="4" w:space="4" w:color="009560"/>
        </w:pBdr>
      </w:pPr>
      <w:r w:rsidRPr="00C26EC1">
        <w:t xml:space="preserve">Assets acquired at no cost, or for nominal consideration, are initially recognised as assets and income at their fair value at the date of acquisition, unless acquired as a consequence of restructuring of administrative arrangements.  In the latter case, assets are initially recognised as contributions by owners at the amounts at which they were recognised in the transferor’s accounts immediately prior to the restructuring.   </w:t>
      </w:r>
    </w:p>
    <w:p w14:paraId="25CA2265" w14:textId="77777777" w:rsidR="00A43992" w:rsidRPr="005E5430" w:rsidRDefault="00A43992" w:rsidP="00A43992">
      <w:pPr>
        <w:rPr>
          <w:rFonts w:ascii="Arial" w:hAnsi="Arial" w:cs="Arial"/>
          <w:sz w:val="18"/>
          <w:szCs w:val="18"/>
          <w:lang w:eastAsia="en-AU"/>
        </w:rPr>
      </w:pPr>
    </w:p>
    <w:p w14:paraId="56964260" w14:textId="77777777" w:rsidR="00A43992" w:rsidRPr="005E5430" w:rsidRDefault="00A43992" w:rsidP="00A43992">
      <w:pPr>
        <w:rPr>
          <w:rFonts w:ascii="Arial" w:hAnsi="Arial" w:cs="Arial"/>
          <w:sz w:val="18"/>
          <w:szCs w:val="18"/>
          <w:lang w:eastAsia="en-AU"/>
        </w:rPr>
      </w:pPr>
    </w:p>
    <w:p w14:paraId="5D7D33DE" w14:textId="77777777" w:rsidR="00A43992" w:rsidRPr="005E5430" w:rsidRDefault="00A43992" w:rsidP="00A43992">
      <w:pPr>
        <w:rPr>
          <w:rFonts w:ascii="Arial" w:hAnsi="Arial" w:cs="Arial"/>
          <w:sz w:val="18"/>
          <w:szCs w:val="18"/>
          <w:lang w:eastAsia="en-AU"/>
        </w:rPr>
      </w:pPr>
    </w:p>
    <w:p w14:paraId="273BA112" w14:textId="77777777" w:rsidR="00A43992" w:rsidRPr="005E5430" w:rsidRDefault="00A43992" w:rsidP="00A43992">
      <w:pPr>
        <w:rPr>
          <w:rFonts w:ascii="Arial" w:hAnsi="Arial" w:cs="Arial"/>
          <w:sz w:val="18"/>
          <w:szCs w:val="18"/>
          <w:lang w:eastAsia="en-AU"/>
        </w:rPr>
      </w:pPr>
    </w:p>
    <w:p w14:paraId="359EE5B7" w14:textId="77777777" w:rsidR="00A43992" w:rsidRPr="005E5430" w:rsidRDefault="00A43992" w:rsidP="00A43992">
      <w:pPr>
        <w:rPr>
          <w:rFonts w:ascii="Arial" w:hAnsi="Arial" w:cs="Arial"/>
          <w:sz w:val="18"/>
          <w:szCs w:val="18"/>
          <w:lang w:eastAsia="en-AU"/>
        </w:rPr>
      </w:pPr>
    </w:p>
    <w:p w14:paraId="2BDF5D79" w14:textId="77777777" w:rsidR="00A43992" w:rsidRPr="005E5430" w:rsidRDefault="00A43992" w:rsidP="00A43992">
      <w:pPr>
        <w:rPr>
          <w:rFonts w:ascii="Arial" w:hAnsi="Arial" w:cs="Arial"/>
          <w:sz w:val="18"/>
          <w:szCs w:val="18"/>
          <w:lang w:eastAsia="en-AU"/>
        </w:rPr>
      </w:pPr>
    </w:p>
    <w:p w14:paraId="3311A314" w14:textId="77777777" w:rsidR="00A43992" w:rsidRPr="005E5430" w:rsidRDefault="00A43992" w:rsidP="00A43992">
      <w:pPr>
        <w:rPr>
          <w:rFonts w:ascii="Arial" w:hAnsi="Arial" w:cs="Arial"/>
          <w:sz w:val="18"/>
          <w:szCs w:val="18"/>
          <w:lang w:eastAsia="en-AU"/>
        </w:rPr>
      </w:pPr>
    </w:p>
    <w:p w14:paraId="46AA11FA" w14:textId="77777777" w:rsidR="00A43992" w:rsidRPr="005E5430" w:rsidRDefault="00A43992" w:rsidP="00A43992">
      <w:pPr>
        <w:rPr>
          <w:rFonts w:ascii="Arial" w:hAnsi="Arial" w:cs="Arial"/>
          <w:sz w:val="18"/>
          <w:szCs w:val="18"/>
          <w:lang w:eastAsia="en-AU"/>
        </w:rPr>
      </w:pPr>
    </w:p>
    <w:p w14:paraId="05808A40" w14:textId="77777777" w:rsidR="00A43992" w:rsidRPr="005E5430" w:rsidRDefault="00A43992" w:rsidP="00A43992">
      <w:pPr>
        <w:rPr>
          <w:rFonts w:ascii="Arial" w:hAnsi="Arial" w:cs="Arial"/>
          <w:sz w:val="18"/>
          <w:szCs w:val="18"/>
          <w:lang w:eastAsia="en-AU"/>
        </w:rPr>
      </w:pPr>
    </w:p>
    <w:p w14:paraId="2F447857" w14:textId="77777777" w:rsidR="00A43992" w:rsidRDefault="00A43992" w:rsidP="00A43992">
      <w:pPr>
        <w:rPr>
          <w:rFonts w:ascii="Arial" w:hAnsi="Arial" w:cs="Arial"/>
          <w:sz w:val="18"/>
          <w:szCs w:val="18"/>
          <w:lang w:eastAsia="en-AU"/>
        </w:rPr>
      </w:pPr>
    </w:p>
    <w:p w14:paraId="70C97932" w14:textId="77777777" w:rsidR="00A43992" w:rsidRDefault="00A43992" w:rsidP="00A43992">
      <w:pPr>
        <w:rPr>
          <w:rFonts w:ascii="Arial" w:hAnsi="Arial" w:cs="Arial"/>
          <w:sz w:val="18"/>
          <w:szCs w:val="18"/>
          <w:lang w:eastAsia="en-AU"/>
        </w:rPr>
      </w:pPr>
    </w:p>
    <w:p w14:paraId="7C3B59F6" w14:textId="77777777" w:rsidR="00A43992" w:rsidRDefault="00A43992" w:rsidP="00A43992">
      <w:pPr>
        <w:rPr>
          <w:rFonts w:ascii="Arial" w:hAnsi="Arial" w:cs="Arial"/>
          <w:sz w:val="18"/>
          <w:szCs w:val="18"/>
          <w:lang w:eastAsia="en-AU"/>
        </w:rPr>
        <w:sectPr w:rsidR="00A43992" w:rsidSect="007211E3">
          <w:pgSz w:w="16838" w:h="11906" w:orient="landscape" w:code="9"/>
          <w:pgMar w:top="1134" w:right="1670" w:bottom="1134" w:left="1134" w:header="958" w:footer="737" w:gutter="0"/>
          <w:cols w:space="708"/>
          <w:docGrid w:linePitch="360"/>
        </w:sectPr>
      </w:pPr>
    </w:p>
    <w:p w14:paraId="0BF73AAA" w14:textId="77777777" w:rsidR="00A43992" w:rsidRPr="00F40720" w:rsidRDefault="00A43992" w:rsidP="00A43992">
      <w:pPr>
        <w:pStyle w:val="SectionHeading"/>
      </w:pPr>
      <w:bookmarkStart w:id="553" w:name="_Toc443469553"/>
      <w:bookmarkStart w:id="554" w:name="_Toc444065808"/>
      <w:bookmarkStart w:id="555" w:name="_Toc444080005"/>
      <w:bookmarkStart w:id="556" w:name="_Toc447030552"/>
      <w:bookmarkStart w:id="557" w:name="_Toc447030704"/>
      <w:bookmarkStart w:id="558" w:name="_Toc447030797"/>
      <w:bookmarkStart w:id="559" w:name="_Toc456865076"/>
      <w:bookmarkStart w:id="560" w:name="_Toc464482137"/>
      <w:r w:rsidRPr="00F40720">
        <w:lastRenderedPageBreak/>
        <w:t>Other Information</w:t>
      </w:r>
      <w:bookmarkEnd w:id="553"/>
      <w:bookmarkEnd w:id="554"/>
      <w:bookmarkEnd w:id="555"/>
      <w:bookmarkEnd w:id="556"/>
      <w:bookmarkEnd w:id="557"/>
      <w:bookmarkEnd w:id="558"/>
      <w:bookmarkEnd w:id="559"/>
      <w:bookmarkEnd w:id="560"/>
    </w:p>
    <w:p w14:paraId="26924ED2" w14:textId="77777777" w:rsidR="00A43992" w:rsidRPr="00F40720" w:rsidRDefault="00A43992" w:rsidP="00A43992">
      <w:pPr>
        <w:pStyle w:val="SectionHeadingDescription"/>
      </w:pPr>
      <w:r w:rsidRPr="00F40720">
        <w:t xml:space="preserve">This section provides other disclosures relevant to the </w:t>
      </w:r>
      <w:fldSimple w:instr=" DOCPROPERTY  longName  \* MERGEFORMAT ">
        <w:r w:rsidR="00F337D2" w:rsidRPr="00F337D2">
          <w:rPr>
            <w:b/>
            <w:bCs/>
            <w:lang w:val="en-US"/>
          </w:rPr>
          <w:t>National Disability Insurance Scheme Launch Transition</w:t>
        </w:r>
        <w:r w:rsidR="00F337D2">
          <w:t xml:space="preserve"> Agency</w:t>
        </w:r>
      </w:fldSimple>
      <w:r w:rsidRPr="00F40720">
        <w:t xml:space="preserve"> financial information environment for the year.</w:t>
      </w:r>
    </w:p>
    <w:p w14:paraId="55E69791" w14:textId="77777777" w:rsidR="00A43992" w:rsidRPr="00714F4A" w:rsidRDefault="00A43992" w:rsidP="00A43992">
      <w:pPr>
        <w:pStyle w:val="ListParagraph"/>
        <w:numPr>
          <w:ilvl w:val="0"/>
          <w:numId w:val="15"/>
        </w:numPr>
        <w:shd w:val="clear" w:color="auto" w:fill="000000" w:themeFill="text1"/>
        <w:spacing w:after="0" w:line="260" w:lineRule="atLeast"/>
        <w:contextualSpacing w:val="0"/>
        <w:outlineLvl w:val="1"/>
        <w:rPr>
          <w:rFonts w:eastAsia="Times New Roman" w:cs="Arial"/>
          <w:b/>
          <w:vanish/>
          <w:color w:val="FFFFFF" w:themeColor="background1"/>
          <w:sz w:val="20"/>
          <w:szCs w:val="20"/>
        </w:rPr>
      </w:pPr>
      <w:bookmarkStart w:id="561" w:name="_Toc447116462"/>
      <w:bookmarkStart w:id="562" w:name="_Toc447542896"/>
      <w:bookmarkStart w:id="563" w:name="_Toc447787273"/>
      <w:bookmarkStart w:id="564" w:name="_Toc448415773"/>
      <w:bookmarkStart w:id="565" w:name="_Toc448500698"/>
      <w:bookmarkStart w:id="566" w:name="_Toc449452860"/>
      <w:bookmarkStart w:id="567" w:name="_Toc456185902"/>
      <w:bookmarkStart w:id="568" w:name="_Toc456185959"/>
      <w:bookmarkStart w:id="569" w:name="_Toc456256320"/>
      <w:bookmarkStart w:id="570" w:name="_Toc456865077"/>
      <w:bookmarkStart w:id="571" w:name="_Toc464481654"/>
      <w:bookmarkStart w:id="572" w:name="_Toc443469555"/>
      <w:bookmarkStart w:id="573" w:name="_Toc444065810"/>
      <w:bookmarkStart w:id="574" w:name="_Toc444080007"/>
      <w:bookmarkStart w:id="575" w:name="_Toc447030553"/>
      <w:bookmarkStart w:id="576" w:name="_Toc447030705"/>
      <w:bookmarkStart w:id="577" w:name="_Toc447030798"/>
      <w:bookmarkEnd w:id="561"/>
      <w:bookmarkEnd w:id="562"/>
      <w:bookmarkEnd w:id="563"/>
      <w:bookmarkEnd w:id="564"/>
      <w:bookmarkEnd w:id="565"/>
      <w:bookmarkEnd w:id="566"/>
      <w:bookmarkEnd w:id="567"/>
      <w:bookmarkEnd w:id="568"/>
      <w:bookmarkEnd w:id="569"/>
      <w:bookmarkEnd w:id="570"/>
      <w:bookmarkEnd w:id="571"/>
    </w:p>
    <w:p w14:paraId="0A51883F" w14:textId="6F1306E5" w:rsidR="00A43992" w:rsidRPr="00E631D7" w:rsidRDefault="00A43992" w:rsidP="00A43992">
      <w:pPr>
        <w:pStyle w:val="SubHeading"/>
      </w:pPr>
      <w:bookmarkStart w:id="578" w:name="RANGE!D7:K23"/>
      <w:bookmarkStart w:id="579" w:name="RANGE!D6:K22"/>
      <w:bookmarkStart w:id="580" w:name="RANGE!D6:K24"/>
      <w:bookmarkStart w:id="581" w:name="RANGE!D7:I49"/>
      <w:bookmarkStart w:id="582" w:name="RANGE!D7:I46"/>
      <w:bookmarkStart w:id="583" w:name="_Toc443469556"/>
      <w:bookmarkStart w:id="584" w:name="_Toc444065811"/>
      <w:bookmarkStart w:id="585" w:name="_Toc444080008"/>
      <w:bookmarkStart w:id="586" w:name="_Toc447030554"/>
      <w:bookmarkStart w:id="587" w:name="_Toc447030706"/>
      <w:bookmarkStart w:id="588" w:name="_Toc447030799"/>
      <w:bookmarkStart w:id="589" w:name="_Toc456865078"/>
      <w:bookmarkEnd w:id="482"/>
      <w:bookmarkEnd w:id="572"/>
      <w:bookmarkEnd w:id="573"/>
      <w:bookmarkEnd w:id="574"/>
      <w:bookmarkEnd w:id="575"/>
      <w:bookmarkEnd w:id="576"/>
      <w:bookmarkEnd w:id="577"/>
      <w:bookmarkEnd w:id="578"/>
      <w:bookmarkEnd w:id="579"/>
      <w:bookmarkEnd w:id="580"/>
      <w:bookmarkEnd w:id="581"/>
      <w:bookmarkEnd w:id="582"/>
      <w:r w:rsidRPr="00E631D7">
        <w:t>Reporting of Outcomes</w:t>
      </w:r>
      <w:bookmarkEnd w:id="583"/>
      <w:bookmarkEnd w:id="584"/>
      <w:bookmarkEnd w:id="585"/>
      <w:bookmarkEnd w:id="586"/>
      <w:bookmarkEnd w:id="587"/>
      <w:bookmarkEnd w:id="588"/>
      <w:bookmarkEnd w:id="589"/>
    </w:p>
    <w:tbl>
      <w:tblPr>
        <w:tblW w:w="9087" w:type="dxa"/>
        <w:tblInd w:w="80" w:type="dxa"/>
        <w:tblLayout w:type="fixed"/>
        <w:tblLook w:val="04A0" w:firstRow="1" w:lastRow="0" w:firstColumn="1" w:lastColumn="0" w:noHBand="0" w:noVBand="1"/>
      </w:tblPr>
      <w:tblGrid>
        <w:gridCol w:w="6103"/>
        <w:gridCol w:w="1492"/>
        <w:gridCol w:w="1492"/>
      </w:tblGrid>
      <w:tr w:rsidR="00A43992" w14:paraId="6E86F52D" w14:textId="77777777" w:rsidTr="007211E3">
        <w:trPr>
          <w:trHeight w:val="255"/>
        </w:trPr>
        <w:tc>
          <w:tcPr>
            <w:tcW w:w="5136" w:type="dxa"/>
            <w:tcBorders>
              <w:top w:val="nil"/>
              <w:left w:val="nil"/>
              <w:bottom w:val="nil"/>
              <w:right w:val="nil"/>
            </w:tcBorders>
            <w:shd w:val="clear" w:color="FFFFFF" w:fill="FFFFFF"/>
            <w:noWrap/>
            <w:vAlign w:val="bottom"/>
            <w:hideMark/>
          </w:tcPr>
          <w:p w14:paraId="74E481F2" w14:textId="77777777" w:rsidR="00A43992" w:rsidRDefault="00A43992" w:rsidP="007211E3">
            <w:pPr>
              <w:rPr>
                <w:rFonts w:ascii="Arial" w:hAnsi="Arial" w:cs="Arial"/>
                <w:sz w:val="16"/>
                <w:szCs w:val="16"/>
              </w:rPr>
            </w:pPr>
            <w:bookmarkStart w:id="590" w:name="Note_ROOTABLE1" w:colFirst="0" w:colLast="0"/>
            <w:r>
              <w:rPr>
                <w:rFonts w:ascii="Arial" w:hAnsi="Arial" w:cs="Arial"/>
                <w:sz w:val="16"/>
                <w:szCs w:val="16"/>
              </w:rPr>
              <w:t> </w:t>
            </w:r>
          </w:p>
        </w:tc>
        <w:tc>
          <w:tcPr>
            <w:tcW w:w="1256" w:type="dxa"/>
            <w:tcBorders>
              <w:top w:val="nil"/>
              <w:left w:val="nil"/>
              <w:bottom w:val="nil"/>
              <w:right w:val="nil"/>
            </w:tcBorders>
            <w:shd w:val="clear" w:color="FFFFFF" w:fill="FFFFFF"/>
            <w:noWrap/>
            <w:vAlign w:val="bottom"/>
            <w:hideMark/>
          </w:tcPr>
          <w:p w14:paraId="7D5A0F6E" w14:textId="77777777" w:rsidR="00A43992" w:rsidRDefault="00A43992" w:rsidP="007211E3">
            <w:pPr>
              <w:rPr>
                <w:rFonts w:ascii="Arial" w:hAnsi="Arial" w:cs="Arial"/>
                <w:sz w:val="18"/>
                <w:szCs w:val="18"/>
              </w:rPr>
            </w:pPr>
            <w:r>
              <w:rPr>
                <w:rFonts w:ascii="Arial" w:hAnsi="Arial" w:cs="Arial"/>
                <w:sz w:val="18"/>
                <w:szCs w:val="18"/>
              </w:rPr>
              <w:t> </w:t>
            </w:r>
          </w:p>
        </w:tc>
        <w:tc>
          <w:tcPr>
            <w:tcW w:w="1256" w:type="dxa"/>
            <w:tcBorders>
              <w:top w:val="nil"/>
              <w:left w:val="nil"/>
              <w:bottom w:val="nil"/>
              <w:right w:val="nil"/>
            </w:tcBorders>
            <w:shd w:val="clear" w:color="FFFFFF" w:fill="FFFFFF"/>
            <w:noWrap/>
            <w:vAlign w:val="bottom"/>
            <w:hideMark/>
          </w:tcPr>
          <w:p w14:paraId="030EEC2C" w14:textId="77777777" w:rsidR="00A43992" w:rsidRDefault="00A43992" w:rsidP="007211E3">
            <w:pPr>
              <w:rPr>
                <w:rFonts w:ascii="Arial" w:hAnsi="Arial" w:cs="Arial"/>
                <w:sz w:val="18"/>
                <w:szCs w:val="18"/>
              </w:rPr>
            </w:pPr>
            <w:r>
              <w:rPr>
                <w:rFonts w:ascii="Arial" w:hAnsi="Arial" w:cs="Arial"/>
                <w:sz w:val="18"/>
                <w:szCs w:val="18"/>
              </w:rPr>
              <w:t> </w:t>
            </w:r>
          </w:p>
        </w:tc>
      </w:tr>
      <w:bookmarkEnd w:id="590"/>
      <w:tr w:rsidR="00A43992" w14:paraId="1248B048" w14:textId="77777777" w:rsidTr="007211E3">
        <w:trPr>
          <w:trHeight w:val="255"/>
        </w:trPr>
        <w:tc>
          <w:tcPr>
            <w:tcW w:w="7648" w:type="dxa"/>
            <w:gridSpan w:val="3"/>
            <w:tcBorders>
              <w:top w:val="single" w:sz="4" w:space="0" w:color="auto"/>
              <w:left w:val="nil"/>
              <w:bottom w:val="nil"/>
              <w:right w:val="nil"/>
            </w:tcBorders>
            <w:shd w:val="clear" w:color="FFFFFF" w:fill="FFFFFF"/>
            <w:vAlign w:val="bottom"/>
            <w:hideMark/>
          </w:tcPr>
          <w:p w14:paraId="4A78AB19" w14:textId="77777777" w:rsidR="00A43992" w:rsidRDefault="00A43992" w:rsidP="007211E3">
            <w:pPr>
              <w:ind w:firstLineChars="200" w:firstLine="360"/>
              <w:jc w:val="right"/>
              <w:rPr>
                <w:rFonts w:ascii="Arial" w:hAnsi="Arial" w:cs="Arial"/>
                <w:b/>
                <w:bCs/>
                <w:sz w:val="18"/>
                <w:szCs w:val="18"/>
              </w:rPr>
            </w:pPr>
            <w:r>
              <w:rPr>
                <w:rFonts w:ascii="Arial" w:hAnsi="Arial" w:cs="Arial"/>
                <w:b/>
                <w:bCs/>
                <w:sz w:val="18"/>
                <w:szCs w:val="18"/>
              </w:rPr>
              <w:t>Outcome 1</w:t>
            </w:r>
          </w:p>
        </w:tc>
      </w:tr>
      <w:tr w:rsidR="00A43992" w14:paraId="3F1C9ABC" w14:textId="77777777" w:rsidTr="007211E3">
        <w:trPr>
          <w:trHeight w:val="255"/>
        </w:trPr>
        <w:tc>
          <w:tcPr>
            <w:tcW w:w="5136" w:type="dxa"/>
            <w:tcBorders>
              <w:top w:val="nil"/>
              <w:left w:val="nil"/>
              <w:bottom w:val="nil"/>
              <w:right w:val="nil"/>
            </w:tcBorders>
            <w:shd w:val="clear" w:color="FFFFFF" w:fill="FFFFFF"/>
            <w:noWrap/>
            <w:vAlign w:val="bottom"/>
            <w:hideMark/>
          </w:tcPr>
          <w:p w14:paraId="099F779A" w14:textId="77777777" w:rsidR="00A43992" w:rsidRDefault="00A43992" w:rsidP="007211E3">
            <w:pPr>
              <w:rPr>
                <w:rFonts w:ascii="Arial" w:hAnsi="Arial" w:cs="Arial"/>
                <w:sz w:val="18"/>
                <w:szCs w:val="18"/>
              </w:rPr>
            </w:pPr>
            <w:r>
              <w:rPr>
                <w:rFonts w:ascii="Arial" w:hAnsi="Arial" w:cs="Arial"/>
                <w:sz w:val="18"/>
                <w:szCs w:val="18"/>
              </w:rPr>
              <w:t> </w:t>
            </w:r>
          </w:p>
        </w:tc>
        <w:tc>
          <w:tcPr>
            <w:tcW w:w="1256" w:type="dxa"/>
            <w:tcBorders>
              <w:top w:val="nil"/>
              <w:left w:val="nil"/>
              <w:bottom w:val="nil"/>
              <w:right w:val="nil"/>
            </w:tcBorders>
            <w:shd w:val="clear" w:color="FFFFFF" w:fill="FFFFFF"/>
            <w:vAlign w:val="bottom"/>
            <w:hideMark/>
          </w:tcPr>
          <w:p w14:paraId="45BC0053" w14:textId="77777777" w:rsidR="00A43992" w:rsidRDefault="00A43992" w:rsidP="007211E3">
            <w:pPr>
              <w:jc w:val="right"/>
              <w:rPr>
                <w:rFonts w:ascii="Arial" w:hAnsi="Arial" w:cs="Arial"/>
                <w:b/>
                <w:bCs/>
                <w:sz w:val="18"/>
                <w:szCs w:val="18"/>
              </w:rPr>
            </w:pPr>
            <w:r>
              <w:rPr>
                <w:rFonts w:ascii="Arial" w:hAnsi="Arial" w:cs="Arial"/>
                <w:b/>
                <w:bCs/>
                <w:sz w:val="18"/>
                <w:szCs w:val="18"/>
              </w:rPr>
              <w:t>2016</w:t>
            </w:r>
          </w:p>
        </w:tc>
        <w:tc>
          <w:tcPr>
            <w:tcW w:w="1256" w:type="dxa"/>
            <w:tcBorders>
              <w:top w:val="nil"/>
              <w:left w:val="nil"/>
              <w:bottom w:val="nil"/>
              <w:right w:val="nil"/>
            </w:tcBorders>
            <w:shd w:val="clear" w:color="FFFFFF" w:fill="FFFFFF"/>
            <w:vAlign w:val="bottom"/>
            <w:hideMark/>
          </w:tcPr>
          <w:p w14:paraId="58653E87" w14:textId="77777777" w:rsidR="00A43992" w:rsidRDefault="00A43992" w:rsidP="007211E3">
            <w:pPr>
              <w:jc w:val="right"/>
              <w:rPr>
                <w:rFonts w:ascii="Arial" w:hAnsi="Arial" w:cs="Arial"/>
                <w:sz w:val="18"/>
                <w:szCs w:val="18"/>
              </w:rPr>
            </w:pPr>
            <w:r>
              <w:rPr>
                <w:rFonts w:ascii="Arial" w:hAnsi="Arial" w:cs="Arial"/>
                <w:sz w:val="18"/>
                <w:szCs w:val="18"/>
              </w:rPr>
              <w:t>2015</w:t>
            </w:r>
          </w:p>
        </w:tc>
      </w:tr>
      <w:tr w:rsidR="00A43992" w14:paraId="18FE0078" w14:textId="77777777" w:rsidTr="007211E3">
        <w:trPr>
          <w:trHeight w:val="255"/>
        </w:trPr>
        <w:tc>
          <w:tcPr>
            <w:tcW w:w="5136" w:type="dxa"/>
            <w:tcBorders>
              <w:top w:val="nil"/>
              <w:left w:val="nil"/>
              <w:bottom w:val="single" w:sz="4" w:space="0" w:color="auto"/>
              <w:right w:val="nil"/>
            </w:tcBorders>
            <w:shd w:val="clear" w:color="FFFFFF" w:fill="FFFFFF"/>
            <w:noWrap/>
            <w:vAlign w:val="bottom"/>
            <w:hideMark/>
          </w:tcPr>
          <w:p w14:paraId="4768E208" w14:textId="77777777" w:rsidR="00A43992" w:rsidRDefault="00A43992" w:rsidP="007211E3">
            <w:pPr>
              <w:rPr>
                <w:rFonts w:ascii="Arial" w:hAnsi="Arial" w:cs="Arial"/>
                <w:sz w:val="18"/>
                <w:szCs w:val="18"/>
              </w:rPr>
            </w:pPr>
            <w:r>
              <w:rPr>
                <w:rFonts w:ascii="Arial" w:hAnsi="Arial" w:cs="Arial"/>
                <w:sz w:val="18"/>
                <w:szCs w:val="18"/>
              </w:rPr>
              <w:t> </w:t>
            </w:r>
          </w:p>
        </w:tc>
        <w:tc>
          <w:tcPr>
            <w:tcW w:w="1256" w:type="dxa"/>
            <w:tcBorders>
              <w:top w:val="nil"/>
              <w:left w:val="nil"/>
              <w:bottom w:val="single" w:sz="4" w:space="0" w:color="auto"/>
              <w:right w:val="nil"/>
            </w:tcBorders>
            <w:shd w:val="clear" w:color="FFFFFF" w:fill="FFFFFF"/>
            <w:vAlign w:val="bottom"/>
            <w:hideMark/>
          </w:tcPr>
          <w:p w14:paraId="1DB42E8A" w14:textId="77777777" w:rsidR="00A43992" w:rsidRDefault="00A43992" w:rsidP="007211E3">
            <w:pPr>
              <w:jc w:val="right"/>
              <w:rPr>
                <w:rFonts w:ascii="Arial" w:hAnsi="Arial" w:cs="Arial"/>
                <w:b/>
                <w:bCs/>
                <w:sz w:val="18"/>
                <w:szCs w:val="18"/>
              </w:rPr>
            </w:pPr>
            <w:r>
              <w:rPr>
                <w:rFonts w:ascii="Arial" w:hAnsi="Arial" w:cs="Arial"/>
                <w:b/>
                <w:bCs/>
                <w:sz w:val="18"/>
                <w:szCs w:val="18"/>
              </w:rPr>
              <w:t>$'000</w:t>
            </w:r>
          </w:p>
        </w:tc>
        <w:tc>
          <w:tcPr>
            <w:tcW w:w="1256" w:type="dxa"/>
            <w:tcBorders>
              <w:top w:val="nil"/>
              <w:left w:val="nil"/>
              <w:bottom w:val="single" w:sz="4" w:space="0" w:color="auto"/>
              <w:right w:val="nil"/>
            </w:tcBorders>
            <w:shd w:val="clear" w:color="FFFFFF" w:fill="FFFFFF"/>
            <w:vAlign w:val="bottom"/>
            <w:hideMark/>
          </w:tcPr>
          <w:p w14:paraId="246A319C" w14:textId="77777777" w:rsidR="00A43992" w:rsidRDefault="00A43992" w:rsidP="007211E3">
            <w:pPr>
              <w:jc w:val="right"/>
              <w:rPr>
                <w:rFonts w:ascii="Arial" w:hAnsi="Arial" w:cs="Arial"/>
                <w:sz w:val="18"/>
                <w:szCs w:val="18"/>
              </w:rPr>
            </w:pPr>
            <w:r>
              <w:rPr>
                <w:rFonts w:ascii="Arial" w:hAnsi="Arial" w:cs="Arial"/>
                <w:sz w:val="18"/>
                <w:szCs w:val="18"/>
              </w:rPr>
              <w:t>$'000</w:t>
            </w:r>
          </w:p>
        </w:tc>
      </w:tr>
      <w:tr w:rsidR="00A43992" w14:paraId="478F10F6" w14:textId="77777777" w:rsidTr="007211E3">
        <w:trPr>
          <w:trHeight w:val="255"/>
        </w:trPr>
        <w:tc>
          <w:tcPr>
            <w:tcW w:w="5136" w:type="dxa"/>
            <w:tcBorders>
              <w:top w:val="nil"/>
              <w:left w:val="nil"/>
              <w:bottom w:val="nil"/>
              <w:right w:val="nil"/>
            </w:tcBorders>
            <w:shd w:val="clear" w:color="FFFFFF" w:fill="FFFFFF"/>
            <w:noWrap/>
            <w:vAlign w:val="bottom"/>
            <w:hideMark/>
          </w:tcPr>
          <w:p w14:paraId="6364CA6B" w14:textId="77777777" w:rsidR="00A43992" w:rsidRDefault="00A43992" w:rsidP="007211E3">
            <w:pPr>
              <w:ind w:firstLineChars="100" w:firstLine="180"/>
              <w:rPr>
                <w:rFonts w:ascii="Arial" w:hAnsi="Arial" w:cs="Arial"/>
                <w:sz w:val="18"/>
                <w:szCs w:val="18"/>
              </w:rPr>
            </w:pPr>
            <w:r>
              <w:rPr>
                <w:rFonts w:ascii="Arial" w:hAnsi="Arial" w:cs="Arial"/>
                <w:sz w:val="18"/>
                <w:szCs w:val="18"/>
              </w:rPr>
              <w:t>Expenses</w:t>
            </w:r>
          </w:p>
        </w:tc>
        <w:tc>
          <w:tcPr>
            <w:tcW w:w="1256" w:type="dxa"/>
            <w:tcBorders>
              <w:top w:val="nil"/>
              <w:left w:val="nil"/>
              <w:bottom w:val="nil"/>
              <w:right w:val="nil"/>
            </w:tcBorders>
            <w:shd w:val="clear" w:color="FFFFFF" w:fill="FFFFFF"/>
            <w:noWrap/>
            <w:vAlign w:val="bottom"/>
            <w:hideMark/>
          </w:tcPr>
          <w:p w14:paraId="2CB64802" w14:textId="77777777" w:rsidR="00A43992" w:rsidRDefault="00A43992" w:rsidP="007211E3">
            <w:pPr>
              <w:jc w:val="right"/>
              <w:rPr>
                <w:rFonts w:ascii="Arial" w:hAnsi="Arial" w:cs="Arial"/>
                <w:b/>
                <w:bCs/>
                <w:sz w:val="18"/>
                <w:szCs w:val="18"/>
              </w:rPr>
            </w:pPr>
            <w:r>
              <w:rPr>
                <w:rFonts w:ascii="Arial" w:hAnsi="Arial" w:cs="Arial"/>
                <w:b/>
                <w:bCs/>
                <w:sz w:val="18"/>
                <w:szCs w:val="18"/>
              </w:rPr>
              <w:t xml:space="preserve">1,074,236 </w:t>
            </w:r>
          </w:p>
        </w:tc>
        <w:tc>
          <w:tcPr>
            <w:tcW w:w="1256" w:type="dxa"/>
            <w:tcBorders>
              <w:top w:val="nil"/>
              <w:left w:val="nil"/>
              <w:bottom w:val="nil"/>
              <w:right w:val="nil"/>
            </w:tcBorders>
            <w:shd w:val="clear" w:color="FFFFFF" w:fill="FFFFFF"/>
            <w:noWrap/>
            <w:vAlign w:val="bottom"/>
            <w:hideMark/>
          </w:tcPr>
          <w:p w14:paraId="67F54619" w14:textId="77777777" w:rsidR="00A43992" w:rsidRDefault="00A43992" w:rsidP="007211E3">
            <w:pPr>
              <w:jc w:val="right"/>
              <w:rPr>
                <w:rFonts w:ascii="Arial" w:hAnsi="Arial" w:cs="Arial"/>
                <w:sz w:val="18"/>
                <w:szCs w:val="18"/>
              </w:rPr>
            </w:pPr>
            <w:r>
              <w:rPr>
                <w:rFonts w:ascii="Arial" w:hAnsi="Arial" w:cs="Arial"/>
                <w:sz w:val="18"/>
                <w:szCs w:val="18"/>
              </w:rPr>
              <w:t xml:space="preserve">636,062 </w:t>
            </w:r>
          </w:p>
        </w:tc>
      </w:tr>
      <w:tr w:rsidR="00A43992" w14:paraId="0392A4D2" w14:textId="77777777" w:rsidTr="007211E3">
        <w:trPr>
          <w:trHeight w:val="255"/>
        </w:trPr>
        <w:tc>
          <w:tcPr>
            <w:tcW w:w="5136" w:type="dxa"/>
            <w:tcBorders>
              <w:top w:val="nil"/>
              <w:left w:val="nil"/>
              <w:bottom w:val="nil"/>
              <w:right w:val="nil"/>
            </w:tcBorders>
            <w:shd w:val="clear" w:color="FFFFFF" w:fill="FFFFFF"/>
            <w:noWrap/>
            <w:vAlign w:val="bottom"/>
            <w:hideMark/>
          </w:tcPr>
          <w:p w14:paraId="568A8C13" w14:textId="77777777" w:rsidR="00A43992" w:rsidRDefault="00A43992" w:rsidP="007211E3">
            <w:pPr>
              <w:ind w:firstLineChars="100" w:firstLine="180"/>
              <w:rPr>
                <w:rFonts w:ascii="Arial" w:hAnsi="Arial" w:cs="Arial"/>
                <w:sz w:val="18"/>
                <w:szCs w:val="18"/>
              </w:rPr>
            </w:pPr>
            <w:r>
              <w:rPr>
                <w:rFonts w:ascii="Arial" w:hAnsi="Arial" w:cs="Arial"/>
                <w:sz w:val="18"/>
                <w:szCs w:val="18"/>
              </w:rPr>
              <w:t>Own-source income</w:t>
            </w:r>
          </w:p>
        </w:tc>
        <w:tc>
          <w:tcPr>
            <w:tcW w:w="1256" w:type="dxa"/>
            <w:tcBorders>
              <w:top w:val="nil"/>
              <w:left w:val="nil"/>
              <w:bottom w:val="nil"/>
              <w:right w:val="nil"/>
            </w:tcBorders>
            <w:shd w:val="clear" w:color="FFFFFF" w:fill="FFFFFF"/>
            <w:noWrap/>
            <w:vAlign w:val="bottom"/>
            <w:hideMark/>
          </w:tcPr>
          <w:p w14:paraId="1C2CA586" w14:textId="77777777" w:rsidR="00A43992" w:rsidRDefault="00A43992" w:rsidP="007211E3">
            <w:pPr>
              <w:jc w:val="right"/>
              <w:rPr>
                <w:rFonts w:ascii="Arial" w:hAnsi="Arial" w:cs="Arial"/>
                <w:b/>
                <w:bCs/>
                <w:sz w:val="18"/>
                <w:szCs w:val="18"/>
              </w:rPr>
            </w:pPr>
            <w:r>
              <w:rPr>
                <w:rFonts w:ascii="Arial" w:hAnsi="Arial" w:cs="Arial"/>
                <w:b/>
                <w:bCs/>
                <w:sz w:val="18"/>
                <w:szCs w:val="18"/>
              </w:rPr>
              <w:t>(508,948)</w:t>
            </w:r>
          </w:p>
        </w:tc>
        <w:tc>
          <w:tcPr>
            <w:tcW w:w="1256" w:type="dxa"/>
            <w:tcBorders>
              <w:top w:val="nil"/>
              <w:left w:val="nil"/>
              <w:bottom w:val="nil"/>
              <w:right w:val="nil"/>
            </w:tcBorders>
            <w:shd w:val="clear" w:color="FFFFFF" w:fill="FFFFFF"/>
            <w:noWrap/>
            <w:vAlign w:val="bottom"/>
            <w:hideMark/>
          </w:tcPr>
          <w:p w14:paraId="77D6B961" w14:textId="77777777" w:rsidR="00A43992" w:rsidRDefault="00A43992" w:rsidP="007211E3">
            <w:pPr>
              <w:jc w:val="right"/>
              <w:rPr>
                <w:rFonts w:ascii="Arial" w:hAnsi="Arial" w:cs="Arial"/>
                <w:sz w:val="18"/>
                <w:szCs w:val="18"/>
              </w:rPr>
            </w:pPr>
            <w:r>
              <w:rPr>
                <w:rFonts w:ascii="Arial" w:hAnsi="Arial" w:cs="Arial"/>
                <w:sz w:val="18"/>
                <w:szCs w:val="18"/>
              </w:rPr>
              <w:t>(328,038)</w:t>
            </w:r>
          </w:p>
        </w:tc>
      </w:tr>
      <w:tr w:rsidR="00A43992" w14:paraId="5CCDD808" w14:textId="77777777" w:rsidTr="007211E3">
        <w:trPr>
          <w:trHeight w:val="255"/>
        </w:trPr>
        <w:tc>
          <w:tcPr>
            <w:tcW w:w="5136" w:type="dxa"/>
            <w:tcBorders>
              <w:top w:val="single" w:sz="4" w:space="0" w:color="auto"/>
              <w:left w:val="nil"/>
              <w:bottom w:val="single" w:sz="4" w:space="0" w:color="auto"/>
              <w:right w:val="nil"/>
            </w:tcBorders>
            <w:shd w:val="clear" w:color="FFFFFF" w:fill="FFFFFF"/>
            <w:vAlign w:val="bottom"/>
            <w:hideMark/>
          </w:tcPr>
          <w:p w14:paraId="2BC9B307" w14:textId="77777777" w:rsidR="00A43992" w:rsidRDefault="00A43992" w:rsidP="007211E3">
            <w:pPr>
              <w:rPr>
                <w:rFonts w:ascii="Arial" w:hAnsi="Arial" w:cs="Arial"/>
                <w:b/>
                <w:bCs/>
                <w:sz w:val="18"/>
                <w:szCs w:val="18"/>
              </w:rPr>
            </w:pPr>
            <w:r>
              <w:rPr>
                <w:rFonts w:ascii="Arial" w:hAnsi="Arial" w:cs="Arial"/>
                <w:b/>
                <w:bCs/>
                <w:sz w:val="18"/>
                <w:szCs w:val="18"/>
              </w:rPr>
              <w:t>Net (cost of)/contribution of outcome delivery</w:t>
            </w:r>
          </w:p>
        </w:tc>
        <w:tc>
          <w:tcPr>
            <w:tcW w:w="1256" w:type="dxa"/>
            <w:tcBorders>
              <w:top w:val="single" w:sz="4" w:space="0" w:color="auto"/>
              <w:left w:val="nil"/>
              <w:bottom w:val="single" w:sz="4" w:space="0" w:color="auto"/>
              <w:right w:val="nil"/>
            </w:tcBorders>
            <w:shd w:val="clear" w:color="FFFFFF" w:fill="FFFFFF"/>
            <w:noWrap/>
            <w:vAlign w:val="bottom"/>
            <w:hideMark/>
          </w:tcPr>
          <w:p w14:paraId="73E5E9DC" w14:textId="77777777" w:rsidR="00A43992" w:rsidRDefault="00A43992" w:rsidP="007211E3">
            <w:pPr>
              <w:jc w:val="right"/>
              <w:rPr>
                <w:rFonts w:ascii="Arial" w:hAnsi="Arial" w:cs="Arial"/>
                <w:b/>
                <w:bCs/>
                <w:sz w:val="18"/>
                <w:szCs w:val="18"/>
              </w:rPr>
            </w:pPr>
            <w:r>
              <w:rPr>
                <w:rFonts w:ascii="Arial" w:hAnsi="Arial" w:cs="Arial"/>
                <w:b/>
                <w:bCs/>
                <w:sz w:val="18"/>
                <w:szCs w:val="18"/>
              </w:rPr>
              <w:t>(565,288)</w:t>
            </w:r>
          </w:p>
        </w:tc>
        <w:tc>
          <w:tcPr>
            <w:tcW w:w="1256" w:type="dxa"/>
            <w:tcBorders>
              <w:top w:val="single" w:sz="4" w:space="0" w:color="auto"/>
              <w:left w:val="nil"/>
              <w:bottom w:val="single" w:sz="4" w:space="0" w:color="auto"/>
              <w:right w:val="nil"/>
            </w:tcBorders>
            <w:shd w:val="clear" w:color="FFFFFF" w:fill="FFFFFF"/>
            <w:noWrap/>
            <w:vAlign w:val="bottom"/>
            <w:hideMark/>
          </w:tcPr>
          <w:p w14:paraId="5649805A" w14:textId="77777777" w:rsidR="00A43992" w:rsidRDefault="00A43992" w:rsidP="007211E3">
            <w:pPr>
              <w:jc w:val="right"/>
              <w:rPr>
                <w:rFonts w:ascii="Arial" w:hAnsi="Arial" w:cs="Arial"/>
                <w:sz w:val="18"/>
                <w:szCs w:val="18"/>
              </w:rPr>
            </w:pPr>
            <w:r>
              <w:rPr>
                <w:rFonts w:ascii="Arial" w:hAnsi="Arial" w:cs="Arial"/>
                <w:sz w:val="18"/>
                <w:szCs w:val="18"/>
              </w:rPr>
              <w:t>(308,024)</w:t>
            </w:r>
          </w:p>
        </w:tc>
      </w:tr>
    </w:tbl>
    <w:p w14:paraId="5FE594DA" w14:textId="77777777" w:rsidR="00A43992" w:rsidRPr="005E5430" w:rsidRDefault="00A43992" w:rsidP="00A43992">
      <w:bookmarkStart w:id="591" w:name="RANGE!D8:H15"/>
      <w:bookmarkStart w:id="592" w:name="RANGE!D7:H14"/>
      <w:bookmarkStart w:id="593" w:name="RANGE!D7:H15"/>
      <w:bookmarkStart w:id="594" w:name="RANGE!D7:H17"/>
      <w:bookmarkStart w:id="595" w:name="RANGE!D7:H21"/>
      <w:bookmarkStart w:id="596" w:name="RANGE!D7:L21"/>
      <w:bookmarkStart w:id="597" w:name="RANGE!D7:L33"/>
      <w:bookmarkStart w:id="598" w:name="RANGE!D6:L32"/>
      <w:bookmarkStart w:id="599" w:name="RANGE!D6:L33"/>
      <w:bookmarkEnd w:id="591"/>
      <w:bookmarkEnd w:id="592"/>
      <w:bookmarkEnd w:id="593"/>
      <w:bookmarkEnd w:id="594"/>
      <w:bookmarkEnd w:id="595"/>
      <w:bookmarkEnd w:id="596"/>
      <w:bookmarkEnd w:id="597"/>
      <w:bookmarkEnd w:id="598"/>
      <w:bookmarkEnd w:id="599"/>
    </w:p>
    <w:p w14:paraId="058C6942" w14:textId="77777777" w:rsidR="00A43992" w:rsidRPr="005E5430" w:rsidRDefault="00A43992" w:rsidP="00A43992">
      <w:pPr>
        <w:tabs>
          <w:tab w:val="left" w:pos="9504"/>
        </w:tabs>
        <w:spacing w:after="240" w:line="240" w:lineRule="auto"/>
        <w:rPr>
          <w:rFonts w:ascii="Arial" w:hAnsi="Arial" w:cs="Arial"/>
          <w:sz w:val="18"/>
          <w:szCs w:val="18"/>
          <w:lang w:eastAsia="en-AU"/>
        </w:rPr>
      </w:pPr>
      <w:r w:rsidRPr="005E5430">
        <w:rPr>
          <w:rFonts w:ascii="Arial" w:hAnsi="Arial" w:cs="Arial"/>
          <w:sz w:val="18"/>
          <w:szCs w:val="18"/>
          <w:lang w:eastAsia="en-AU"/>
        </w:rPr>
        <w:t>The Agency is structured to meet a single outcome of implementing a National Disability Insurance Scheme that provides, as per Outcome 1:</w:t>
      </w:r>
    </w:p>
    <w:p w14:paraId="76AEB854" w14:textId="77777777" w:rsidR="00A43992" w:rsidRPr="005E5430" w:rsidRDefault="00A43992" w:rsidP="00A43992">
      <w:pPr>
        <w:tabs>
          <w:tab w:val="left" w:pos="9504"/>
        </w:tabs>
        <w:spacing w:line="240" w:lineRule="auto"/>
        <w:rPr>
          <w:rFonts w:ascii="Arial" w:hAnsi="Arial" w:cs="Arial"/>
          <w:sz w:val="18"/>
          <w:szCs w:val="18"/>
          <w:lang w:eastAsia="en-AU"/>
        </w:rPr>
      </w:pPr>
      <w:r w:rsidRPr="005E5430">
        <w:rPr>
          <w:rFonts w:ascii="Arial" w:hAnsi="Arial" w:cs="Arial"/>
          <w:sz w:val="18"/>
          <w:szCs w:val="18"/>
          <w:lang w:eastAsia="en-AU"/>
        </w:rPr>
        <w:t xml:space="preserve">Individual control and choice in the delivery of reasonable and necessary care and supports to improve the independence, social and economic participation of eligible people with disability, their families and </w:t>
      </w:r>
      <w:proofErr w:type="spellStart"/>
      <w:r w:rsidRPr="005E5430">
        <w:rPr>
          <w:rFonts w:ascii="Arial" w:hAnsi="Arial" w:cs="Arial"/>
          <w:sz w:val="18"/>
          <w:szCs w:val="18"/>
          <w:lang w:eastAsia="en-AU"/>
        </w:rPr>
        <w:t>carers</w:t>
      </w:r>
      <w:proofErr w:type="spellEnd"/>
      <w:r w:rsidRPr="005E5430">
        <w:rPr>
          <w:rFonts w:ascii="Arial" w:hAnsi="Arial" w:cs="Arial"/>
          <w:sz w:val="18"/>
          <w:szCs w:val="18"/>
          <w:lang w:eastAsia="en-AU"/>
        </w:rPr>
        <w:t>, and associated referral services and activities.</w:t>
      </w:r>
    </w:p>
    <w:p w14:paraId="788EB525" w14:textId="1FD82EB5" w:rsidR="00DA2590" w:rsidRDefault="00DA2590" w:rsidP="00DA2590"/>
    <w:p w14:paraId="21BA9E3A" w14:textId="77777777" w:rsidR="002C7749" w:rsidRDefault="002C7749" w:rsidP="00DA2590"/>
    <w:p w14:paraId="0F54D8A3" w14:textId="77777777" w:rsidR="002C7749" w:rsidRDefault="002C7749" w:rsidP="00DA2590"/>
    <w:p w14:paraId="4E817674" w14:textId="77777777" w:rsidR="002C7749" w:rsidRDefault="002C7749" w:rsidP="00DA2590">
      <w:pPr>
        <w:sectPr w:rsidR="002C7749" w:rsidSect="0083526C">
          <w:headerReference w:type="default" r:id="rId33"/>
          <w:pgSz w:w="12240" w:h="15840"/>
          <w:pgMar w:top="720" w:right="720" w:bottom="720" w:left="720" w:header="720" w:footer="720" w:gutter="0"/>
          <w:cols w:space="720"/>
          <w:noEndnote/>
        </w:sectPr>
      </w:pPr>
    </w:p>
    <w:p w14:paraId="4F80FA5C" w14:textId="17484904" w:rsidR="00DA2590" w:rsidRDefault="00DA2590" w:rsidP="00DA2590">
      <w:pPr>
        <w:pStyle w:val="Heading2"/>
      </w:pPr>
      <w:bookmarkStart w:id="600" w:name="_Toc464482138"/>
      <w:r>
        <w:lastRenderedPageBreak/>
        <w:t>Shortened forms</w:t>
      </w:r>
      <w:bookmarkEnd w:id="600"/>
    </w:p>
    <w:p w14:paraId="221176E9" w14:textId="77777777" w:rsidR="00DA2590" w:rsidRDefault="00DA2590" w:rsidP="00DA2590">
      <w:pPr>
        <w:pStyle w:val="BodyCopy"/>
      </w:pPr>
      <w:r>
        <w:rPr>
          <w:rStyle w:val="Bold"/>
        </w:rPr>
        <w:t>AAA</w:t>
      </w:r>
      <w:r>
        <w:t xml:space="preserve"> – Access for All Abilities</w:t>
      </w:r>
    </w:p>
    <w:p w14:paraId="130B9A2B" w14:textId="77777777" w:rsidR="00DA2590" w:rsidRDefault="00DA2590" w:rsidP="00DA2590">
      <w:pPr>
        <w:pStyle w:val="BodyCopy"/>
      </w:pPr>
      <w:r>
        <w:rPr>
          <w:rStyle w:val="Bold"/>
        </w:rPr>
        <w:t>AAT</w:t>
      </w:r>
      <w:r>
        <w:t xml:space="preserve"> – Administrative Appeals Tribunal</w:t>
      </w:r>
    </w:p>
    <w:p w14:paraId="3F262F13" w14:textId="77777777" w:rsidR="00DA2590" w:rsidRDefault="00DA2590" w:rsidP="00DA2590">
      <w:pPr>
        <w:pStyle w:val="BodyCopy"/>
      </w:pPr>
      <w:r>
        <w:rPr>
          <w:rStyle w:val="Bold"/>
        </w:rPr>
        <w:t>AHPA</w:t>
      </w:r>
      <w:r>
        <w:t xml:space="preserve"> – Allied Health Professionals Australia</w:t>
      </w:r>
    </w:p>
    <w:p w14:paraId="36E8C25F" w14:textId="77777777" w:rsidR="00DA2590" w:rsidRDefault="00DA2590" w:rsidP="00DA2590">
      <w:pPr>
        <w:pStyle w:val="BodyCopy"/>
      </w:pPr>
      <w:r>
        <w:rPr>
          <w:rStyle w:val="Bold"/>
        </w:rPr>
        <w:t>AHRC</w:t>
      </w:r>
      <w:r>
        <w:t xml:space="preserve"> – Australian Human Rights Commission</w:t>
      </w:r>
    </w:p>
    <w:p w14:paraId="1A758184" w14:textId="77777777" w:rsidR="00DA2590" w:rsidRDefault="00DA2590" w:rsidP="00DA2590">
      <w:pPr>
        <w:pStyle w:val="BodyCopy"/>
      </w:pPr>
      <w:r>
        <w:rPr>
          <w:rStyle w:val="Bold"/>
        </w:rPr>
        <w:t>AIDIN</w:t>
      </w:r>
      <w:r>
        <w:t xml:space="preserve"> – Australian Injury and Disability Insurance Network</w:t>
      </w:r>
    </w:p>
    <w:p w14:paraId="28F677FA" w14:textId="77777777" w:rsidR="00DA2590" w:rsidRDefault="00DA2590" w:rsidP="00DA2590">
      <w:pPr>
        <w:pStyle w:val="BodyCopy"/>
      </w:pPr>
      <w:r>
        <w:rPr>
          <w:rStyle w:val="Bold"/>
        </w:rPr>
        <w:t>ANAO</w:t>
      </w:r>
      <w:r>
        <w:t xml:space="preserve"> – Australian National Audit Office</w:t>
      </w:r>
    </w:p>
    <w:p w14:paraId="12656F31" w14:textId="77777777" w:rsidR="00DA2590" w:rsidRDefault="00DA2590" w:rsidP="00DA2590">
      <w:pPr>
        <w:pStyle w:val="BodyCopy"/>
      </w:pPr>
      <w:r>
        <w:rPr>
          <w:rStyle w:val="Bold"/>
        </w:rPr>
        <w:t>AND</w:t>
      </w:r>
      <w:r>
        <w:t xml:space="preserve"> – Australian Network on Disability</w:t>
      </w:r>
    </w:p>
    <w:p w14:paraId="58675536" w14:textId="77777777" w:rsidR="00DA2590" w:rsidRDefault="00DA2590" w:rsidP="00DA2590">
      <w:pPr>
        <w:pStyle w:val="BodyCopy"/>
      </w:pPr>
      <w:r>
        <w:rPr>
          <w:rStyle w:val="Bold"/>
        </w:rPr>
        <w:t>APS</w:t>
      </w:r>
      <w:r>
        <w:t xml:space="preserve"> – Australian Public Service</w:t>
      </w:r>
    </w:p>
    <w:p w14:paraId="0F3CCB1E" w14:textId="77777777" w:rsidR="00DA2590" w:rsidRDefault="00DA2590" w:rsidP="00DA2590">
      <w:pPr>
        <w:pStyle w:val="BodyCopy"/>
      </w:pPr>
      <w:r>
        <w:rPr>
          <w:rStyle w:val="Bold"/>
        </w:rPr>
        <w:t>APSC</w:t>
      </w:r>
      <w:r>
        <w:t xml:space="preserve"> – Australian Public Service Commission</w:t>
      </w:r>
    </w:p>
    <w:p w14:paraId="2A48F0DA" w14:textId="77777777" w:rsidR="00DA2590" w:rsidRDefault="00DA2590" w:rsidP="00DA2590">
      <w:pPr>
        <w:pStyle w:val="BodyCopy"/>
      </w:pPr>
      <w:r>
        <w:rPr>
          <w:rStyle w:val="Bold"/>
        </w:rPr>
        <w:t>APY</w:t>
      </w:r>
      <w:r>
        <w:t xml:space="preserve"> (Lands) – </w:t>
      </w:r>
      <w:proofErr w:type="spellStart"/>
      <w:r>
        <w:t>Anangu</w:t>
      </w:r>
      <w:proofErr w:type="spellEnd"/>
      <w:r>
        <w:t xml:space="preserve"> </w:t>
      </w:r>
      <w:proofErr w:type="spellStart"/>
      <w:r>
        <w:t>Pitjantjatjara</w:t>
      </w:r>
      <w:proofErr w:type="spellEnd"/>
      <w:r>
        <w:t xml:space="preserve"> Yankunytjatjara</w:t>
      </w:r>
    </w:p>
    <w:p w14:paraId="4B4CA274" w14:textId="77777777" w:rsidR="00DA2590" w:rsidRDefault="00DA2590" w:rsidP="00DA2590">
      <w:pPr>
        <w:pStyle w:val="BodyCopy"/>
      </w:pPr>
      <w:r>
        <w:rPr>
          <w:rStyle w:val="Bold"/>
        </w:rPr>
        <w:t>ARFC</w:t>
      </w:r>
      <w:r>
        <w:t xml:space="preserve"> – Audit and Financial Risk Committee</w:t>
      </w:r>
    </w:p>
    <w:p w14:paraId="56010C03" w14:textId="77777777" w:rsidR="00DA2590" w:rsidRDefault="00DA2590" w:rsidP="00DA2590">
      <w:pPr>
        <w:pStyle w:val="BodyCopy"/>
      </w:pPr>
      <w:r>
        <w:rPr>
          <w:rStyle w:val="Bold"/>
        </w:rPr>
        <w:t>AT</w:t>
      </w:r>
      <w:r>
        <w:t xml:space="preserve"> – assistive technologies</w:t>
      </w:r>
    </w:p>
    <w:p w14:paraId="0136C10F" w14:textId="77777777" w:rsidR="00DA2590" w:rsidRDefault="00DA2590" w:rsidP="00DA2590">
      <w:pPr>
        <w:pStyle w:val="BodyCopy"/>
      </w:pPr>
      <w:r>
        <w:rPr>
          <w:rStyle w:val="Bold"/>
        </w:rPr>
        <w:t>CALD</w:t>
      </w:r>
      <w:r>
        <w:t xml:space="preserve"> – Culturally and Linguistically Diverse</w:t>
      </w:r>
    </w:p>
    <w:p w14:paraId="2C991A7E" w14:textId="77777777" w:rsidR="00DA2590" w:rsidRDefault="00DA2590" w:rsidP="00DA2590">
      <w:pPr>
        <w:pStyle w:val="BodyCopy"/>
      </w:pPr>
      <w:r>
        <w:rPr>
          <w:rStyle w:val="Bold"/>
        </w:rPr>
        <w:t>CEO</w:t>
      </w:r>
      <w:r>
        <w:t xml:space="preserve"> – Chief Executive Officer</w:t>
      </w:r>
    </w:p>
    <w:p w14:paraId="089A168A" w14:textId="77777777" w:rsidR="00DA2590" w:rsidRDefault="00DA2590" w:rsidP="00DA2590">
      <w:pPr>
        <w:pStyle w:val="BodyCopy"/>
      </w:pPr>
      <w:r>
        <w:rPr>
          <w:rStyle w:val="Bold"/>
        </w:rPr>
        <w:t>CFO</w:t>
      </w:r>
      <w:r>
        <w:t xml:space="preserve"> – Chief Financial Officer</w:t>
      </w:r>
    </w:p>
    <w:p w14:paraId="1A5F650B" w14:textId="77777777" w:rsidR="00DA2590" w:rsidRDefault="00DA2590" w:rsidP="00DA2590">
      <w:pPr>
        <w:pStyle w:val="BodyCopy"/>
      </w:pPr>
      <w:r>
        <w:rPr>
          <w:rStyle w:val="Bold"/>
        </w:rPr>
        <w:t>CICD</w:t>
      </w:r>
      <w:r>
        <w:t xml:space="preserve"> – community inclusion and capacity development</w:t>
      </w:r>
    </w:p>
    <w:p w14:paraId="58B41BF7" w14:textId="77777777" w:rsidR="00DA2590" w:rsidRDefault="00DA2590" w:rsidP="00DA2590">
      <w:pPr>
        <w:pStyle w:val="BodyCopy"/>
      </w:pPr>
      <w:r>
        <w:rPr>
          <w:rStyle w:val="Bold"/>
        </w:rPr>
        <w:t>COAG</w:t>
      </w:r>
      <w:r>
        <w:t xml:space="preserve"> – Council of Australian Governments</w:t>
      </w:r>
    </w:p>
    <w:p w14:paraId="10A1C76F" w14:textId="77777777" w:rsidR="00DA2590" w:rsidRDefault="00DA2590" w:rsidP="00DA2590">
      <w:pPr>
        <w:pStyle w:val="BodyCopy"/>
      </w:pPr>
      <w:r>
        <w:rPr>
          <w:rStyle w:val="Bold"/>
        </w:rPr>
        <w:t>CPR</w:t>
      </w:r>
      <w:r>
        <w:t xml:space="preserve"> – Commonwealth Procurement Rules</w:t>
      </w:r>
    </w:p>
    <w:p w14:paraId="296CB050" w14:textId="77777777" w:rsidR="00DA2590" w:rsidRDefault="00DA2590" w:rsidP="00DA2590">
      <w:pPr>
        <w:pStyle w:val="BodyCopy"/>
      </w:pPr>
      <w:r>
        <w:rPr>
          <w:rStyle w:val="Bold"/>
        </w:rPr>
        <w:t>DDA</w:t>
      </w:r>
      <w:r>
        <w:t xml:space="preserve"> – Disability Discrimination Act 1992</w:t>
      </w:r>
    </w:p>
    <w:p w14:paraId="49B4AF60" w14:textId="77777777" w:rsidR="00DA2590" w:rsidRDefault="00DA2590" w:rsidP="00DA2590">
      <w:pPr>
        <w:pStyle w:val="BodyCopy"/>
      </w:pPr>
      <w:r>
        <w:rPr>
          <w:rStyle w:val="Bold"/>
        </w:rPr>
        <w:t>DHS</w:t>
      </w:r>
      <w:r>
        <w:t xml:space="preserve"> – Department of Human Services</w:t>
      </w:r>
    </w:p>
    <w:p w14:paraId="33B8C633" w14:textId="77777777" w:rsidR="00DA2590" w:rsidRDefault="00DA2590" w:rsidP="00DA2590">
      <w:pPr>
        <w:pStyle w:val="BodyCopy"/>
      </w:pPr>
      <w:r>
        <w:rPr>
          <w:rStyle w:val="Bold"/>
        </w:rPr>
        <w:t>DRC</w:t>
      </w:r>
      <w:r>
        <w:t xml:space="preserve"> – (COAG) Disability Reform Council</w:t>
      </w:r>
    </w:p>
    <w:p w14:paraId="52986193" w14:textId="77777777" w:rsidR="00DA2590" w:rsidRDefault="00DA2590" w:rsidP="00DA2590">
      <w:pPr>
        <w:pStyle w:val="BodyCopy"/>
      </w:pPr>
      <w:r>
        <w:rPr>
          <w:rStyle w:val="Bold"/>
        </w:rPr>
        <w:t>DSS</w:t>
      </w:r>
      <w:r>
        <w:t xml:space="preserve"> – Department of Social Services</w:t>
      </w:r>
    </w:p>
    <w:p w14:paraId="3AE43672" w14:textId="77777777" w:rsidR="00DA2590" w:rsidRDefault="00DA2590" w:rsidP="00DA2590">
      <w:pPr>
        <w:pStyle w:val="BodyCopy"/>
      </w:pPr>
      <w:r>
        <w:rPr>
          <w:rStyle w:val="Bold"/>
        </w:rPr>
        <w:t>EA</w:t>
      </w:r>
      <w:r>
        <w:t xml:space="preserve"> – enterprise agreement</w:t>
      </w:r>
    </w:p>
    <w:p w14:paraId="6009786C" w14:textId="77777777" w:rsidR="00DA2590" w:rsidRDefault="00DA2590" w:rsidP="00DA2590">
      <w:pPr>
        <w:pStyle w:val="BodyCopy"/>
      </w:pPr>
      <w:r>
        <w:rPr>
          <w:rStyle w:val="Bold"/>
        </w:rPr>
        <w:t>ECEI</w:t>
      </w:r>
      <w:r>
        <w:t xml:space="preserve"> – Early Childhood Early Intervention</w:t>
      </w:r>
    </w:p>
    <w:p w14:paraId="665DAC3C" w14:textId="77777777" w:rsidR="00DA2590" w:rsidRDefault="00DA2590" w:rsidP="00DA2590">
      <w:pPr>
        <w:pStyle w:val="BodyCopy"/>
      </w:pPr>
      <w:r>
        <w:rPr>
          <w:rStyle w:val="Bold"/>
        </w:rPr>
        <w:t>EMG</w:t>
      </w:r>
      <w:r>
        <w:t xml:space="preserve"> – Executive Management Group</w:t>
      </w:r>
    </w:p>
    <w:p w14:paraId="32A5744E" w14:textId="77777777" w:rsidR="00DA2590" w:rsidRDefault="00DA2590" w:rsidP="00DA2590">
      <w:pPr>
        <w:pStyle w:val="BodyCopy"/>
      </w:pPr>
      <w:r>
        <w:rPr>
          <w:rStyle w:val="Bold"/>
        </w:rPr>
        <w:t>EPMO</w:t>
      </w:r>
      <w:r>
        <w:t xml:space="preserve"> – Enterprise Program Management Office</w:t>
      </w:r>
    </w:p>
    <w:p w14:paraId="106BAD81" w14:textId="77777777" w:rsidR="00DA2590" w:rsidRDefault="00DA2590" w:rsidP="00DA2590">
      <w:pPr>
        <w:pStyle w:val="BodyCopy"/>
      </w:pPr>
      <w:proofErr w:type="spellStart"/>
      <w:r>
        <w:rPr>
          <w:rStyle w:val="Bold"/>
        </w:rPr>
        <w:t>FaHCSIA</w:t>
      </w:r>
      <w:proofErr w:type="spellEnd"/>
      <w:r>
        <w:t xml:space="preserve"> – Department of Families, Housing, Community Services and Indigenous Affairs</w:t>
      </w:r>
    </w:p>
    <w:p w14:paraId="0DEBE730" w14:textId="77777777" w:rsidR="00DA2590" w:rsidRDefault="00DA2590" w:rsidP="00DA2590">
      <w:pPr>
        <w:pStyle w:val="BodyCopy"/>
      </w:pPr>
      <w:r>
        <w:rPr>
          <w:rStyle w:val="Bold"/>
        </w:rPr>
        <w:t>FASD</w:t>
      </w:r>
      <w:r>
        <w:t xml:space="preserve"> – </w:t>
      </w:r>
      <w:proofErr w:type="spellStart"/>
      <w:r>
        <w:t>foetal</w:t>
      </w:r>
      <w:proofErr w:type="spellEnd"/>
      <w:r>
        <w:t xml:space="preserve"> alcohol spectrum disorders</w:t>
      </w:r>
    </w:p>
    <w:p w14:paraId="2E10CE31" w14:textId="77777777" w:rsidR="00DA2590" w:rsidRDefault="00DA2590" w:rsidP="00DA2590">
      <w:pPr>
        <w:pStyle w:val="BodyCopy"/>
      </w:pPr>
      <w:r>
        <w:rPr>
          <w:rStyle w:val="Bold"/>
        </w:rPr>
        <w:t>FPDN</w:t>
      </w:r>
      <w:r>
        <w:t xml:space="preserve"> – First Peoples Disability Network</w:t>
      </w:r>
    </w:p>
    <w:p w14:paraId="55C2F8A7" w14:textId="77777777" w:rsidR="00DA2590" w:rsidRDefault="00DA2590" w:rsidP="00DA2590">
      <w:pPr>
        <w:pStyle w:val="BodyCopy"/>
      </w:pPr>
      <w:r>
        <w:rPr>
          <w:rStyle w:val="Bold"/>
        </w:rPr>
        <w:t>FTE</w:t>
      </w:r>
      <w:r>
        <w:t xml:space="preserve"> – full-time equivalent</w:t>
      </w:r>
    </w:p>
    <w:p w14:paraId="33CA0A1E" w14:textId="77777777" w:rsidR="00DA2590" w:rsidRDefault="00DA2590" w:rsidP="00DA2590">
      <w:pPr>
        <w:pStyle w:val="BodyCopy"/>
      </w:pPr>
      <w:r>
        <w:rPr>
          <w:rStyle w:val="Bold"/>
        </w:rPr>
        <w:t>IAC</w:t>
      </w:r>
      <w:r>
        <w:t xml:space="preserve"> – Independent Advisory Council</w:t>
      </w:r>
    </w:p>
    <w:p w14:paraId="68F2E681" w14:textId="77777777" w:rsidR="00DA2590" w:rsidRDefault="00DA2590" w:rsidP="00DA2590">
      <w:pPr>
        <w:pStyle w:val="BodyCopy"/>
      </w:pPr>
      <w:r>
        <w:rPr>
          <w:rStyle w:val="Bold"/>
        </w:rPr>
        <w:t>IAGDP</w:t>
      </w:r>
      <w:r>
        <w:t xml:space="preserve"> – Indigenous Australian Government Development Program</w:t>
      </w:r>
    </w:p>
    <w:p w14:paraId="4981D940" w14:textId="77777777" w:rsidR="00DA2590" w:rsidRDefault="00DA2590" w:rsidP="00DA2590">
      <w:pPr>
        <w:pStyle w:val="BodyCopy"/>
      </w:pPr>
      <w:r>
        <w:rPr>
          <w:rStyle w:val="Bold"/>
        </w:rPr>
        <w:t>IDRG</w:t>
      </w:r>
      <w:r>
        <w:t xml:space="preserve"> – Intellectual Disability Reference Group</w:t>
      </w:r>
    </w:p>
    <w:p w14:paraId="157845CB" w14:textId="77777777" w:rsidR="00DA2590" w:rsidRDefault="00DA2590" w:rsidP="00DA2590">
      <w:pPr>
        <w:pStyle w:val="BodyCopy"/>
      </w:pPr>
      <w:r>
        <w:rPr>
          <w:rStyle w:val="Bold"/>
        </w:rPr>
        <w:lastRenderedPageBreak/>
        <w:t>ICT</w:t>
      </w:r>
      <w:r>
        <w:t xml:space="preserve"> – information and communications technology</w:t>
      </w:r>
    </w:p>
    <w:p w14:paraId="421A328B" w14:textId="77777777" w:rsidR="00DA2590" w:rsidRDefault="00DA2590" w:rsidP="00DA2590">
      <w:pPr>
        <w:pStyle w:val="BodyCopy"/>
      </w:pPr>
      <w:r>
        <w:rPr>
          <w:rStyle w:val="Bold"/>
        </w:rPr>
        <w:t>IFA</w:t>
      </w:r>
      <w:r>
        <w:t xml:space="preserve"> – Individual Flexibility Arrangements</w:t>
      </w:r>
    </w:p>
    <w:p w14:paraId="0211E860" w14:textId="77777777" w:rsidR="00DA2590" w:rsidRDefault="00DA2590" w:rsidP="00DA2590">
      <w:pPr>
        <w:pStyle w:val="BodyCopy"/>
      </w:pPr>
      <w:r>
        <w:rPr>
          <w:rStyle w:val="Bold"/>
        </w:rPr>
        <w:t>IPS</w:t>
      </w:r>
      <w:r>
        <w:t xml:space="preserve"> – Information Publication Scheme</w:t>
      </w:r>
    </w:p>
    <w:p w14:paraId="040C513E" w14:textId="77777777" w:rsidR="00DA2590" w:rsidRDefault="00DA2590" w:rsidP="00DA2590">
      <w:pPr>
        <w:pStyle w:val="BodyCopy"/>
      </w:pPr>
      <w:r>
        <w:rPr>
          <w:rStyle w:val="Bold"/>
        </w:rPr>
        <w:t>JSC</w:t>
      </w:r>
      <w:r>
        <w:t xml:space="preserve"> – Joint Standing Committee on the NDIS </w:t>
      </w:r>
    </w:p>
    <w:p w14:paraId="67956B00" w14:textId="77777777" w:rsidR="00DA2590" w:rsidRDefault="00DA2590" w:rsidP="00DA2590">
      <w:pPr>
        <w:pStyle w:val="BodyCopy"/>
      </w:pPr>
      <w:r>
        <w:rPr>
          <w:rStyle w:val="Bold"/>
        </w:rPr>
        <w:t>KPI</w:t>
      </w:r>
      <w:r>
        <w:t xml:space="preserve"> – key performance indicator</w:t>
      </w:r>
    </w:p>
    <w:p w14:paraId="6A36C7AA" w14:textId="77777777" w:rsidR="00DA2590" w:rsidRDefault="00DA2590" w:rsidP="00DA2590">
      <w:pPr>
        <w:pStyle w:val="BodyCopy"/>
      </w:pPr>
      <w:r>
        <w:rPr>
          <w:rStyle w:val="Bold"/>
        </w:rPr>
        <w:t>LAC</w:t>
      </w:r>
      <w:r>
        <w:t xml:space="preserve"> – local area coordinator</w:t>
      </w:r>
    </w:p>
    <w:p w14:paraId="5296AC28" w14:textId="77777777" w:rsidR="00DA2590" w:rsidRDefault="00DA2590" w:rsidP="00DA2590">
      <w:pPr>
        <w:pStyle w:val="BodyCopy"/>
      </w:pPr>
      <w:r>
        <w:rPr>
          <w:rStyle w:val="Bold"/>
        </w:rPr>
        <w:t>LCE</w:t>
      </w:r>
      <w:r>
        <w:t xml:space="preserve"> – lifetime cost estimator</w:t>
      </w:r>
    </w:p>
    <w:p w14:paraId="79576DD8" w14:textId="77777777" w:rsidR="00DA2590" w:rsidRDefault="00DA2590" w:rsidP="00DA2590">
      <w:pPr>
        <w:pStyle w:val="BodyCopy"/>
      </w:pPr>
      <w:r>
        <w:rPr>
          <w:rStyle w:val="Bold"/>
        </w:rPr>
        <w:t>MoU</w:t>
      </w:r>
      <w:r>
        <w:t xml:space="preserve"> – memorandum of understanding</w:t>
      </w:r>
    </w:p>
    <w:p w14:paraId="2A1DE637" w14:textId="77777777" w:rsidR="00DA2590" w:rsidRDefault="00DA2590" w:rsidP="00DA2590">
      <w:pPr>
        <w:pStyle w:val="BodyCopy"/>
      </w:pPr>
      <w:r>
        <w:rPr>
          <w:rStyle w:val="Bold"/>
        </w:rPr>
        <w:t>NAT</w:t>
      </w:r>
      <w:r>
        <w:t xml:space="preserve"> – National Access Team</w:t>
      </w:r>
    </w:p>
    <w:p w14:paraId="58159170" w14:textId="77777777" w:rsidR="00DA2590" w:rsidRDefault="00DA2590" w:rsidP="00DA2590">
      <w:pPr>
        <w:pStyle w:val="BodyCopy"/>
      </w:pPr>
      <w:r>
        <w:rPr>
          <w:rStyle w:val="Bold"/>
        </w:rPr>
        <w:t>NDIA</w:t>
      </w:r>
      <w:r>
        <w:t xml:space="preserve"> – National Disability Insurance Agency</w:t>
      </w:r>
    </w:p>
    <w:p w14:paraId="4E795E23" w14:textId="77777777" w:rsidR="00DA2590" w:rsidRDefault="00DA2590" w:rsidP="00DA2590">
      <w:pPr>
        <w:pStyle w:val="BodyCopy"/>
      </w:pPr>
      <w:r>
        <w:rPr>
          <w:rStyle w:val="Bold"/>
        </w:rPr>
        <w:t>NDIS</w:t>
      </w:r>
      <w:r>
        <w:t xml:space="preserve"> – National Disability Insurance Scheme</w:t>
      </w:r>
    </w:p>
    <w:p w14:paraId="211D4680" w14:textId="77777777" w:rsidR="00DA2590" w:rsidRDefault="00DA2590" w:rsidP="00DA2590">
      <w:pPr>
        <w:pStyle w:val="BodyCopy"/>
      </w:pPr>
      <w:r>
        <w:rPr>
          <w:rStyle w:val="Bold"/>
        </w:rPr>
        <w:t>NGO</w:t>
      </w:r>
      <w:r>
        <w:t xml:space="preserve"> – non-government </w:t>
      </w:r>
      <w:proofErr w:type="spellStart"/>
      <w:r>
        <w:t>organisation</w:t>
      </w:r>
      <w:proofErr w:type="spellEnd"/>
    </w:p>
    <w:p w14:paraId="7B26518C" w14:textId="77777777" w:rsidR="00DA2590" w:rsidRDefault="00DA2590" w:rsidP="00DA2590">
      <w:pPr>
        <w:pStyle w:val="BodyCopy"/>
      </w:pPr>
      <w:r>
        <w:rPr>
          <w:rStyle w:val="Bold"/>
        </w:rPr>
        <w:t>NMHSRG</w:t>
      </w:r>
      <w:r>
        <w:t xml:space="preserve"> – NDIA National Mental Health Sector Reference Group</w:t>
      </w:r>
    </w:p>
    <w:p w14:paraId="081358C8" w14:textId="77777777" w:rsidR="00DA2590" w:rsidRDefault="00DA2590" w:rsidP="00DA2590">
      <w:pPr>
        <w:pStyle w:val="BodyCopy"/>
      </w:pPr>
      <w:r>
        <w:rPr>
          <w:rStyle w:val="Bold"/>
        </w:rPr>
        <w:t>NPY</w:t>
      </w:r>
      <w:r>
        <w:t xml:space="preserve"> (Women’s Council) – </w:t>
      </w:r>
      <w:proofErr w:type="spellStart"/>
      <w:r>
        <w:t>Ngaanyatjarra</w:t>
      </w:r>
      <w:proofErr w:type="spellEnd"/>
      <w:r>
        <w:t xml:space="preserve">, </w:t>
      </w:r>
      <w:proofErr w:type="spellStart"/>
      <w:r>
        <w:t>Pitjantjatjara</w:t>
      </w:r>
      <w:proofErr w:type="spellEnd"/>
      <w:r>
        <w:t xml:space="preserve"> and Yankunytjatjara</w:t>
      </w:r>
    </w:p>
    <w:p w14:paraId="694199F1" w14:textId="77777777" w:rsidR="00DA2590" w:rsidRDefault="00DA2590" w:rsidP="00DA2590">
      <w:pPr>
        <w:pStyle w:val="BodyCopy"/>
      </w:pPr>
      <w:r>
        <w:rPr>
          <w:rStyle w:val="Bold"/>
        </w:rPr>
        <w:t>OAIC</w:t>
      </w:r>
      <w:r>
        <w:t xml:space="preserve"> – Office of Australian Information Commissioner</w:t>
      </w:r>
    </w:p>
    <w:p w14:paraId="14BB8F9D" w14:textId="77777777" w:rsidR="00DA2590" w:rsidRDefault="00DA2590" w:rsidP="00DA2590">
      <w:pPr>
        <w:pStyle w:val="BodyCopy"/>
      </w:pPr>
      <w:r>
        <w:rPr>
          <w:rStyle w:val="Bold"/>
        </w:rPr>
        <w:t>OECD</w:t>
      </w:r>
      <w:r>
        <w:t xml:space="preserve"> – </w:t>
      </w:r>
      <w:proofErr w:type="spellStart"/>
      <w:r>
        <w:t>Organisation</w:t>
      </w:r>
      <w:proofErr w:type="spellEnd"/>
      <w:r>
        <w:t xml:space="preserve"> for Economic Cooperation and Development</w:t>
      </w:r>
    </w:p>
    <w:p w14:paraId="7A814470" w14:textId="77777777" w:rsidR="00DA2590" w:rsidRDefault="00DA2590" w:rsidP="00DA2590">
      <w:pPr>
        <w:pStyle w:val="BodyCopy"/>
      </w:pPr>
      <w:r>
        <w:rPr>
          <w:rStyle w:val="Bold"/>
        </w:rPr>
        <w:t>PBS</w:t>
      </w:r>
      <w:r>
        <w:t xml:space="preserve"> – Portfolio Budget Statement</w:t>
      </w:r>
    </w:p>
    <w:p w14:paraId="4C2B64B0" w14:textId="77777777" w:rsidR="00DA2590" w:rsidRDefault="00DA2590" w:rsidP="00DA2590">
      <w:pPr>
        <w:pStyle w:val="BodyCopy"/>
      </w:pPr>
      <w:r>
        <w:rPr>
          <w:rStyle w:val="Bold"/>
        </w:rPr>
        <w:t>PGPA</w:t>
      </w:r>
      <w:r>
        <w:t xml:space="preserve"> – public governance performance and accountability</w:t>
      </w:r>
    </w:p>
    <w:p w14:paraId="37C29246" w14:textId="77777777" w:rsidR="00DA2590" w:rsidRDefault="00DA2590" w:rsidP="00DA2590">
      <w:pPr>
        <w:pStyle w:val="BodyCopy"/>
      </w:pPr>
      <w:r>
        <w:rPr>
          <w:rStyle w:val="Bold"/>
        </w:rPr>
        <w:t>RMR</w:t>
      </w:r>
      <w:r>
        <w:t xml:space="preserve"> – Risk Management Rules</w:t>
      </w:r>
    </w:p>
    <w:p w14:paraId="3E725535" w14:textId="77777777" w:rsidR="00DA2590" w:rsidRDefault="00DA2590" w:rsidP="00DA2590">
      <w:pPr>
        <w:pStyle w:val="BodyCopy"/>
      </w:pPr>
      <w:r>
        <w:rPr>
          <w:rStyle w:val="Bold"/>
        </w:rPr>
        <w:t>SDF</w:t>
      </w:r>
      <w:r>
        <w:t xml:space="preserve"> – Sector Development Fund</w:t>
      </w:r>
    </w:p>
    <w:p w14:paraId="433B9A8F" w14:textId="77777777" w:rsidR="00DA2590" w:rsidRDefault="00DA2590" w:rsidP="00DA2590">
      <w:pPr>
        <w:pStyle w:val="BodyCopy"/>
      </w:pPr>
      <w:r>
        <w:rPr>
          <w:rStyle w:val="Bold"/>
        </w:rPr>
        <w:t>SDOM</w:t>
      </w:r>
      <w:r>
        <w:t xml:space="preserve"> – Service Delivery Operating Model</w:t>
      </w:r>
    </w:p>
    <w:p w14:paraId="60A544A7" w14:textId="77777777" w:rsidR="00DA2590" w:rsidRDefault="00DA2590" w:rsidP="00DA2590">
      <w:pPr>
        <w:pStyle w:val="BodyCopy"/>
      </w:pPr>
      <w:r>
        <w:rPr>
          <w:rStyle w:val="Bold"/>
        </w:rPr>
        <w:t>SES</w:t>
      </w:r>
      <w:r>
        <w:t xml:space="preserve"> – Senior Executive Service</w:t>
      </w:r>
    </w:p>
    <w:p w14:paraId="3F47994E" w14:textId="77777777" w:rsidR="00DA2590" w:rsidRDefault="00DA2590" w:rsidP="00DA2590">
      <w:pPr>
        <w:pStyle w:val="BodyCopy"/>
      </w:pPr>
      <w:r>
        <w:rPr>
          <w:rStyle w:val="Bold"/>
        </w:rPr>
        <w:t>SPN</w:t>
      </w:r>
      <w:r>
        <w:t xml:space="preserve"> – Staff Participant Network</w:t>
      </w:r>
    </w:p>
    <w:p w14:paraId="38D1089F" w14:textId="77777777" w:rsidR="00DA2590" w:rsidRDefault="00DA2590" w:rsidP="00DA2590">
      <w:pPr>
        <w:pStyle w:val="BodyCopy"/>
      </w:pPr>
      <w:r>
        <w:rPr>
          <w:rStyle w:val="Bold"/>
        </w:rPr>
        <w:t>TAFE</w:t>
      </w:r>
      <w:r>
        <w:t xml:space="preserve"> – technical and further education</w:t>
      </w:r>
    </w:p>
    <w:p w14:paraId="464499F2" w14:textId="77777777" w:rsidR="00DA2590" w:rsidRDefault="00DA2590" w:rsidP="00DA2590">
      <w:pPr>
        <w:pStyle w:val="BodyCopy"/>
      </w:pPr>
      <w:r>
        <w:rPr>
          <w:rStyle w:val="Bold"/>
        </w:rPr>
        <w:t>UN</w:t>
      </w:r>
      <w:r>
        <w:t xml:space="preserve"> – United Nations</w:t>
      </w:r>
    </w:p>
    <w:p w14:paraId="50D2BF1E" w14:textId="77777777" w:rsidR="00DA2590" w:rsidRDefault="00DA2590" w:rsidP="00DA2590">
      <w:pPr>
        <w:pStyle w:val="BodyCopy"/>
      </w:pPr>
      <w:r>
        <w:rPr>
          <w:rStyle w:val="Bold"/>
        </w:rPr>
        <w:t>VALID</w:t>
      </w:r>
      <w:r>
        <w:t xml:space="preserve"> – Victorian Advocacy League for Adults with Intellectual Disabilities</w:t>
      </w:r>
    </w:p>
    <w:p w14:paraId="3FFAB272" w14:textId="77777777" w:rsidR="00DA2590" w:rsidRDefault="00DA2590" w:rsidP="00DA2590">
      <w:pPr>
        <w:pStyle w:val="BodyCopy"/>
      </w:pPr>
      <w:r>
        <w:rPr>
          <w:rStyle w:val="Bold"/>
        </w:rPr>
        <w:t>VCBS</w:t>
      </w:r>
      <w:r>
        <w:t xml:space="preserve"> – values, capabilities and </w:t>
      </w:r>
      <w:proofErr w:type="spellStart"/>
      <w:r>
        <w:t>behaviours</w:t>
      </w:r>
      <w:proofErr w:type="spellEnd"/>
      <w:r>
        <w:t xml:space="preserve"> statement</w:t>
      </w:r>
    </w:p>
    <w:p w14:paraId="0F9CA35F" w14:textId="77777777" w:rsidR="00DA2590" w:rsidRDefault="00DA2590" w:rsidP="00DA2590">
      <w:pPr>
        <w:pStyle w:val="BodyCopy"/>
      </w:pPr>
      <w:r>
        <w:rPr>
          <w:rStyle w:val="Bold"/>
        </w:rPr>
        <w:t>VCE</w:t>
      </w:r>
      <w:r>
        <w:t xml:space="preserve"> – Victorian Certificate of Education</w:t>
      </w:r>
    </w:p>
    <w:p w14:paraId="073432D4" w14:textId="77777777" w:rsidR="00DA2590" w:rsidRDefault="00DA2590" w:rsidP="00DA2590">
      <w:pPr>
        <w:pStyle w:val="BodyCopy"/>
      </w:pPr>
      <w:r>
        <w:rPr>
          <w:rStyle w:val="Bold"/>
        </w:rPr>
        <w:t>WHS</w:t>
      </w:r>
      <w:r>
        <w:t xml:space="preserve"> – work health and safety</w:t>
      </w:r>
    </w:p>
    <w:p w14:paraId="6C739643" w14:textId="0E838E45" w:rsidR="00D12C50" w:rsidRDefault="00D12C50" w:rsidP="00D12C50">
      <w:pPr>
        <w:pStyle w:val="Heading2"/>
      </w:pPr>
      <w:bookmarkStart w:id="601" w:name="_Toc464482139"/>
      <w:r>
        <w:lastRenderedPageBreak/>
        <w:t>Glossary</w:t>
      </w:r>
      <w:bookmarkEnd w:id="601"/>
    </w:p>
    <w:p w14:paraId="295869C0" w14:textId="77777777" w:rsidR="00D12C50" w:rsidRDefault="00D12C50" w:rsidP="00D12C50">
      <w:pPr>
        <w:pStyle w:val="BodyCopy"/>
      </w:pPr>
      <w:r>
        <w:rPr>
          <w:rStyle w:val="Bold"/>
        </w:rPr>
        <w:t>Approved plan</w:t>
      </w:r>
      <w:r>
        <w:t xml:space="preserve"> – a participant’s plan that includes the participant’s statement of goals and aspirations and the supports required by the participant to attain their goals— informal, mainstream and NDIA-funded as approved by the CEO</w:t>
      </w:r>
    </w:p>
    <w:p w14:paraId="3FDDA352" w14:textId="77777777" w:rsidR="00D12C50" w:rsidRDefault="00D12C50" w:rsidP="00D12C50">
      <w:pPr>
        <w:pStyle w:val="BodyCopy"/>
      </w:pPr>
      <w:r>
        <w:rPr>
          <w:rStyle w:val="Bold"/>
        </w:rPr>
        <w:t>Assistive Technology (AT)</w:t>
      </w:r>
      <w:r>
        <w:t xml:space="preserve"> – the full range of technological solutions that allow people with disability to be more independent, more connected, and provide opportunities for them to </w:t>
      </w:r>
      <w:proofErr w:type="spellStart"/>
      <w:r>
        <w:t>realise</w:t>
      </w:r>
      <w:proofErr w:type="spellEnd"/>
      <w:r>
        <w:t xml:space="preserve"> their potential as active members of their families, schools, workplaces and communities. Beyond the traditional aids and equipment used by people with disability, including home and vehicle modifications, prosthetics and hearing aids, it includes devices used by people without disability (for example, smartphones, tablets and apps) that are offering new ways to form connections and increase participation</w:t>
      </w:r>
    </w:p>
    <w:p w14:paraId="34CF5FF3" w14:textId="77777777" w:rsidR="00D12C50" w:rsidRDefault="00D12C50" w:rsidP="00D12C50">
      <w:pPr>
        <w:pStyle w:val="BodyCopy"/>
      </w:pPr>
      <w:r>
        <w:rPr>
          <w:rStyle w:val="Bold"/>
        </w:rPr>
        <w:t>Bilateral agreement</w:t>
      </w:r>
      <w:r>
        <w:t xml:space="preserve"> – an agreement between the Commonwealth Government and jurisdictional governments regarding roles and responsibilities for the transition to full coverage of the NDIS</w:t>
      </w:r>
    </w:p>
    <w:p w14:paraId="12A0BAFB" w14:textId="77777777" w:rsidR="00D12C50" w:rsidRDefault="00D12C50" w:rsidP="00D12C50">
      <w:pPr>
        <w:pStyle w:val="BodyCopy"/>
      </w:pPr>
      <w:r>
        <w:rPr>
          <w:rStyle w:val="Bold"/>
        </w:rPr>
        <w:t>Bilateral agreement targets</w:t>
      </w:r>
      <w:r>
        <w:t xml:space="preserve"> – the number, location and age of participants that enter the Scheme in each site is determined by legislative rules based on bilateral agreements between the Commonwealth and each of the host jurisdictions</w:t>
      </w:r>
    </w:p>
    <w:p w14:paraId="3B31F086" w14:textId="77777777" w:rsidR="00D12C50" w:rsidRDefault="00D12C50" w:rsidP="00D12C50">
      <w:pPr>
        <w:pStyle w:val="BodyCopy"/>
      </w:pPr>
      <w:proofErr w:type="spellStart"/>
      <w:r>
        <w:rPr>
          <w:rStyle w:val="Bold"/>
        </w:rPr>
        <w:t>Carer</w:t>
      </w:r>
      <w:proofErr w:type="spellEnd"/>
      <w:r>
        <w:t xml:space="preserve"> – someone who provides personal care, support and assistance to a person with disability and who is not contracted as a paid or voluntary worker</w:t>
      </w:r>
    </w:p>
    <w:p w14:paraId="05E50725" w14:textId="77777777" w:rsidR="00D12C50" w:rsidRDefault="00D12C50" w:rsidP="00D12C50">
      <w:pPr>
        <w:pStyle w:val="BodyCopy"/>
      </w:pPr>
      <w:r>
        <w:rPr>
          <w:rStyle w:val="Bold"/>
        </w:rPr>
        <w:t>Citizens’ Jury</w:t>
      </w:r>
      <w:r>
        <w:t xml:space="preserve"> – a mechanism of deliberative democracy that draws on some processes of a legal trial-by-jury and encourages people who do not usually have a voice to have a say on important issues</w:t>
      </w:r>
    </w:p>
    <w:p w14:paraId="3E4FCE57" w14:textId="77777777" w:rsidR="00D12C50" w:rsidRDefault="00D12C50" w:rsidP="00D12C50">
      <w:pPr>
        <w:pStyle w:val="BodyCopy"/>
      </w:pPr>
      <w:r>
        <w:rPr>
          <w:rStyle w:val="Bold"/>
        </w:rPr>
        <w:t>Co-design</w:t>
      </w:r>
      <w:r>
        <w:t xml:space="preserve"> – a design process which empowers, encourages, and guides users to develop solutions for themselves</w:t>
      </w:r>
    </w:p>
    <w:p w14:paraId="16ABA66A" w14:textId="77777777" w:rsidR="00D12C50" w:rsidRDefault="00D12C50" w:rsidP="00D12C50">
      <w:pPr>
        <w:pStyle w:val="BodyCopy"/>
      </w:pPr>
      <w:r>
        <w:rPr>
          <w:rStyle w:val="Bold"/>
        </w:rPr>
        <w:t>Committed support</w:t>
      </w:r>
      <w:r>
        <w:t xml:space="preserve"> – funds included for reasonable and necessary supports for participants in approved plans</w:t>
      </w:r>
    </w:p>
    <w:p w14:paraId="521BFCEF" w14:textId="77777777" w:rsidR="00D12C50" w:rsidRDefault="00D12C50" w:rsidP="00D12C50">
      <w:pPr>
        <w:pStyle w:val="BodyCopy"/>
      </w:pPr>
      <w:r>
        <w:rPr>
          <w:rStyle w:val="Bold"/>
        </w:rPr>
        <w:t>Community services</w:t>
      </w:r>
      <w:r>
        <w:t xml:space="preserve"> – activities and services such as social, study, sporting or other interests, available from local non-government groups and government entities</w:t>
      </w:r>
    </w:p>
    <w:p w14:paraId="16C34128" w14:textId="77777777" w:rsidR="00D12C50" w:rsidRDefault="00D12C50" w:rsidP="00D12C50">
      <w:pPr>
        <w:pStyle w:val="BodyCopy"/>
      </w:pPr>
      <w:r>
        <w:rPr>
          <w:rStyle w:val="Bold"/>
        </w:rPr>
        <w:t>Diversity groups</w:t>
      </w:r>
      <w:r>
        <w:t xml:space="preserve"> – sociological categories in a demographic. Those of particular relevance to the NDIS in the Australian community include Aboriginal and Torres Strait Islander people, people with disability, women, and people from non-English speaking backgrounds</w:t>
      </w:r>
    </w:p>
    <w:p w14:paraId="5BA75753" w14:textId="77777777" w:rsidR="00D12C50" w:rsidRDefault="00D12C50" w:rsidP="00D12C50">
      <w:pPr>
        <w:pStyle w:val="BodyCopy"/>
      </w:pPr>
      <w:r>
        <w:rPr>
          <w:rStyle w:val="Bold"/>
        </w:rPr>
        <w:t>Early intervention</w:t>
      </w:r>
      <w:r>
        <w:t xml:space="preserve"> – providing support early in a child’s life or post-onset of disability to reduce the effects of disability and to improve functional capacity</w:t>
      </w:r>
    </w:p>
    <w:p w14:paraId="3DCDE30B" w14:textId="77777777" w:rsidR="00D12C50" w:rsidRDefault="00D12C50" w:rsidP="00D12C50">
      <w:pPr>
        <w:pStyle w:val="BodyCopy"/>
      </w:pPr>
      <w:r>
        <w:rPr>
          <w:rStyle w:val="Bold"/>
        </w:rPr>
        <w:t>Efficient price</w:t>
      </w:r>
      <w:r>
        <w:t xml:space="preserve"> – a price determined by the Agency as the maximum amount to be included for certain supports in a participant’s plan. This price is built up from the cost of wages, on-costs and </w:t>
      </w:r>
      <w:proofErr w:type="spellStart"/>
      <w:r>
        <w:t>organisational</w:t>
      </w:r>
      <w:proofErr w:type="spellEnd"/>
      <w:r>
        <w:t xml:space="preserve"> overheads and includes a margin for profit or re-investment</w:t>
      </w:r>
    </w:p>
    <w:p w14:paraId="1E8BF94F" w14:textId="77777777" w:rsidR="00D12C50" w:rsidRDefault="00D12C50" w:rsidP="00D12C50">
      <w:pPr>
        <w:pStyle w:val="BodyCopy"/>
      </w:pPr>
      <w:r>
        <w:rPr>
          <w:rStyle w:val="Bold"/>
        </w:rPr>
        <w:t>Equivalence participation</w:t>
      </w:r>
      <w:r>
        <w:t xml:space="preserve"> – the mechanism by which the Agency </w:t>
      </w:r>
      <w:proofErr w:type="spellStart"/>
      <w:r>
        <w:t>recognises</w:t>
      </w:r>
      <w:proofErr w:type="spellEnd"/>
      <w:r>
        <w:t xml:space="preserve"> that some people with disability who are participating in existing state and Commonwealth disability programs with eligibility criteria matching that of the NDIS Scheme therefore qualify for support under the NDIS Scheme</w:t>
      </w:r>
    </w:p>
    <w:p w14:paraId="7AE81D25" w14:textId="77777777" w:rsidR="00D12C50" w:rsidRDefault="00D12C50" w:rsidP="00D12C50">
      <w:pPr>
        <w:pStyle w:val="BodyCopy"/>
      </w:pPr>
      <w:r>
        <w:rPr>
          <w:rStyle w:val="Bold"/>
        </w:rPr>
        <w:t>Evidence base</w:t>
      </w:r>
      <w:r>
        <w:t xml:space="preserve"> – the evidentiary base for decision making by NDIA personnel, including whether a person meets the access criteria for funding for reasonable and necessary supports, as well as the factual information compiled by the Agency from its experience in trial sites, data collection and independent research</w:t>
      </w:r>
    </w:p>
    <w:p w14:paraId="35B2FF4A" w14:textId="77777777" w:rsidR="00D12C50" w:rsidRDefault="00D12C50" w:rsidP="00D12C50">
      <w:pPr>
        <w:pStyle w:val="BodyCopy"/>
      </w:pPr>
      <w:r>
        <w:rPr>
          <w:rStyle w:val="Bold"/>
        </w:rPr>
        <w:t>Formal supports</w:t>
      </w:r>
      <w:r>
        <w:t xml:space="preserve"> – see reasonable and necessary supports</w:t>
      </w:r>
    </w:p>
    <w:p w14:paraId="2EF8949F" w14:textId="77777777" w:rsidR="00D12C50" w:rsidRDefault="00D12C50" w:rsidP="00D12C50">
      <w:pPr>
        <w:pStyle w:val="BodyCopy"/>
      </w:pPr>
      <w:r>
        <w:rPr>
          <w:rStyle w:val="Bold"/>
        </w:rPr>
        <w:t>Full Scheme</w:t>
      </w:r>
      <w:r>
        <w:t xml:space="preserve"> – also known as ‘full rollout’, the dates by which the Scheme will be available to potential participants, specifically, in the Australian Capital Territory by July 2016, in New South Wales and South Australia by July 2018, and in Tasmania, Victoria, Queensland and the Northern Territory by July 2019</w:t>
      </w:r>
    </w:p>
    <w:p w14:paraId="116A7055" w14:textId="77777777" w:rsidR="00D12C50" w:rsidRDefault="00D12C50" w:rsidP="00D12C50">
      <w:pPr>
        <w:pStyle w:val="BodyCopy"/>
      </w:pPr>
      <w:r>
        <w:rPr>
          <w:rStyle w:val="Bold"/>
        </w:rPr>
        <w:lastRenderedPageBreak/>
        <w:t>Functional impact</w:t>
      </w:r>
      <w:r>
        <w:t xml:space="preserve"> – a description of the nature and extent of a person’s disability and how it affects the things they need to do and the way they do them</w:t>
      </w:r>
    </w:p>
    <w:p w14:paraId="3B6414D1" w14:textId="77777777" w:rsidR="00D12C50" w:rsidRDefault="00D12C50" w:rsidP="00D12C50">
      <w:pPr>
        <w:pStyle w:val="BodyCopy"/>
      </w:pPr>
      <w:r>
        <w:rPr>
          <w:rStyle w:val="Bold"/>
        </w:rPr>
        <w:t>Funded supports</w:t>
      </w:r>
      <w:r>
        <w:t xml:space="preserve"> – see reasonable and necessary supports</w:t>
      </w:r>
    </w:p>
    <w:p w14:paraId="097F68A6" w14:textId="77777777" w:rsidR="00D12C50" w:rsidRDefault="00D12C50" w:rsidP="00D12C50">
      <w:pPr>
        <w:pStyle w:val="BodyCopy"/>
      </w:pPr>
      <w:r>
        <w:rPr>
          <w:rStyle w:val="Bold"/>
        </w:rPr>
        <w:t>Funding envelope</w:t>
      </w:r>
      <w:r>
        <w:t xml:space="preserve"> – the Agency funding envelope refers to the monies contributed by state and Commonwealth governments for the operational and participant costs of the NDIS Scheme</w:t>
      </w:r>
    </w:p>
    <w:p w14:paraId="77DE7028" w14:textId="77777777" w:rsidR="00D12C50" w:rsidRDefault="00D12C50" w:rsidP="00D12C50">
      <w:pPr>
        <w:pStyle w:val="BodyCopy"/>
      </w:pPr>
      <w:r>
        <w:rPr>
          <w:rStyle w:val="Bold"/>
        </w:rPr>
        <w:t>Information, Linkages and Capacity building</w:t>
      </w:r>
      <w:r>
        <w:t xml:space="preserve"> – the term used by governments to describe the activities that will be supported by the NDIS to promote the social and economic inclusion of people with a disability including people not receiving </w:t>
      </w:r>
      <w:proofErr w:type="spellStart"/>
      <w:r>
        <w:t>individualised</w:t>
      </w:r>
      <w:proofErr w:type="spellEnd"/>
      <w:r>
        <w:t xml:space="preserve"> funded support from the NDIS (formally known as ‘Tier 2’). The activities include providing information and making linkages and referral to community or mainstream services, building the capacity of people with a disability, families and </w:t>
      </w:r>
      <w:proofErr w:type="spellStart"/>
      <w:r>
        <w:t>carers</w:t>
      </w:r>
      <w:proofErr w:type="spellEnd"/>
      <w:r>
        <w:t>, building community capacity, building mainstream service provider capacity, and local area coordination</w:t>
      </w:r>
    </w:p>
    <w:p w14:paraId="2B81B627" w14:textId="77777777" w:rsidR="00D12C50" w:rsidRDefault="00D12C50" w:rsidP="00D12C50">
      <w:pPr>
        <w:pStyle w:val="BodyCopy"/>
      </w:pPr>
      <w:r>
        <w:rPr>
          <w:rStyle w:val="Bold"/>
        </w:rPr>
        <w:t>Insurance approach</w:t>
      </w:r>
      <w:r>
        <w:t xml:space="preserve"> – sharing the costs of disability services and supports across the community</w:t>
      </w:r>
    </w:p>
    <w:p w14:paraId="2A35C751" w14:textId="77777777" w:rsidR="00D12C50" w:rsidRDefault="00D12C50" w:rsidP="00D12C50">
      <w:pPr>
        <w:pStyle w:val="BodyCopy"/>
      </w:pPr>
      <w:r>
        <w:rPr>
          <w:rStyle w:val="Bold"/>
        </w:rPr>
        <w:t>Insurance culture</w:t>
      </w:r>
      <w:r>
        <w:t xml:space="preserve"> – an </w:t>
      </w:r>
      <w:proofErr w:type="spellStart"/>
      <w:r>
        <w:t>organisational</w:t>
      </w:r>
      <w:proofErr w:type="spellEnd"/>
      <w:r>
        <w:t xml:space="preserve"> culture where staff, participants and stakeholders are </w:t>
      </w:r>
      <w:proofErr w:type="spellStart"/>
      <w:r>
        <w:t>cognisant</w:t>
      </w:r>
      <w:proofErr w:type="spellEnd"/>
      <w:r>
        <w:t xml:space="preserve"> of, and work is aligned to, insurance principles</w:t>
      </w:r>
    </w:p>
    <w:p w14:paraId="6C2C3D66" w14:textId="77777777" w:rsidR="00D12C50" w:rsidRDefault="00D12C50" w:rsidP="00D12C50">
      <w:pPr>
        <w:pStyle w:val="BodyCopy"/>
      </w:pPr>
      <w:r>
        <w:rPr>
          <w:rStyle w:val="Bold"/>
        </w:rPr>
        <w:t>Insurance principles</w:t>
      </w:r>
      <w:r>
        <w:t xml:space="preserve"> – placing emphasis on making up-front investments that reduce participants’ calls on the Scheme into the future, including investments in measuring lifetime costs, research and innovation, and community capability development</w:t>
      </w:r>
    </w:p>
    <w:p w14:paraId="783C5D20" w14:textId="77777777" w:rsidR="00D12C50" w:rsidRDefault="00D12C50" w:rsidP="00D12C50">
      <w:pPr>
        <w:pStyle w:val="BodyCopy"/>
      </w:pPr>
      <w:r>
        <w:rPr>
          <w:rStyle w:val="Bold"/>
        </w:rPr>
        <w:t>Operational plans</w:t>
      </w:r>
      <w:r>
        <w:t xml:space="preserve"> – operational plans set out the key deliverables agreed between the Agency, state and territory governments and the Commonwealth Government to support the rollout of the full NDIS Scheme. Operational plans have been developed in partnership between the parties and serve as the overarching roadmap for transitioning to the NDIS as best achieved in each jurisdiction </w:t>
      </w:r>
    </w:p>
    <w:p w14:paraId="3ECD8432" w14:textId="77777777" w:rsidR="00D12C50" w:rsidRDefault="00D12C50" w:rsidP="00D12C50">
      <w:pPr>
        <w:pStyle w:val="BodyCopy"/>
      </w:pPr>
      <w:r>
        <w:rPr>
          <w:rStyle w:val="Bold"/>
        </w:rPr>
        <w:t>Lived experience of disability</w:t>
      </w:r>
      <w:r>
        <w:t xml:space="preserve"> – either personally living with disability or having a close relationship with a person with disability (for example, a family member or partner)</w:t>
      </w:r>
    </w:p>
    <w:p w14:paraId="6D553778" w14:textId="77777777" w:rsidR="00D12C50" w:rsidRDefault="00D12C50" w:rsidP="00D12C50">
      <w:pPr>
        <w:pStyle w:val="BodyCopy"/>
      </w:pPr>
      <w:r>
        <w:rPr>
          <w:rStyle w:val="Bold"/>
        </w:rPr>
        <w:t>Longitudinal data</w:t>
      </w:r>
      <w:r>
        <w:t xml:space="preserve"> – repeated observations of the same variables over long periods of time</w:t>
      </w:r>
    </w:p>
    <w:p w14:paraId="793DF778" w14:textId="77777777" w:rsidR="00D12C50" w:rsidRDefault="00D12C50" w:rsidP="00D12C50">
      <w:pPr>
        <w:pStyle w:val="BodyCopy"/>
      </w:pPr>
      <w:r>
        <w:rPr>
          <w:rStyle w:val="Bold"/>
        </w:rPr>
        <w:t>Mainstream services</w:t>
      </w:r>
      <w:r>
        <w:t xml:space="preserve"> – government systems providing services to the Australian population, for example, health, mental health, education, justice, housing, child protection and employment services</w:t>
      </w:r>
    </w:p>
    <w:p w14:paraId="594BA09E" w14:textId="77777777" w:rsidR="00D12C50" w:rsidRDefault="00D12C50" w:rsidP="00D12C50">
      <w:pPr>
        <w:pStyle w:val="BodyCopy"/>
      </w:pPr>
      <w:r>
        <w:rPr>
          <w:rStyle w:val="Bold"/>
        </w:rPr>
        <w:t>Outcomes Framework</w:t>
      </w:r>
      <w:r>
        <w:t xml:space="preserve"> – the Agency’s mechanism for measuring success for people with disability in areas like choice and control, social inclusion, education, employment, health and housing</w:t>
      </w:r>
    </w:p>
    <w:p w14:paraId="455DA823" w14:textId="77777777" w:rsidR="00D12C50" w:rsidRDefault="00D12C50" w:rsidP="00D12C50">
      <w:pPr>
        <w:pStyle w:val="BodyCopy"/>
      </w:pPr>
      <w:r>
        <w:rPr>
          <w:rStyle w:val="Bold"/>
        </w:rPr>
        <w:t>Ordinary lives</w:t>
      </w:r>
      <w:r>
        <w:t xml:space="preserve"> – </w:t>
      </w:r>
      <w:proofErr w:type="spellStart"/>
      <w:r>
        <w:t>lives</w:t>
      </w:r>
      <w:proofErr w:type="spellEnd"/>
      <w:r>
        <w:t xml:space="preserve"> that include positive relationships, a sense of belonging, autonomy, active involvement in decision-making, and opportunities for challenge and contribution</w:t>
      </w:r>
    </w:p>
    <w:p w14:paraId="35081F48" w14:textId="77777777" w:rsidR="00D12C50" w:rsidRDefault="00D12C50" w:rsidP="00D12C50">
      <w:pPr>
        <w:pStyle w:val="BodyCopy"/>
      </w:pPr>
      <w:r>
        <w:rPr>
          <w:rStyle w:val="Bold"/>
        </w:rPr>
        <w:t>Package costs</w:t>
      </w:r>
      <w:r>
        <w:t xml:space="preserve"> – the cost to the NDIS Agency of providing funding and support to an individual participant</w:t>
      </w:r>
    </w:p>
    <w:p w14:paraId="13A4DB76" w14:textId="77777777" w:rsidR="00D12C50" w:rsidRDefault="00D12C50" w:rsidP="00D12C50">
      <w:pPr>
        <w:pStyle w:val="BodyCopy"/>
      </w:pPr>
      <w:r>
        <w:rPr>
          <w:rStyle w:val="Bold"/>
        </w:rPr>
        <w:t>Participant</w:t>
      </w:r>
      <w:r>
        <w:t xml:space="preserve"> – a person who is assessed as meeting the NDIS Scheme participation criteria under the NDIS Act</w:t>
      </w:r>
    </w:p>
    <w:p w14:paraId="3683EA3A" w14:textId="77777777" w:rsidR="00D12C50" w:rsidRDefault="00D12C50" w:rsidP="00D12C50">
      <w:pPr>
        <w:pStyle w:val="BodyCopy"/>
      </w:pPr>
      <w:r>
        <w:rPr>
          <w:rStyle w:val="Bold"/>
        </w:rPr>
        <w:t>Participant outcomes</w:t>
      </w:r>
      <w:r>
        <w:t xml:space="preserve"> – a way of measuring the aggregation of whether or not participants’ goals are achieved combined with whether the Agency is meeting its objectives</w:t>
      </w:r>
    </w:p>
    <w:p w14:paraId="7DBD7AEC" w14:textId="77777777" w:rsidR="00D12C50" w:rsidRDefault="00D12C50" w:rsidP="00D12C50">
      <w:pPr>
        <w:pStyle w:val="BodyCopy"/>
      </w:pPr>
      <w:r>
        <w:rPr>
          <w:rStyle w:val="Bold"/>
        </w:rPr>
        <w:t>Participant’s plan</w:t>
      </w:r>
      <w:r>
        <w:t xml:space="preserve"> – an approved plan consisting of a participant’s statement of goals and aspirations and the reasonable and necessary supports approved by the CEO</w:t>
      </w:r>
    </w:p>
    <w:p w14:paraId="6921B75A" w14:textId="77777777" w:rsidR="00D12C50" w:rsidRDefault="00D12C50" w:rsidP="00D12C50">
      <w:pPr>
        <w:pStyle w:val="BodyCopy"/>
      </w:pPr>
      <w:r>
        <w:rPr>
          <w:rStyle w:val="Bold"/>
        </w:rPr>
        <w:t>People with disability</w:t>
      </w:r>
      <w:r>
        <w:t xml:space="preserve"> – a person who experiences any or all of the following: impairments (abnormalities or changes in body function or structure); activity limitations (difficulties in carrying out usual age-appropriate activities); participation restrictions (problems an individual may experience engaging in community, social and family life)</w:t>
      </w:r>
    </w:p>
    <w:p w14:paraId="4D83EF35" w14:textId="77777777" w:rsidR="00D12C50" w:rsidRDefault="00D12C50" w:rsidP="00D12C50">
      <w:pPr>
        <w:pStyle w:val="BodyCopy"/>
      </w:pPr>
      <w:r>
        <w:rPr>
          <w:rStyle w:val="Bold"/>
        </w:rPr>
        <w:t>Person-</w:t>
      </w:r>
      <w:proofErr w:type="spellStart"/>
      <w:r>
        <w:rPr>
          <w:rStyle w:val="Bold"/>
        </w:rPr>
        <w:t>centred</w:t>
      </w:r>
      <w:proofErr w:type="spellEnd"/>
      <w:r>
        <w:rPr>
          <w:rStyle w:val="Bold"/>
        </w:rPr>
        <w:t xml:space="preserve"> approach</w:t>
      </w:r>
      <w:r>
        <w:t xml:space="preserve"> – places the person with disability at the </w:t>
      </w:r>
      <w:proofErr w:type="spellStart"/>
      <w:r>
        <w:t>centre</w:t>
      </w:r>
      <w:proofErr w:type="spellEnd"/>
      <w:r>
        <w:t xml:space="preserve"> of decision making in terms of their own care needs</w:t>
      </w:r>
    </w:p>
    <w:p w14:paraId="597C933A" w14:textId="77777777" w:rsidR="00D12C50" w:rsidRDefault="00D12C50" w:rsidP="00D12C50">
      <w:pPr>
        <w:pStyle w:val="BodyCopy"/>
      </w:pPr>
      <w:r>
        <w:rPr>
          <w:rStyle w:val="Bold"/>
        </w:rPr>
        <w:lastRenderedPageBreak/>
        <w:t>Planning process</w:t>
      </w:r>
      <w:r>
        <w:t xml:space="preserve"> – the process by which the Agency helps a participant to plan for the assistance they need from the Scheme to attain their goals</w:t>
      </w:r>
    </w:p>
    <w:p w14:paraId="1B290325" w14:textId="77777777" w:rsidR="00D12C50" w:rsidRDefault="00D12C50" w:rsidP="00D12C50">
      <w:pPr>
        <w:pStyle w:val="BodyCopy"/>
      </w:pPr>
      <w:r>
        <w:rPr>
          <w:rStyle w:val="Bold"/>
        </w:rPr>
        <w:t>Planning workbooks</w:t>
      </w:r>
      <w:r>
        <w:t xml:space="preserve"> – provided to participants to help them identify and record their needs, goals and current supports during the planning process</w:t>
      </w:r>
    </w:p>
    <w:p w14:paraId="0F6A6B93" w14:textId="77777777" w:rsidR="00D12C50" w:rsidRDefault="00D12C50" w:rsidP="00D12C50">
      <w:pPr>
        <w:pStyle w:val="BodyCopy"/>
      </w:pPr>
      <w:r>
        <w:rPr>
          <w:rStyle w:val="Bold"/>
        </w:rPr>
        <w:t>Psychosocial disability</w:t>
      </w:r>
      <w:r>
        <w:t xml:space="preserve"> – the term used to describe the disability experience of people with impairments and participation restrictions related to mental health conditions. These impairments and participation restrictions include loss of or reduced ability to function, think clearly, experience full physical health and manage social and emotional aspects of their lives</w:t>
      </w:r>
    </w:p>
    <w:p w14:paraId="00ADA4AC" w14:textId="77777777" w:rsidR="00D12C50" w:rsidRDefault="00D12C50" w:rsidP="00D12C50">
      <w:pPr>
        <w:pStyle w:val="BodyCopy"/>
      </w:pPr>
      <w:r>
        <w:rPr>
          <w:rStyle w:val="Bold"/>
        </w:rPr>
        <w:t>Reasonable and necessary supports</w:t>
      </w:r>
      <w:r>
        <w:t xml:space="preserve"> – the supports that are funded under the NDIS Act. The NDIA publishes operational guidelines to assist decisions on what is to be funded as a reasonable and necessary support</w:t>
      </w:r>
    </w:p>
    <w:p w14:paraId="20930BCA" w14:textId="77777777" w:rsidR="00D12C50" w:rsidRDefault="00D12C50" w:rsidP="00D12C50">
      <w:pPr>
        <w:pStyle w:val="BodyCopy"/>
      </w:pPr>
      <w:r>
        <w:rPr>
          <w:rStyle w:val="Bold"/>
        </w:rPr>
        <w:t>Reference packages</w:t>
      </w:r>
      <w:r>
        <w:t xml:space="preserve"> – a benchmark amount of support determined according to different characteristics of the population of NDIS Scheme participants such as age, health condition and ‘severity’ of disability. Reference packages will be used to monitor experience against the benchmarks</w:t>
      </w:r>
    </w:p>
    <w:p w14:paraId="44380BCA" w14:textId="77777777" w:rsidR="00D12C50" w:rsidRDefault="00D12C50" w:rsidP="00D12C50">
      <w:pPr>
        <w:pStyle w:val="BodyCopy"/>
      </w:pPr>
      <w:r>
        <w:rPr>
          <w:rStyle w:val="Bold"/>
        </w:rPr>
        <w:t>Registered service provider</w:t>
      </w:r>
      <w:r>
        <w:t xml:space="preserve"> – a disability support provider that has met the NDIS Scheme requirements for qualifications, approvals, experience and capacity for the approved supports and the quality standards of the jurisdiction in which they operate</w:t>
      </w:r>
    </w:p>
    <w:p w14:paraId="35292DB2" w14:textId="77777777" w:rsidR="00D12C50" w:rsidRDefault="00D12C50" w:rsidP="00D12C50">
      <w:pPr>
        <w:pStyle w:val="BodyCopy"/>
      </w:pPr>
      <w:r>
        <w:rPr>
          <w:rStyle w:val="Bold"/>
        </w:rPr>
        <w:t>Sector Development Fund</w:t>
      </w:r>
      <w:r>
        <w:t xml:space="preserve"> – a grants program designed to assist the disability sector, including people with disability, their families and providers, to transition to the new arrangements for disability supports under the NDIS</w:t>
      </w:r>
    </w:p>
    <w:p w14:paraId="07CAD7A4" w14:textId="77777777" w:rsidR="00D12C50" w:rsidRDefault="00D12C50" w:rsidP="00D12C50">
      <w:pPr>
        <w:pStyle w:val="BodyCopy"/>
      </w:pPr>
      <w:r>
        <w:rPr>
          <w:rStyle w:val="Bold"/>
        </w:rPr>
        <w:t>Self-direction</w:t>
      </w:r>
      <w:r>
        <w:t xml:space="preserve"> – where an intermediary </w:t>
      </w:r>
      <w:proofErr w:type="gramStart"/>
      <w:r>
        <w:t>assists</w:t>
      </w:r>
      <w:proofErr w:type="gramEnd"/>
      <w:r>
        <w:t xml:space="preserve"> with some aspects (often financial) of management of the support, but where the participant and their family make all the decisions about the what, when, where and who delivers the support</w:t>
      </w:r>
    </w:p>
    <w:p w14:paraId="0BBF571E" w14:textId="77777777" w:rsidR="00D12C50" w:rsidRDefault="00D12C50" w:rsidP="00D12C50">
      <w:pPr>
        <w:pStyle w:val="BodyCopy"/>
      </w:pPr>
      <w:r>
        <w:rPr>
          <w:rStyle w:val="Bold"/>
        </w:rPr>
        <w:t>Self-management</w:t>
      </w:r>
      <w:r>
        <w:t xml:space="preserve"> – where funding and supports are managed by the participant and their family</w:t>
      </w:r>
    </w:p>
    <w:p w14:paraId="467DD7A4" w14:textId="77777777" w:rsidR="00D12C50" w:rsidRDefault="00D12C50" w:rsidP="00D12C50">
      <w:pPr>
        <w:pStyle w:val="BodyCopy"/>
      </w:pPr>
      <w:r>
        <w:rPr>
          <w:rStyle w:val="Bold"/>
        </w:rPr>
        <w:t>Separation rate</w:t>
      </w:r>
      <w:r>
        <w:t xml:space="preserve"> – the measure of people choosing to leave employment in the Agency</w:t>
      </w:r>
    </w:p>
    <w:p w14:paraId="64C67BD4" w14:textId="77777777" w:rsidR="00D12C50" w:rsidRDefault="00D12C50" w:rsidP="00D12C50">
      <w:pPr>
        <w:pStyle w:val="BodyCopy"/>
      </w:pPr>
      <w:r>
        <w:rPr>
          <w:rStyle w:val="Bold"/>
        </w:rPr>
        <w:t>Significant experience of disability</w:t>
      </w:r>
      <w:r>
        <w:t xml:space="preserve"> - persons who have had or currently have a family member with a disability, have cared for or currently care for a person with disability or have three years or more working with or for people with disability</w:t>
      </w:r>
    </w:p>
    <w:p w14:paraId="2D895845" w14:textId="77777777" w:rsidR="00D12C50" w:rsidRDefault="00D12C50" w:rsidP="00D12C50">
      <w:pPr>
        <w:pStyle w:val="BodyCopy"/>
      </w:pPr>
      <w:r>
        <w:rPr>
          <w:rStyle w:val="Bold"/>
        </w:rPr>
        <w:t>Support package</w:t>
      </w:r>
      <w:r>
        <w:t xml:space="preserve"> – the term used by the Agency to describe the funding for the supports available to an individual participant</w:t>
      </w:r>
    </w:p>
    <w:p w14:paraId="090C2A42" w14:textId="77777777" w:rsidR="00D12C50" w:rsidRDefault="00D12C50" w:rsidP="00D12C50">
      <w:pPr>
        <w:pStyle w:val="BodyCopy"/>
      </w:pPr>
      <w:r>
        <w:rPr>
          <w:rStyle w:val="Bold"/>
        </w:rPr>
        <w:t>Supports</w:t>
      </w:r>
      <w:r>
        <w:t xml:space="preserve"> – assistance that helps a participant to reach their goals, objectives and aspirations, and to undertake activities to enable their social and economic participation</w:t>
      </w:r>
    </w:p>
    <w:p w14:paraId="32BDDBA0" w14:textId="77777777" w:rsidR="00D12C50" w:rsidRDefault="00D12C50" w:rsidP="00D12C50">
      <w:pPr>
        <w:pStyle w:val="BodyCopy"/>
      </w:pPr>
      <w:r>
        <w:rPr>
          <w:rStyle w:val="Bold"/>
        </w:rPr>
        <w:t>Trial phase</w:t>
      </w:r>
      <w:r>
        <w:t xml:space="preserve"> – the first three years of the NDIS Scheme</w:t>
      </w:r>
    </w:p>
    <w:p w14:paraId="389F6510" w14:textId="77777777" w:rsidR="00D12C50" w:rsidRDefault="00D12C50" w:rsidP="00D12C50">
      <w:pPr>
        <w:pStyle w:val="BodyCopy"/>
      </w:pPr>
      <w:r>
        <w:rPr>
          <w:rStyle w:val="Bold"/>
        </w:rPr>
        <w:t>Trial sites</w:t>
      </w:r>
      <w:r>
        <w:t xml:space="preserve"> – the NDIA sites at which different operating models for providing services to people with disability are being </w:t>
      </w:r>
      <w:proofErr w:type="spellStart"/>
      <w:r>
        <w:t>trialled</w:t>
      </w:r>
      <w:proofErr w:type="spellEnd"/>
      <w:r>
        <w:t xml:space="preserve"> under the Scheme</w:t>
      </w:r>
    </w:p>
    <w:p w14:paraId="06B9103D" w14:textId="3FEB51E3" w:rsidR="000A5027" w:rsidRDefault="000A5027" w:rsidP="000A5027">
      <w:pPr>
        <w:pStyle w:val="Heading2"/>
      </w:pPr>
      <w:bookmarkStart w:id="602" w:name="_Toc464482140"/>
      <w:r>
        <w:lastRenderedPageBreak/>
        <w:t>Appendix 1</w:t>
      </w:r>
      <w:r>
        <w:br/>
        <w:t>The Agency’s Senior Management</w:t>
      </w:r>
      <w:bookmarkEnd w:id="602"/>
    </w:p>
    <w:p w14:paraId="04B0A3D2" w14:textId="46F9E547" w:rsidR="000A5027" w:rsidRDefault="000A5027" w:rsidP="000A5027">
      <w:pPr>
        <w:pStyle w:val="Heading3"/>
      </w:pPr>
      <w:r>
        <w:t>General management</w:t>
      </w:r>
    </w:p>
    <w:p w14:paraId="0789507C" w14:textId="77777777" w:rsidR="000A5027" w:rsidRDefault="000A5027" w:rsidP="000A5027">
      <w:pPr>
        <w:pStyle w:val="Heading4"/>
      </w:pPr>
      <w:r>
        <w:t>General Managers, Operations Group</w:t>
      </w:r>
    </w:p>
    <w:p w14:paraId="39E16A6E" w14:textId="77777777" w:rsidR="000A5027" w:rsidRDefault="000A5027" w:rsidP="000A5027">
      <w:pPr>
        <w:pStyle w:val="Heading5"/>
      </w:pPr>
      <w:r>
        <w:t>General Manager, Service Delivery</w:t>
      </w:r>
      <w:r>
        <w:br/>
      </w:r>
      <w:proofErr w:type="spellStart"/>
      <w:r>
        <w:t>Ms</w:t>
      </w:r>
      <w:proofErr w:type="spellEnd"/>
      <w:r>
        <w:t xml:space="preserve"> Liz Cairns</w:t>
      </w:r>
    </w:p>
    <w:p w14:paraId="17BCDF72" w14:textId="77777777" w:rsidR="000A5027" w:rsidRDefault="000A5027" w:rsidP="000A5027">
      <w:pPr>
        <w:pStyle w:val="BodyCopy"/>
      </w:pPr>
      <w:proofErr w:type="spellStart"/>
      <w:r>
        <w:t>Ms</w:t>
      </w:r>
      <w:proofErr w:type="spellEnd"/>
      <w:r>
        <w:t xml:space="preserve"> Liz Cairns was appointed General Manager, Service Delivery in 2014. In this role, she is responsible for all of the Agency’s service delivery. Prior to this, she was the Manager of the Agency’s </w:t>
      </w:r>
      <w:proofErr w:type="spellStart"/>
      <w:r>
        <w:t>Barwon</w:t>
      </w:r>
      <w:proofErr w:type="spellEnd"/>
      <w:r>
        <w:t xml:space="preserve"> trial site in Victoria. </w:t>
      </w:r>
      <w:proofErr w:type="spellStart"/>
      <w:r>
        <w:t>Ms</w:t>
      </w:r>
      <w:proofErr w:type="spellEnd"/>
      <w:r>
        <w:t xml:space="preserve"> Cairns has also worked with PricewaterhouseCoopers Sydney in its Health and Disability Advisory Team, and for New Zealand’s Accident Compensation Corporation where she established the National Serious Injury Service in 2007.</w:t>
      </w:r>
    </w:p>
    <w:p w14:paraId="43D4D7F4" w14:textId="77777777" w:rsidR="000A5027" w:rsidRDefault="000A5027" w:rsidP="000A5027">
      <w:pPr>
        <w:pStyle w:val="BodyCopy"/>
      </w:pPr>
      <w:proofErr w:type="spellStart"/>
      <w:r>
        <w:t>Ms</w:t>
      </w:r>
      <w:proofErr w:type="spellEnd"/>
      <w:r>
        <w:t xml:space="preserve"> Cairns has worked in disability, health and rehabilitation for 24 years. She has worked in publicly-funded health and disability support services, and in catastrophic injury management. Her disability experience is extensive and includes physical, intellectual, sensory and cognitive disability.</w:t>
      </w:r>
    </w:p>
    <w:p w14:paraId="576D86AD" w14:textId="77777777" w:rsidR="000A5027" w:rsidRDefault="000A5027" w:rsidP="000A5027">
      <w:pPr>
        <w:pStyle w:val="Heading5"/>
      </w:pPr>
      <w:r>
        <w:t>General Manager, Operations</w:t>
      </w:r>
      <w:r>
        <w:br/>
      </w:r>
      <w:proofErr w:type="spellStart"/>
      <w:r>
        <w:t>Mr</w:t>
      </w:r>
      <w:proofErr w:type="spellEnd"/>
      <w:r>
        <w:t xml:space="preserve"> Scott McNaughton</w:t>
      </w:r>
    </w:p>
    <w:p w14:paraId="1FD48F4A" w14:textId="77777777" w:rsidR="000A5027" w:rsidRDefault="000A5027" w:rsidP="000A5027">
      <w:pPr>
        <w:pStyle w:val="BodyCopy"/>
      </w:pPr>
      <w:proofErr w:type="spellStart"/>
      <w:r>
        <w:t>Mr</w:t>
      </w:r>
      <w:proofErr w:type="spellEnd"/>
      <w:r>
        <w:t xml:space="preserve"> Scott McNaughton has been with the Agency for just over two years, and was previously the Branch Manager Full Scheme Implementation. </w:t>
      </w:r>
      <w:proofErr w:type="spellStart"/>
      <w:r>
        <w:t>Mr</w:t>
      </w:r>
      <w:proofErr w:type="spellEnd"/>
      <w:r>
        <w:t xml:space="preserve"> McNaughton joined the Agency from the Commonwealth Department of Human Services (DHS) where he was previously the Service Zone Leader for West Victoria. He was responsible for the face-to-face services in the </w:t>
      </w:r>
      <w:proofErr w:type="spellStart"/>
      <w:r>
        <w:t>Centrelink</w:t>
      </w:r>
      <w:proofErr w:type="spellEnd"/>
      <w:r>
        <w:t xml:space="preserve">, Medicare and Child Support Agency offices for all of Western Victoria. He has previously headed up the Innovation and Digital Design Branch in DHS, as well various operations </w:t>
      </w:r>
      <w:proofErr w:type="gramStart"/>
      <w:r>
        <w:t>branches</w:t>
      </w:r>
      <w:proofErr w:type="gramEnd"/>
      <w:r>
        <w:t xml:space="preserve"> in DHS. </w:t>
      </w:r>
      <w:proofErr w:type="spellStart"/>
      <w:r>
        <w:t>Mr</w:t>
      </w:r>
      <w:proofErr w:type="spellEnd"/>
      <w:r>
        <w:t xml:space="preserve"> McNaughton has been in the Australian Public Service for around 20 years, spending time in various departments in both Canberra and Victoria—including </w:t>
      </w:r>
      <w:proofErr w:type="spellStart"/>
      <w:r>
        <w:t>FaHCSIA</w:t>
      </w:r>
      <w:proofErr w:type="spellEnd"/>
      <w:r>
        <w:t xml:space="preserve">, the Department of Social Services, the Child Support Agency and DHS. He has extensive experience in social policy, indigenous issues and service delivery environments. </w:t>
      </w:r>
      <w:proofErr w:type="spellStart"/>
      <w:r>
        <w:t>Mr</w:t>
      </w:r>
      <w:proofErr w:type="spellEnd"/>
      <w:r>
        <w:t xml:space="preserve"> McNaughton was also a member of the Bali Bombings taskforce in 2001. </w:t>
      </w:r>
    </w:p>
    <w:p w14:paraId="3889C7B3" w14:textId="77777777" w:rsidR="000A5027" w:rsidRDefault="000A5027" w:rsidP="000A5027">
      <w:pPr>
        <w:pStyle w:val="BodyCopy"/>
      </w:pPr>
      <w:proofErr w:type="spellStart"/>
      <w:r>
        <w:t>Mr</w:t>
      </w:r>
      <w:proofErr w:type="spellEnd"/>
      <w:r>
        <w:t xml:space="preserve"> McNaughton has a Masters of Public Administration (Melbourne University) and a Master of Business (Victoria University). </w:t>
      </w:r>
    </w:p>
    <w:p w14:paraId="18BEF240" w14:textId="77777777" w:rsidR="000A5027" w:rsidRDefault="000A5027" w:rsidP="000A5027">
      <w:pPr>
        <w:pStyle w:val="Heading5"/>
      </w:pPr>
      <w:r>
        <w:t>General Manager, Operations</w:t>
      </w:r>
      <w:r>
        <w:br/>
      </w:r>
      <w:proofErr w:type="spellStart"/>
      <w:r>
        <w:t>Ms</w:t>
      </w:r>
      <w:proofErr w:type="spellEnd"/>
      <w:r>
        <w:t xml:space="preserve"> Vicki Rundle</w:t>
      </w:r>
    </w:p>
    <w:p w14:paraId="70603B04" w14:textId="77777777" w:rsidR="000A5027" w:rsidRDefault="000A5027" w:rsidP="000A5027">
      <w:pPr>
        <w:pStyle w:val="BodyCopy"/>
      </w:pPr>
      <w:proofErr w:type="spellStart"/>
      <w:r>
        <w:t>Ms</w:t>
      </w:r>
      <w:proofErr w:type="spellEnd"/>
      <w:r>
        <w:t xml:space="preserve"> Vicki Rundle began her career in state government and worked in a range of policy and service delivery settings including acute care, primary health, aged care and disability services and intergovernmental roles. Immediately prior to joining the Commonwealth, </w:t>
      </w:r>
      <w:proofErr w:type="spellStart"/>
      <w:r>
        <w:t>Ms</w:t>
      </w:r>
      <w:proofErr w:type="spellEnd"/>
      <w:r>
        <w:t xml:space="preserve"> Rundle led a state-wide division that comprised child protection, youth justice, family violence, supported accommodation for homeless people and maternal and child health services. </w:t>
      </w:r>
      <w:proofErr w:type="spellStart"/>
      <w:r>
        <w:t>Ms</w:t>
      </w:r>
      <w:proofErr w:type="spellEnd"/>
      <w:r>
        <w:t xml:space="preserve"> Rundle moved to the Commonwealth Government in June 2006 and for most of that time worked in early childhood policy and related national reforms. </w:t>
      </w:r>
      <w:proofErr w:type="spellStart"/>
      <w:r>
        <w:t>Ms</w:t>
      </w:r>
      <w:proofErr w:type="spellEnd"/>
      <w:r>
        <w:t xml:space="preserve"> Rundle was awarded a Public Service Medal in 2013 for her work on the COAG national early childhood quality reforms. Prior to coming to the NDIA in October 2015, </w:t>
      </w:r>
      <w:proofErr w:type="spellStart"/>
      <w:r>
        <w:t>Ms</w:t>
      </w:r>
      <w:proofErr w:type="spellEnd"/>
      <w:r>
        <w:t xml:space="preserve"> Rundle was in a corporate role in the Department of Employment. </w:t>
      </w:r>
      <w:proofErr w:type="spellStart"/>
      <w:r>
        <w:t>Ms</w:t>
      </w:r>
      <w:proofErr w:type="spellEnd"/>
      <w:r>
        <w:t xml:space="preserve"> Rundle is also a Graduate Member of the Australian Institute of Company Directors, and a qualified coach </w:t>
      </w:r>
      <w:proofErr w:type="spellStart"/>
      <w:r>
        <w:t>recognised</w:t>
      </w:r>
      <w:proofErr w:type="spellEnd"/>
      <w:r>
        <w:t xml:space="preserve"> by the Institute of Executive Coaching and Leadership.</w:t>
      </w:r>
    </w:p>
    <w:p w14:paraId="36C50A61" w14:textId="77777777" w:rsidR="000A5027" w:rsidRDefault="000A5027" w:rsidP="000A5027">
      <w:pPr>
        <w:pStyle w:val="Heading4"/>
      </w:pPr>
      <w:r>
        <w:t>General Managers, Stakeholder Relations Group</w:t>
      </w:r>
    </w:p>
    <w:p w14:paraId="402C03E1" w14:textId="77777777" w:rsidR="000A5027" w:rsidRDefault="000A5027" w:rsidP="000A5027">
      <w:pPr>
        <w:pStyle w:val="Heading5"/>
      </w:pPr>
      <w:r>
        <w:t>General Manager, Scheme Transition</w:t>
      </w:r>
      <w:r>
        <w:br/>
      </w:r>
      <w:proofErr w:type="spellStart"/>
      <w:r>
        <w:t>Ms</w:t>
      </w:r>
      <w:proofErr w:type="spellEnd"/>
      <w:r>
        <w:t xml:space="preserve"> Anne </w:t>
      </w:r>
      <w:proofErr w:type="spellStart"/>
      <w:r>
        <w:t>Skordis</w:t>
      </w:r>
      <w:proofErr w:type="spellEnd"/>
    </w:p>
    <w:p w14:paraId="739DA401" w14:textId="77777777" w:rsidR="000A5027" w:rsidRDefault="000A5027" w:rsidP="000A5027">
      <w:pPr>
        <w:pStyle w:val="BodyCopy"/>
      </w:pPr>
      <w:r>
        <w:rPr>
          <w:spacing w:val="-4"/>
        </w:rPr>
        <w:lastRenderedPageBreak/>
        <w:t xml:space="preserve">As the General Manager, Scheme Transition, </w:t>
      </w:r>
      <w:proofErr w:type="spellStart"/>
      <w:r>
        <w:rPr>
          <w:spacing w:val="-4"/>
        </w:rPr>
        <w:t>Ms</w:t>
      </w:r>
      <w:proofErr w:type="spellEnd"/>
      <w:r>
        <w:rPr>
          <w:spacing w:val="-4"/>
        </w:rPr>
        <w:t xml:space="preserve"> Anne </w:t>
      </w:r>
      <w:proofErr w:type="spellStart"/>
      <w:r>
        <w:rPr>
          <w:spacing w:val="-4"/>
        </w:rPr>
        <w:t>Skordis</w:t>
      </w:r>
      <w:proofErr w:type="spellEnd"/>
      <w:r>
        <w:rPr>
          <w:spacing w:val="-4"/>
        </w:rPr>
        <w:t xml:space="preserve"> has responsibility for market design, support and services, and full Scheme design and transition to the Scheme. Prior to joining the Agency </w:t>
      </w:r>
      <w:proofErr w:type="spellStart"/>
      <w:r>
        <w:rPr>
          <w:spacing w:val="-4"/>
        </w:rPr>
        <w:t>Ms</w:t>
      </w:r>
      <w:proofErr w:type="spellEnd"/>
      <w:r>
        <w:rPr>
          <w:spacing w:val="-4"/>
        </w:rPr>
        <w:t xml:space="preserve"> </w:t>
      </w:r>
      <w:proofErr w:type="spellStart"/>
      <w:r>
        <w:rPr>
          <w:spacing w:val="-4"/>
        </w:rPr>
        <w:t>Skordis</w:t>
      </w:r>
      <w:proofErr w:type="spellEnd"/>
      <w:r>
        <w:rPr>
          <w:spacing w:val="-4"/>
        </w:rPr>
        <w:t xml:space="preserve"> held several roles in disability and Home and Community Care policy and service delivery, with her roles in intergovernmental negotiations. Her most recent roles were as the Executive Director, NDIS Design and Transition and Government Relations for the Department of Family and Community Services, New South Wales.</w:t>
      </w:r>
    </w:p>
    <w:p w14:paraId="01A9AF55" w14:textId="77777777" w:rsidR="000A5027" w:rsidRDefault="000A5027" w:rsidP="000A5027">
      <w:pPr>
        <w:pStyle w:val="BodyCopy"/>
      </w:pPr>
      <w:r>
        <w:t xml:space="preserve">Originally from Victoria, </w:t>
      </w:r>
      <w:proofErr w:type="spellStart"/>
      <w:r>
        <w:t>Ms</w:t>
      </w:r>
      <w:proofErr w:type="spellEnd"/>
      <w:r>
        <w:t xml:space="preserve"> </w:t>
      </w:r>
      <w:proofErr w:type="spellStart"/>
      <w:r>
        <w:t>Skordis</w:t>
      </w:r>
      <w:proofErr w:type="spellEnd"/>
      <w:r>
        <w:t xml:space="preserve"> studied social work and her early career was in income support programs, concessions and customer policy for gas and electricity providers in Victoria. She has also been a board member for ten years for a residential and community aged care provider.</w:t>
      </w:r>
    </w:p>
    <w:p w14:paraId="65B7F1D2" w14:textId="77777777" w:rsidR="000A5027" w:rsidRDefault="000A5027" w:rsidP="000A5027">
      <w:pPr>
        <w:pStyle w:val="Heading5"/>
      </w:pPr>
      <w:r>
        <w:t>General Manager, Markets and Providers</w:t>
      </w:r>
      <w:r>
        <w:br/>
      </w:r>
      <w:proofErr w:type="spellStart"/>
      <w:r>
        <w:t>Ms</w:t>
      </w:r>
      <w:proofErr w:type="spellEnd"/>
      <w:r>
        <w:t xml:space="preserve"> Esther Kerr-Smith</w:t>
      </w:r>
    </w:p>
    <w:p w14:paraId="5CC4E9FE" w14:textId="77777777" w:rsidR="000A5027" w:rsidRDefault="000A5027" w:rsidP="000A5027">
      <w:pPr>
        <w:pStyle w:val="BodyCopy"/>
      </w:pPr>
      <w:proofErr w:type="spellStart"/>
      <w:r>
        <w:rPr>
          <w:spacing w:val="-5"/>
        </w:rPr>
        <w:t>Ms</w:t>
      </w:r>
      <w:proofErr w:type="spellEnd"/>
      <w:r>
        <w:rPr>
          <w:spacing w:val="-5"/>
        </w:rPr>
        <w:t xml:space="preserve"> Esther Kerr-Smith has over 15 years of corporate development and strategy experience and has a deep understanding of market dynamics and business model innovation. She has worked in Australia, Asia and Europe in a range of market environments—in emerging and mature markets and in highly regulated and unregulated markets—and across different sectors including infrastructure, consumers/retail and financial services.</w:t>
      </w:r>
    </w:p>
    <w:p w14:paraId="09519F60" w14:textId="77777777" w:rsidR="000A5027" w:rsidRDefault="000A5027" w:rsidP="000A5027">
      <w:pPr>
        <w:pStyle w:val="BodyCopy"/>
      </w:pPr>
      <w:proofErr w:type="spellStart"/>
      <w:r>
        <w:rPr>
          <w:spacing w:val="-6"/>
        </w:rPr>
        <w:t>Ms</w:t>
      </w:r>
      <w:proofErr w:type="spellEnd"/>
      <w:r>
        <w:rPr>
          <w:spacing w:val="-6"/>
        </w:rPr>
        <w:t xml:space="preserve"> Kerr-Smith has worked with management teams and led large projects and consumer facing initiatives, including pricing and contract negotiations and on a number of mergers and acquisitions. She is passionate about the Scheme market place and delivering the vision for full Scheme.</w:t>
      </w:r>
    </w:p>
    <w:p w14:paraId="1B5BE125" w14:textId="77777777" w:rsidR="000A5027" w:rsidRDefault="000A5027" w:rsidP="000A5027">
      <w:pPr>
        <w:pStyle w:val="Heading5"/>
      </w:pPr>
      <w:r>
        <w:t>General Manager, Community Linkages</w:t>
      </w:r>
      <w:r>
        <w:br/>
      </w:r>
      <w:proofErr w:type="spellStart"/>
      <w:r>
        <w:t>Ms</w:t>
      </w:r>
      <w:proofErr w:type="spellEnd"/>
      <w:r>
        <w:t xml:space="preserve"> Stephanie Gunn</w:t>
      </w:r>
    </w:p>
    <w:p w14:paraId="2ED915EB" w14:textId="77777777" w:rsidR="000A5027" w:rsidRDefault="000A5027" w:rsidP="000A5027">
      <w:pPr>
        <w:pStyle w:val="BodyCopy"/>
      </w:pPr>
      <w:proofErr w:type="spellStart"/>
      <w:r>
        <w:t>Ms</w:t>
      </w:r>
      <w:proofErr w:type="spellEnd"/>
      <w:r>
        <w:t xml:space="preserve"> Stephanie Gunn joined the Agency in 2012 with responsibility for the establishment of the core participant facing operational requirements for the Scheme, including representing the Agency at bilateral negotiations and establishing all of initial Trial sites. In January 2014, </w:t>
      </w:r>
      <w:proofErr w:type="spellStart"/>
      <w:r>
        <w:t>Ms</w:t>
      </w:r>
      <w:proofErr w:type="spellEnd"/>
      <w:r>
        <w:t xml:space="preserve"> Gunn moved to the </w:t>
      </w:r>
      <w:proofErr w:type="spellStart"/>
      <w:r>
        <w:t>Barwon</w:t>
      </w:r>
      <w:proofErr w:type="spellEnd"/>
      <w:r>
        <w:t xml:space="preserve"> trial site manager role. This followed a long career at the SES level in the Australian Public Service in responsibilities as diverse as corporate governance, strategic planning, blood sector reform, and business process re-engineering. </w:t>
      </w:r>
    </w:p>
    <w:p w14:paraId="592AAB2A" w14:textId="77777777" w:rsidR="000A5027" w:rsidRDefault="000A5027" w:rsidP="000A5027">
      <w:pPr>
        <w:pStyle w:val="BodyCopy"/>
      </w:pPr>
      <w:r>
        <w:t xml:space="preserve">The Community Linkages Division sees </w:t>
      </w:r>
      <w:proofErr w:type="spellStart"/>
      <w:r>
        <w:t>Ms</w:t>
      </w:r>
      <w:proofErr w:type="spellEnd"/>
      <w:r>
        <w:t xml:space="preserve"> Gunn returning to her passion for building capability at the local, community and regional level to strengthen economic and social opportunities. </w:t>
      </w:r>
    </w:p>
    <w:p w14:paraId="54F55F72" w14:textId="77777777" w:rsidR="000A5027" w:rsidRDefault="000A5027" w:rsidP="000A5027">
      <w:pPr>
        <w:pStyle w:val="Heading5"/>
      </w:pPr>
      <w:r>
        <w:t>General Manager, Media, Communications and Engagement</w:t>
      </w:r>
      <w:r>
        <w:br/>
      </w:r>
      <w:proofErr w:type="spellStart"/>
      <w:r>
        <w:t>Ms</w:t>
      </w:r>
      <w:proofErr w:type="spellEnd"/>
      <w:r>
        <w:t xml:space="preserve"> Maryanne Diamond AO</w:t>
      </w:r>
    </w:p>
    <w:p w14:paraId="645B758C" w14:textId="77777777" w:rsidR="000A5027" w:rsidRDefault="000A5027" w:rsidP="000A5027">
      <w:pPr>
        <w:pStyle w:val="BodyCopy"/>
      </w:pPr>
      <w:proofErr w:type="spellStart"/>
      <w:r>
        <w:t>Ms</w:t>
      </w:r>
      <w:proofErr w:type="spellEnd"/>
      <w:r>
        <w:t xml:space="preserve"> Maryanne Diamond previously worked at Vision Australia, where she led the Advocacy and Engagement Department that incorporates Advocacy, Client Consultation and Engagement, Government Relations and Policy, and Communications and Marketing. </w:t>
      </w:r>
      <w:proofErr w:type="spellStart"/>
      <w:r>
        <w:t>Ms</w:t>
      </w:r>
      <w:proofErr w:type="spellEnd"/>
      <w:r>
        <w:t xml:space="preserve"> Diamond has had a remarkable career which includes leading the World Blind Union delegation throughout the negotiations and at the Diplomatic conference of World Intellectual Property </w:t>
      </w:r>
      <w:proofErr w:type="spellStart"/>
      <w:r>
        <w:t>Organisation</w:t>
      </w:r>
      <w:proofErr w:type="spellEnd"/>
      <w:r>
        <w:t xml:space="preserve"> (WIPO) for the adoption of the Marrakesh Treaty to Facilitate Access to Published Works for Persons who are Blind, visually Impaired or otherwise print disabled.</w:t>
      </w:r>
    </w:p>
    <w:p w14:paraId="23B97399" w14:textId="77777777" w:rsidR="000A5027" w:rsidRDefault="000A5027" w:rsidP="000A5027">
      <w:pPr>
        <w:pStyle w:val="BodyCopy"/>
      </w:pPr>
      <w:proofErr w:type="spellStart"/>
      <w:r>
        <w:t>Ms</w:t>
      </w:r>
      <w:proofErr w:type="spellEnd"/>
      <w:r>
        <w:t xml:space="preserve"> Diamond has chaired the International Disability Alliance (IDA) where she led the work from the global disability community at the UN that resulted in adoption of the 2030 Global Agenda September 2015.</w:t>
      </w:r>
    </w:p>
    <w:p w14:paraId="1C94721A" w14:textId="77777777" w:rsidR="000A5027" w:rsidRDefault="000A5027" w:rsidP="000A5027">
      <w:pPr>
        <w:pStyle w:val="BodyCopy"/>
      </w:pPr>
      <w:proofErr w:type="spellStart"/>
      <w:r>
        <w:t>Ms</w:t>
      </w:r>
      <w:proofErr w:type="spellEnd"/>
      <w:r>
        <w:t xml:space="preserve"> Diamond was a founding member of the Vision Australia Board following five years on the Board of the Royal Victorian Institute for the Blind (RVIB). She was the inaugural CEO of the Australian Federation of Disability </w:t>
      </w:r>
      <w:proofErr w:type="spellStart"/>
      <w:r>
        <w:t>Organisations</w:t>
      </w:r>
      <w:proofErr w:type="spellEnd"/>
      <w:r>
        <w:t xml:space="preserve"> from 2004 to 2007. Prior to that, she spent four years as the Executive Officer of Blind Citizens Australia.</w:t>
      </w:r>
    </w:p>
    <w:p w14:paraId="05EA07CC" w14:textId="77777777" w:rsidR="000A5027" w:rsidRDefault="000A5027" w:rsidP="000A5027">
      <w:pPr>
        <w:pStyle w:val="Heading4"/>
      </w:pPr>
      <w:r>
        <w:t xml:space="preserve">General Managers, </w:t>
      </w:r>
      <w:proofErr w:type="spellStart"/>
      <w:r>
        <w:t>Organisational</w:t>
      </w:r>
      <w:proofErr w:type="spellEnd"/>
      <w:r>
        <w:t xml:space="preserve"> Capability Group</w:t>
      </w:r>
    </w:p>
    <w:p w14:paraId="7E39C0FF" w14:textId="77777777" w:rsidR="000A5027" w:rsidRDefault="000A5027" w:rsidP="000A5027">
      <w:pPr>
        <w:pStyle w:val="Heading5"/>
      </w:pPr>
      <w:r>
        <w:t>Chief Financial Officer and General Manager, Enabling Services</w:t>
      </w:r>
      <w:r>
        <w:br/>
      </w:r>
      <w:proofErr w:type="spellStart"/>
      <w:r>
        <w:t>Mr</w:t>
      </w:r>
      <w:proofErr w:type="spellEnd"/>
      <w:r>
        <w:t xml:space="preserve"> Steve </w:t>
      </w:r>
      <w:proofErr w:type="spellStart"/>
      <w:r>
        <w:t>Jennaway</w:t>
      </w:r>
      <w:proofErr w:type="spellEnd"/>
    </w:p>
    <w:p w14:paraId="08ADF711" w14:textId="77777777" w:rsidR="000A5027" w:rsidRDefault="000A5027" w:rsidP="000A5027">
      <w:pPr>
        <w:pStyle w:val="BodyCopy"/>
      </w:pPr>
      <w:proofErr w:type="spellStart"/>
      <w:r>
        <w:t>Mr</w:t>
      </w:r>
      <w:proofErr w:type="spellEnd"/>
      <w:r>
        <w:t xml:space="preserve"> Steve </w:t>
      </w:r>
      <w:proofErr w:type="spellStart"/>
      <w:r>
        <w:t>Jennaway</w:t>
      </w:r>
      <w:proofErr w:type="spellEnd"/>
      <w:r>
        <w:t xml:space="preserve"> joined the agency as General Manager, Contracts, Procurement and Property in June 2015. He is responsible for the acquisition and fit-out of agency properties Australia wide, the Agency’s strategic sourcing approach, </w:t>
      </w:r>
      <w:r>
        <w:lastRenderedPageBreak/>
        <w:t>security, financial monitoring and reporting and shared corporate services arrangements with the Department of Human Services. He has a range of reporting responsibilities to EMG, the Audit, Risk and Finance Committee and the Board.</w:t>
      </w:r>
    </w:p>
    <w:p w14:paraId="14EC078B" w14:textId="77777777" w:rsidR="000A5027" w:rsidRDefault="000A5027" w:rsidP="000A5027">
      <w:pPr>
        <w:pStyle w:val="BodyCopy"/>
      </w:pPr>
      <w:proofErr w:type="spellStart"/>
      <w:r>
        <w:t>Mr</w:t>
      </w:r>
      <w:proofErr w:type="spellEnd"/>
      <w:r>
        <w:t xml:space="preserve"> </w:t>
      </w:r>
      <w:proofErr w:type="spellStart"/>
      <w:r>
        <w:t>Jennaway</w:t>
      </w:r>
      <w:proofErr w:type="spellEnd"/>
      <w:r>
        <w:t xml:space="preserve"> has been a senior executive in the APS since 1999 and has wide public sector experience including as Chief Financial Officer in DSS. He has worked in corporate and policy areas of various different departments including the Australian Taxation Office, the Australian Bureau of Statistics, the Department to Families, Housing and Community Services and Indigenous Affairs.</w:t>
      </w:r>
    </w:p>
    <w:p w14:paraId="3DEA1419" w14:textId="77777777" w:rsidR="000A5027" w:rsidRDefault="000A5027" w:rsidP="000A5027">
      <w:pPr>
        <w:pStyle w:val="Heading5"/>
      </w:pPr>
      <w:r>
        <w:t>General Manager, People and Culture</w:t>
      </w:r>
      <w:r>
        <w:br/>
      </w:r>
      <w:proofErr w:type="spellStart"/>
      <w:r>
        <w:t>Ms</w:t>
      </w:r>
      <w:proofErr w:type="spellEnd"/>
      <w:r>
        <w:t xml:space="preserve"> Tina </w:t>
      </w:r>
      <w:proofErr w:type="spellStart"/>
      <w:r>
        <w:t>Daisley</w:t>
      </w:r>
      <w:proofErr w:type="spellEnd"/>
    </w:p>
    <w:p w14:paraId="5811CA30" w14:textId="77777777" w:rsidR="000A5027" w:rsidRDefault="000A5027" w:rsidP="000A5027">
      <w:pPr>
        <w:pStyle w:val="BodyCopy"/>
      </w:pPr>
      <w:proofErr w:type="spellStart"/>
      <w:r>
        <w:t>Ms</w:t>
      </w:r>
      <w:proofErr w:type="spellEnd"/>
      <w:r>
        <w:t xml:space="preserve"> Tina </w:t>
      </w:r>
      <w:proofErr w:type="spellStart"/>
      <w:r>
        <w:t>Daisley</w:t>
      </w:r>
      <w:proofErr w:type="spellEnd"/>
      <w:r>
        <w:t xml:space="preserve"> joined the NDIA in July 2014 as Branch Manager for People and Culture and was promoted to General Manager People and Culture Division in November 2015. </w:t>
      </w:r>
      <w:proofErr w:type="spellStart"/>
      <w:r>
        <w:t>Ms</w:t>
      </w:r>
      <w:proofErr w:type="spellEnd"/>
      <w:r>
        <w:t xml:space="preserve"> </w:t>
      </w:r>
      <w:proofErr w:type="spellStart"/>
      <w:r>
        <w:t>Daisley</w:t>
      </w:r>
      <w:proofErr w:type="spellEnd"/>
      <w:r>
        <w:t xml:space="preserve"> joined the Agency in July 2014 as Branch Manager for People and Culture and was promoted to General Manager People and Culture Division in November 2015. Prior to joining the Agency </w:t>
      </w:r>
      <w:proofErr w:type="spellStart"/>
      <w:r>
        <w:t>Ms</w:t>
      </w:r>
      <w:proofErr w:type="spellEnd"/>
      <w:r>
        <w:t xml:space="preserve"> </w:t>
      </w:r>
      <w:proofErr w:type="spellStart"/>
      <w:r>
        <w:t>Daisley</w:t>
      </w:r>
      <w:proofErr w:type="spellEnd"/>
      <w:r>
        <w:t xml:space="preserve"> worked extensively throughout the public sector in various Agencies including </w:t>
      </w:r>
      <w:proofErr w:type="spellStart"/>
      <w:r>
        <w:t>Centrelink</w:t>
      </w:r>
      <w:proofErr w:type="spellEnd"/>
      <w:r>
        <w:t xml:space="preserve">, </w:t>
      </w:r>
      <w:proofErr w:type="spellStart"/>
      <w:r>
        <w:t>Comsuper</w:t>
      </w:r>
      <w:proofErr w:type="spellEnd"/>
      <w:r>
        <w:t xml:space="preserve"> and more recently Department of Education, Employment and Workplace Relations (now Department of Education and Department of Employment). </w:t>
      </w:r>
    </w:p>
    <w:p w14:paraId="3D867BBD" w14:textId="77777777" w:rsidR="000A5027" w:rsidRDefault="000A5027" w:rsidP="000A5027">
      <w:pPr>
        <w:pStyle w:val="BodyCopy"/>
      </w:pPr>
      <w:proofErr w:type="spellStart"/>
      <w:r>
        <w:t>Ms</w:t>
      </w:r>
      <w:proofErr w:type="spellEnd"/>
      <w:r>
        <w:t xml:space="preserve"> </w:t>
      </w:r>
      <w:proofErr w:type="spellStart"/>
      <w:r>
        <w:t>Daisley’s</w:t>
      </w:r>
      <w:proofErr w:type="spellEnd"/>
      <w:r>
        <w:t xml:space="preserve"> career in the public service spans over 19 years and comprises an extensive background in Human Services Service Delivery, Program Management, Training and Development, HR Operations and Corporate Governance. Her previous roles have seen her leading </w:t>
      </w:r>
      <w:proofErr w:type="spellStart"/>
      <w:r>
        <w:t>Organisational</w:t>
      </w:r>
      <w:proofErr w:type="spellEnd"/>
      <w:r>
        <w:t xml:space="preserve"> Change projects and delivering Leadership Development programs. </w:t>
      </w:r>
    </w:p>
    <w:p w14:paraId="6B45D581" w14:textId="77777777" w:rsidR="000A5027" w:rsidRDefault="000A5027" w:rsidP="000A5027">
      <w:pPr>
        <w:pStyle w:val="Heading5"/>
      </w:pPr>
      <w:r>
        <w:t>General Manager, Technology and Digital Innovation</w:t>
      </w:r>
      <w:r>
        <w:br/>
      </w:r>
      <w:proofErr w:type="spellStart"/>
      <w:r>
        <w:t>Ms</w:t>
      </w:r>
      <w:proofErr w:type="spellEnd"/>
      <w:r>
        <w:t xml:space="preserve"> </w:t>
      </w:r>
      <w:proofErr w:type="spellStart"/>
      <w:r>
        <w:t>Rozeanne</w:t>
      </w:r>
      <w:proofErr w:type="spellEnd"/>
      <w:r>
        <w:t xml:space="preserve"> Frost</w:t>
      </w:r>
    </w:p>
    <w:p w14:paraId="711C9984" w14:textId="77777777" w:rsidR="000A5027" w:rsidRDefault="000A5027" w:rsidP="000A5027">
      <w:pPr>
        <w:pStyle w:val="BodyCopy"/>
      </w:pPr>
      <w:proofErr w:type="spellStart"/>
      <w:r>
        <w:t>Ms</w:t>
      </w:r>
      <w:proofErr w:type="spellEnd"/>
      <w:r>
        <w:t xml:space="preserve"> </w:t>
      </w:r>
      <w:proofErr w:type="spellStart"/>
      <w:r>
        <w:t>Rozeanne</w:t>
      </w:r>
      <w:proofErr w:type="spellEnd"/>
      <w:r>
        <w:t xml:space="preserve"> Frost joined the Agency in September 2015 as the General Manager for Technology and Digital Innovation. In this role </w:t>
      </w:r>
      <w:proofErr w:type="spellStart"/>
      <w:r>
        <w:t>Ms</w:t>
      </w:r>
      <w:proofErr w:type="spellEnd"/>
      <w:r>
        <w:t xml:space="preserve"> Frost is responsible for working with DHS </w:t>
      </w:r>
      <w:r>
        <w:br/>
        <w:t xml:space="preserve">to deliver government as a platform, and using digital innovation to deliver improved services </w:t>
      </w:r>
      <w:r>
        <w:br/>
        <w:t>to the disability sector.</w:t>
      </w:r>
    </w:p>
    <w:p w14:paraId="713A4D45" w14:textId="77777777" w:rsidR="000A5027" w:rsidRDefault="000A5027" w:rsidP="000A5027">
      <w:pPr>
        <w:pStyle w:val="BodyCopy"/>
      </w:pPr>
      <w:proofErr w:type="spellStart"/>
      <w:r>
        <w:t>Ms</w:t>
      </w:r>
      <w:proofErr w:type="spellEnd"/>
      <w:r>
        <w:t> Frost brings a vast range of public and private sector, and business and ICT experience to the Agency and the Scheme.</w:t>
      </w:r>
    </w:p>
    <w:p w14:paraId="64B334B1" w14:textId="77777777" w:rsidR="000A5027" w:rsidRDefault="000A5027" w:rsidP="000A5027">
      <w:pPr>
        <w:pStyle w:val="BodyCopy"/>
      </w:pPr>
      <w:proofErr w:type="spellStart"/>
      <w:r>
        <w:t>Ms</w:t>
      </w:r>
      <w:proofErr w:type="spellEnd"/>
      <w:r>
        <w:t> Frost has worked across many industry sectors implementing business transformation through ICT and enterprise wide business processes, merging IT systems, and outsourcing infrastructure services.</w:t>
      </w:r>
    </w:p>
    <w:p w14:paraId="49F96868" w14:textId="77777777" w:rsidR="000A5027" w:rsidRDefault="000A5027" w:rsidP="000A5027">
      <w:pPr>
        <w:pStyle w:val="Heading5"/>
      </w:pPr>
      <w:r>
        <w:t>Chief Risk Officer and General Manager Governance, Legal and Risk</w:t>
      </w:r>
      <w:r>
        <w:br/>
      </w:r>
      <w:proofErr w:type="spellStart"/>
      <w:r>
        <w:t>Mr</w:t>
      </w:r>
      <w:proofErr w:type="spellEnd"/>
      <w:r>
        <w:t xml:space="preserve"> Paul O’Connor</w:t>
      </w:r>
    </w:p>
    <w:p w14:paraId="00272C29" w14:textId="77777777" w:rsidR="000A5027" w:rsidRDefault="000A5027" w:rsidP="000A5027">
      <w:pPr>
        <w:pStyle w:val="BodyCopy"/>
      </w:pPr>
      <w:proofErr w:type="spellStart"/>
      <w:r>
        <w:t>Mr</w:t>
      </w:r>
      <w:proofErr w:type="spellEnd"/>
      <w:r>
        <w:t xml:space="preserve"> Paul O’Connor joined the Agency in February 2016 bringing a wealth of senior leadership experience in insurance, risk management and business regulation in Australia, the United States and Asia, both in the public and private sectors.</w:t>
      </w:r>
    </w:p>
    <w:p w14:paraId="79D5D438" w14:textId="77777777" w:rsidR="000A5027" w:rsidRDefault="000A5027" w:rsidP="000A5027">
      <w:pPr>
        <w:pStyle w:val="BodyCopy"/>
      </w:pPr>
      <w:proofErr w:type="spellStart"/>
      <w:r>
        <w:t>Mr</w:t>
      </w:r>
      <w:proofErr w:type="spellEnd"/>
      <w:r>
        <w:t xml:space="preserve"> O’Connor has previously served as CEO of Victoria’s Transport Accident Commission, </w:t>
      </w:r>
      <w:proofErr w:type="spellStart"/>
      <w:r>
        <w:t>Comcare</w:t>
      </w:r>
      <w:proofErr w:type="spellEnd"/>
      <w:r>
        <w:t xml:space="preserve"> and the Victorian Managed Insurance Authority. He was also Deputy Chair of the </w:t>
      </w:r>
      <w:proofErr w:type="spellStart"/>
      <w:r>
        <w:t>Seacare</w:t>
      </w:r>
      <w:proofErr w:type="spellEnd"/>
      <w:r>
        <w:t xml:space="preserve"> Authority, a federal regulator of the offshore maritime industry. </w:t>
      </w:r>
      <w:proofErr w:type="spellStart"/>
      <w:r>
        <w:t>Mr</w:t>
      </w:r>
      <w:proofErr w:type="spellEnd"/>
      <w:r>
        <w:t xml:space="preserve"> O’Connor was a member of the Military Rehabilitation and Compensation Commission that oversees the work of the Department of Veterans Affairs. He was also a member of the federal Safety Rehabilitation and Compensation Commission. </w:t>
      </w:r>
      <w:proofErr w:type="spellStart"/>
      <w:r>
        <w:t>Mr</w:t>
      </w:r>
      <w:proofErr w:type="spellEnd"/>
      <w:r>
        <w:t xml:space="preserve"> O’Connor is a non-executive director of the Australian Network on Disability, a not-for-profit advancing the inclusion of people with disability </w:t>
      </w:r>
      <w:r>
        <w:br/>
        <w:t xml:space="preserve">in all aspects of business. </w:t>
      </w:r>
    </w:p>
    <w:p w14:paraId="1B3B5272" w14:textId="77777777" w:rsidR="000A5027" w:rsidRDefault="000A5027" w:rsidP="000A5027">
      <w:pPr>
        <w:pStyle w:val="BodyCopy"/>
      </w:pPr>
      <w:proofErr w:type="spellStart"/>
      <w:r>
        <w:t>Mr</w:t>
      </w:r>
      <w:proofErr w:type="spellEnd"/>
      <w:r>
        <w:t xml:space="preserve"> O’Connor is a Fellow of the Australian Institute of Company Directors and was elected a national Fellow of the Institute of Public Administration Australia. </w:t>
      </w:r>
    </w:p>
    <w:p w14:paraId="3F20E038" w14:textId="1800DB12" w:rsidR="000A5027" w:rsidRDefault="000A5027" w:rsidP="000A5027">
      <w:pPr>
        <w:pStyle w:val="Heading2"/>
      </w:pPr>
      <w:bookmarkStart w:id="603" w:name="_Toc464482141"/>
      <w:r>
        <w:lastRenderedPageBreak/>
        <w:t>Appendix 2</w:t>
      </w:r>
      <w:r>
        <w:br/>
        <w:t>Enabling Legislation</w:t>
      </w:r>
      <w:bookmarkEnd w:id="603"/>
    </w:p>
    <w:p w14:paraId="6B46A586" w14:textId="77777777" w:rsidR="000A5027" w:rsidRDefault="000A5027" w:rsidP="000A5027">
      <w:pPr>
        <w:pStyle w:val="BodyCopy"/>
      </w:pPr>
      <w:r>
        <w:t xml:space="preserve">The Scheme operates under the </w:t>
      </w:r>
      <w:r>
        <w:rPr>
          <w:rStyle w:val="Lightitalic"/>
        </w:rPr>
        <w:t>National Disability Insurance Scheme Act 2013</w:t>
      </w:r>
      <w:r>
        <w:t>. The NDIS Act (in conjunction with other laws) gives effect to Australia’s obligations under the United Nations (UN) Convention on the Rights of Persons with Disabilities, and its objectives include:</w:t>
      </w:r>
    </w:p>
    <w:p w14:paraId="1048F613" w14:textId="77777777" w:rsidR="000A5027" w:rsidRDefault="000A5027" w:rsidP="000A5027">
      <w:pPr>
        <w:pStyle w:val="BodyBullets"/>
      </w:pPr>
      <w:r>
        <w:t xml:space="preserve">supporting people with disability to pursue their goals and </w:t>
      </w:r>
      <w:proofErr w:type="spellStart"/>
      <w:r>
        <w:t>maximise</w:t>
      </w:r>
      <w:proofErr w:type="spellEnd"/>
      <w:r>
        <w:t xml:space="preserve"> their independence and social and economic participation</w:t>
      </w:r>
    </w:p>
    <w:p w14:paraId="5A14FC0F" w14:textId="77777777" w:rsidR="000A5027" w:rsidRDefault="000A5027" w:rsidP="000A5027">
      <w:pPr>
        <w:pStyle w:val="BodyBullets"/>
      </w:pPr>
      <w:r>
        <w:t>developing the capacity of people with disability to participate in the community and in employment</w:t>
      </w:r>
    </w:p>
    <w:p w14:paraId="7216BE63" w14:textId="77777777" w:rsidR="000A5027" w:rsidRDefault="000A5027" w:rsidP="000A5027">
      <w:pPr>
        <w:pStyle w:val="BodyBullets"/>
      </w:pPr>
      <w:r>
        <w:t>providing reasonable and necessary supports, including early intervention supports, for participants</w:t>
      </w:r>
    </w:p>
    <w:p w14:paraId="6D92CE3A" w14:textId="77777777" w:rsidR="000A5027" w:rsidRDefault="000A5027" w:rsidP="000A5027">
      <w:pPr>
        <w:pStyle w:val="BodyBullets"/>
      </w:pPr>
      <w:r>
        <w:t>supporting people with disability to exercise choice and control in pursuit of their goals and in the planning and delivery of their supports</w:t>
      </w:r>
    </w:p>
    <w:p w14:paraId="33FE876C" w14:textId="77777777" w:rsidR="000A5027" w:rsidRDefault="000A5027" w:rsidP="000A5027">
      <w:pPr>
        <w:pStyle w:val="BodyBullets"/>
      </w:pPr>
      <w:r>
        <w:t xml:space="preserve">building a sustainable Scheme that is based on insurance principles </w:t>
      </w:r>
    </w:p>
    <w:p w14:paraId="469E19EB" w14:textId="77777777" w:rsidR="000A5027" w:rsidRDefault="000A5027" w:rsidP="000A5027">
      <w:pPr>
        <w:pStyle w:val="BodyBullets-last"/>
      </w:pPr>
      <w:r>
        <w:t>raising community awareness about the social and economic participation of people with disability and acting to increase their inclusion in the mainstream of Australian society.</w:t>
      </w:r>
    </w:p>
    <w:p w14:paraId="3A55247D" w14:textId="77777777" w:rsidR="000A5027" w:rsidRDefault="000A5027" w:rsidP="000A5027">
      <w:pPr>
        <w:pStyle w:val="BodyCopy"/>
      </w:pPr>
      <w:r>
        <w:t>The NDIS Act establishes the Agency, which has statutory responsibility for delivering the Scheme. The functions and powers of the Agency are also prescribed by the NDIS Act.</w:t>
      </w:r>
    </w:p>
    <w:p w14:paraId="6F659A43" w14:textId="77777777" w:rsidR="000A5027" w:rsidRDefault="000A5027" w:rsidP="000A5027">
      <w:pPr>
        <w:pStyle w:val="BodyCopy"/>
      </w:pPr>
      <w:r>
        <w:t xml:space="preserve">The NDIS Act was amended by the </w:t>
      </w:r>
      <w:r>
        <w:rPr>
          <w:rStyle w:val="Lightitalic"/>
        </w:rPr>
        <w:t>Acts and Instruments (Framework Reform) (Consequential Provisions) Act 2015</w:t>
      </w:r>
      <w:r>
        <w:t xml:space="preserve"> on 5 March 2016, as well as the </w:t>
      </w:r>
      <w:r>
        <w:rPr>
          <w:rStyle w:val="Lightitalic"/>
        </w:rPr>
        <w:t>National Disability Insurance Scheme Amendment Act 2016</w:t>
      </w:r>
      <w:r>
        <w:t xml:space="preserve"> on 4 May 2016. </w:t>
      </w:r>
    </w:p>
    <w:p w14:paraId="27DBE7CA" w14:textId="77777777" w:rsidR="000A5027" w:rsidRDefault="000A5027" w:rsidP="000A5027">
      <w:pPr>
        <w:pStyle w:val="BodyCopy"/>
      </w:pPr>
      <w:r>
        <w:t>The Agency is overseen by a Board, and is accountable as a corporate Commonwealth entity under the Public Governance, Performance and Accountability Act 2013 (PGPA Act). The Board is responsible for ensuring the proper, efficient and effective performance of the Agency functions, and for determining the objectives, strategies and policies to be followed by the Agency.</w:t>
      </w:r>
    </w:p>
    <w:p w14:paraId="03BE9FC4" w14:textId="03FEE1AD" w:rsidR="008B5A07" w:rsidRDefault="000A5027" w:rsidP="008B5A07">
      <w:pPr>
        <w:pStyle w:val="Heading2"/>
      </w:pPr>
      <w:bookmarkStart w:id="604" w:name="_Toc464482142"/>
      <w:r>
        <w:lastRenderedPageBreak/>
        <w:t>Appendix 3</w:t>
      </w:r>
      <w:bookmarkEnd w:id="604"/>
    </w:p>
    <w:p w14:paraId="5B8AA109" w14:textId="6A8DD1E4" w:rsidR="000A5027" w:rsidRPr="008B5A07" w:rsidRDefault="000A5027" w:rsidP="008B5A07">
      <w:pPr>
        <w:pStyle w:val="Heading3Tables"/>
      </w:pPr>
      <w:bookmarkStart w:id="605" w:name="_Toc464481235"/>
      <w:r w:rsidRPr="008B5A07">
        <w:t xml:space="preserve">Table 14: Compliance with the </w:t>
      </w:r>
      <w:proofErr w:type="spellStart"/>
      <w:r w:rsidRPr="008B5A07">
        <w:t>Carer</w:t>
      </w:r>
      <w:proofErr w:type="spellEnd"/>
      <w:r w:rsidRPr="008B5A07">
        <w:t> Recognition Act 2010</w:t>
      </w:r>
      <w:bookmarkEnd w:id="605"/>
    </w:p>
    <w:tbl>
      <w:tblPr>
        <w:tblW w:w="0" w:type="auto"/>
        <w:tblInd w:w="-8" w:type="dxa"/>
        <w:tblLayout w:type="fixed"/>
        <w:tblCellMar>
          <w:left w:w="0" w:type="dxa"/>
          <w:right w:w="0" w:type="dxa"/>
        </w:tblCellMar>
        <w:tblLook w:val="0000" w:firstRow="0" w:lastRow="0" w:firstColumn="0" w:lastColumn="0" w:noHBand="0" w:noVBand="0"/>
      </w:tblPr>
      <w:tblGrid>
        <w:gridCol w:w="2608"/>
        <w:gridCol w:w="5669"/>
      </w:tblGrid>
      <w:tr w:rsidR="000A5027" w14:paraId="79901F57" w14:textId="77777777">
        <w:trPr>
          <w:trHeight w:val="60"/>
          <w:tblHeader/>
        </w:trPr>
        <w:tc>
          <w:tcPr>
            <w:tcW w:w="2608" w:type="dxa"/>
            <w:tcBorders>
              <w:top w:val="single" w:sz="6" w:space="0" w:color="FFFFFF"/>
              <w:left w:val="single" w:sz="6" w:space="0" w:color="FFFFFF"/>
              <w:bottom w:val="single" w:sz="6" w:space="0" w:color="72725E"/>
              <w:right w:val="single" w:sz="6" w:space="0" w:color="FFFFFF"/>
            </w:tcBorders>
            <w:shd w:val="solid" w:color="000000" w:fill="auto"/>
            <w:tcMar>
              <w:top w:w="113" w:type="dxa"/>
              <w:left w:w="113" w:type="dxa"/>
              <w:bottom w:w="113" w:type="dxa"/>
              <w:right w:w="80" w:type="dxa"/>
            </w:tcMar>
          </w:tcPr>
          <w:p w14:paraId="7050CDED" w14:textId="77777777" w:rsidR="000A5027" w:rsidRDefault="000A5027">
            <w:pPr>
              <w:pStyle w:val="Tableheader"/>
            </w:pPr>
            <w:bookmarkStart w:id="606" w:name="Title_Table14" w:colFirst="0" w:colLast="0"/>
            <w:r>
              <w:t xml:space="preserve">Requirement of the </w:t>
            </w:r>
            <w:r w:rsidRPr="008B5A07">
              <w:rPr>
                <w:rFonts w:cstheme="minorHAnsi"/>
                <w:i/>
                <w:iCs/>
              </w:rPr>
              <w:t>Carer Recognition Act 2010</w:t>
            </w:r>
            <w:r>
              <w:t xml:space="preserve"> </w:t>
            </w:r>
          </w:p>
        </w:tc>
        <w:tc>
          <w:tcPr>
            <w:tcW w:w="5669" w:type="dxa"/>
            <w:tcBorders>
              <w:top w:val="single" w:sz="6" w:space="0" w:color="FFFFFF"/>
              <w:left w:val="single" w:sz="6" w:space="0" w:color="FFFFFF"/>
              <w:bottom w:val="single" w:sz="6" w:space="0" w:color="72725E"/>
              <w:right w:val="single" w:sz="6" w:space="0" w:color="FFFFFF"/>
            </w:tcBorders>
            <w:shd w:val="solid" w:color="000000" w:fill="auto"/>
            <w:tcMar>
              <w:top w:w="113" w:type="dxa"/>
              <w:left w:w="113" w:type="dxa"/>
              <w:bottom w:w="113" w:type="dxa"/>
              <w:right w:w="80" w:type="dxa"/>
            </w:tcMar>
          </w:tcPr>
          <w:p w14:paraId="66F9005F" w14:textId="77777777" w:rsidR="000A5027" w:rsidRDefault="000A5027">
            <w:pPr>
              <w:pStyle w:val="Tableheader"/>
            </w:pPr>
            <w:r>
              <w:t>Response</w:t>
            </w:r>
          </w:p>
        </w:tc>
      </w:tr>
      <w:bookmarkEnd w:id="606"/>
      <w:tr w:rsidR="000A5027" w14:paraId="776D536E" w14:textId="77777777">
        <w:trPr>
          <w:trHeight w:val="60"/>
        </w:trPr>
        <w:tc>
          <w:tcPr>
            <w:tcW w:w="2608" w:type="dxa"/>
            <w:tcBorders>
              <w:top w:val="single" w:sz="2" w:space="0" w:color="72725E"/>
              <w:left w:val="single" w:sz="6" w:space="0" w:color="FFFFFF"/>
              <w:bottom w:val="single" w:sz="2" w:space="0" w:color="72725E"/>
              <w:right w:val="single" w:sz="6" w:space="0" w:color="FFFFFF"/>
            </w:tcBorders>
            <w:shd w:val="solid" w:color="EAE8E2" w:fill="auto"/>
            <w:tcMar>
              <w:top w:w="113" w:type="dxa"/>
              <w:left w:w="113" w:type="dxa"/>
              <w:bottom w:w="113" w:type="dxa"/>
              <w:right w:w="80" w:type="dxa"/>
            </w:tcMar>
          </w:tcPr>
          <w:p w14:paraId="290F3CDA" w14:textId="77777777" w:rsidR="000A5027" w:rsidRDefault="000A5027">
            <w:pPr>
              <w:pStyle w:val="Tabletext"/>
            </w:pPr>
            <w:r>
              <w:t>Ensure that employees and agents have an awareness and understanding of the Statement for Australia’s Carers.</w:t>
            </w:r>
          </w:p>
        </w:tc>
        <w:tc>
          <w:tcPr>
            <w:tcW w:w="5669" w:type="dxa"/>
            <w:tcBorders>
              <w:top w:val="single" w:sz="2" w:space="0" w:color="72725E"/>
              <w:left w:val="single" w:sz="6" w:space="0" w:color="FFFFFF"/>
              <w:bottom w:val="single" w:sz="2" w:space="0" w:color="72725E"/>
              <w:right w:val="single" w:sz="6" w:space="0" w:color="000000"/>
            </w:tcBorders>
            <w:shd w:val="solid" w:color="EAE8E2" w:fill="auto"/>
            <w:tcMar>
              <w:top w:w="113" w:type="dxa"/>
              <w:left w:w="113" w:type="dxa"/>
              <w:bottom w:w="113" w:type="dxa"/>
              <w:right w:w="80" w:type="dxa"/>
            </w:tcMar>
          </w:tcPr>
          <w:p w14:paraId="489E2E91" w14:textId="77777777" w:rsidR="000A5027" w:rsidRDefault="000A5027">
            <w:pPr>
              <w:pStyle w:val="Tabletext"/>
            </w:pPr>
            <w:r>
              <w:t>The Agency promotes staff awareness and understanding of the principles contained within the Carers Recognition Act and the Statement through online tools and resources, including guides on the support available to employees with caring responsibilities and also those who support people with caring responsibilities.</w:t>
            </w:r>
          </w:p>
        </w:tc>
      </w:tr>
      <w:tr w:rsidR="000A5027" w14:paraId="30CEF82E" w14:textId="77777777">
        <w:trPr>
          <w:trHeight w:val="60"/>
        </w:trPr>
        <w:tc>
          <w:tcPr>
            <w:tcW w:w="2608" w:type="dxa"/>
            <w:tcBorders>
              <w:top w:val="single" w:sz="2" w:space="0" w:color="72725E"/>
              <w:left w:val="single" w:sz="6" w:space="0" w:color="FFFFFF"/>
              <w:bottom w:val="single" w:sz="2" w:space="0" w:color="72725E"/>
              <w:right w:val="single" w:sz="6" w:space="0" w:color="FFFFFF"/>
            </w:tcBorders>
            <w:shd w:val="solid" w:color="EAE8E2" w:fill="auto"/>
            <w:tcMar>
              <w:top w:w="113" w:type="dxa"/>
              <w:left w:w="113" w:type="dxa"/>
              <w:bottom w:w="113" w:type="dxa"/>
              <w:right w:w="80" w:type="dxa"/>
            </w:tcMar>
          </w:tcPr>
          <w:p w14:paraId="38268C3C" w14:textId="77777777" w:rsidR="000A5027" w:rsidRDefault="000A5027">
            <w:pPr>
              <w:pStyle w:val="Tabletext"/>
            </w:pPr>
            <w:r>
              <w:t>Ensure internal human resources programs have due regard to the Statement for Australia’s Carers.</w:t>
            </w:r>
          </w:p>
        </w:tc>
        <w:tc>
          <w:tcPr>
            <w:tcW w:w="5669" w:type="dxa"/>
            <w:tcBorders>
              <w:top w:val="single" w:sz="2" w:space="0" w:color="72725E"/>
              <w:left w:val="single" w:sz="6" w:space="0" w:color="FFFFFF"/>
              <w:bottom w:val="single" w:sz="2" w:space="0" w:color="72725E"/>
              <w:right w:val="single" w:sz="6" w:space="0" w:color="000000"/>
            </w:tcBorders>
            <w:shd w:val="solid" w:color="EAE8E2" w:fill="auto"/>
            <w:tcMar>
              <w:top w:w="113" w:type="dxa"/>
              <w:left w:w="113" w:type="dxa"/>
              <w:bottom w:w="113" w:type="dxa"/>
              <w:right w:w="80" w:type="dxa"/>
            </w:tcMar>
          </w:tcPr>
          <w:p w14:paraId="39DEBB94" w14:textId="77777777" w:rsidR="000A5027" w:rsidRDefault="000A5027">
            <w:pPr>
              <w:pStyle w:val="Tabletext"/>
            </w:pPr>
            <w:r>
              <w:t xml:space="preserve">The Agency complies through the </w:t>
            </w:r>
            <w:proofErr w:type="spellStart"/>
            <w:r>
              <w:t>FaHCSIA</w:t>
            </w:r>
            <w:proofErr w:type="spellEnd"/>
            <w:r>
              <w:t xml:space="preserve"> Enterprise Agreement 2012–14 as well as internal policies. Employees with caring responsibilities are supported through access to personal leave, flexible working arrangements, part-time work, home-based work and the Employee Assistance Program.</w:t>
            </w:r>
          </w:p>
        </w:tc>
      </w:tr>
      <w:tr w:rsidR="000A5027" w14:paraId="45E4B8E3" w14:textId="77777777">
        <w:trPr>
          <w:trHeight w:val="60"/>
        </w:trPr>
        <w:tc>
          <w:tcPr>
            <w:tcW w:w="2608" w:type="dxa"/>
            <w:tcBorders>
              <w:top w:val="single" w:sz="2" w:space="0" w:color="72725E"/>
              <w:left w:val="single" w:sz="6" w:space="0" w:color="FFFFFF"/>
              <w:bottom w:val="single" w:sz="2" w:space="0" w:color="72725E"/>
              <w:right w:val="single" w:sz="6" w:space="0" w:color="FFFFFF"/>
            </w:tcBorders>
            <w:shd w:val="solid" w:color="EAE8E2" w:fill="auto"/>
            <w:tcMar>
              <w:top w:w="113" w:type="dxa"/>
              <w:left w:w="113" w:type="dxa"/>
              <w:bottom w:w="113" w:type="dxa"/>
              <w:right w:w="80" w:type="dxa"/>
            </w:tcMar>
          </w:tcPr>
          <w:p w14:paraId="0F13C745" w14:textId="77777777" w:rsidR="000A5027" w:rsidRDefault="000A5027">
            <w:pPr>
              <w:pStyle w:val="Tabletext"/>
            </w:pPr>
            <w:r>
              <w:t>Ensure the Agency, its employees and agents take action to reflect the principles of the Statement for Australia’s Carers in developing, implementing, providing or evaluating care supports.</w:t>
            </w:r>
          </w:p>
        </w:tc>
        <w:tc>
          <w:tcPr>
            <w:tcW w:w="5669" w:type="dxa"/>
            <w:tcBorders>
              <w:top w:val="single" w:sz="2" w:space="0" w:color="72725E"/>
              <w:left w:val="single" w:sz="6" w:space="0" w:color="FFFFFF"/>
              <w:bottom w:val="single" w:sz="2" w:space="0" w:color="72725E"/>
              <w:right w:val="single" w:sz="6" w:space="0" w:color="000000"/>
            </w:tcBorders>
            <w:shd w:val="solid" w:color="EAE8E2" w:fill="auto"/>
            <w:tcMar>
              <w:top w:w="113" w:type="dxa"/>
              <w:left w:w="113" w:type="dxa"/>
              <w:bottom w:w="113" w:type="dxa"/>
              <w:right w:w="80" w:type="dxa"/>
            </w:tcMar>
          </w:tcPr>
          <w:p w14:paraId="04D04B48" w14:textId="77777777" w:rsidR="000A5027" w:rsidRDefault="000A5027">
            <w:pPr>
              <w:pStyle w:val="Tabletext"/>
            </w:pPr>
            <w:r>
              <w:t>Carers are included in the planning process, and are recognised in participant plans through the informal care sections of plans. The role of carers is recognised by the Agency as an important factor in developing participant plans. Participant plans are developed with a focus on capacity building and social and economic inclusion for participants. At the request of the person they care for, carers can help with goal setting, assessment and the planning process. Carers can include a carer statement as part of the participant’s plan development, and this statement is recorded in the plan. Increasing the capacity of the community to help people with disability, and increasing the social and economic participation of people with disability, improves the situation of carers. The NDIA’s Quality Framework allows feedback from carers to inform improvements to the way the Scheme supports their needs.</w:t>
            </w:r>
          </w:p>
        </w:tc>
      </w:tr>
      <w:tr w:rsidR="000A5027" w14:paraId="53A1D0B3" w14:textId="77777777">
        <w:trPr>
          <w:trHeight w:val="60"/>
        </w:trPr>
        <w:tc>
          <w:tcPr>
            <w:tcW w:w="2608" w:type="dxa"/>
            <w:tcBorders>
              <w:top w:val="single" w:sz="2" w:space="0" w:color="72725E"/>
              <w:left w:val="single" w:sz="6" w:space="0" w:color="FFFFFF"/>
              <w:bottom w:val="single" w:sz="2" w:space="0" w:color="72725E"/>
              <w:right w:val="single" w:sz="6" w:space="0" w:color="FFFFFF"/>
            </w:tcBorders>
            <w:shd w:val="solid" w:color="EAE8E2" w:fill="auto"/>
            <w:tcMar>
              <w:top w:w="113" w:type="dxa"/>
              <w:left w:w="113" w:type="dxa"/>
              <w:bottom w:w="113" w:type="dxa"/>
              <w:right w:w="80" w:type="dxa"/>
            </w:tcMar>
          </w:tcPr>
          <w:p w14:paraId="7295AAFD" w14:textId="77777777" w:rsidR="000A5027" w:rsidRDefault="000A5027">
            <w:pPr>
              <w:pStyle w:val="Tabletext"/>
            </w:pPr>
            <w:r>
              <w:t>Ensure that carers, or bodies that represent carers, are consulted when developing or evaluating care supports.</w:t>
            </w:r>
          </w:p>
        </w:tc>
        <w:tc>
          <w:tcPr>
            <w:tcW w:w="5669" w:type="dxa"/>
            <w:tcBorders>
              <w:top w:val="single" w:sz="2" w:space="0" w:color="72725E"/>
              <w:left w:val="single" w:sz="6" w:space="0" w:color="FFFFFF"/>
              <w:bottom w:val="single" w:sz="2" w:space="0" w:color="72725E"/>
              <w:right w:val="single" w:sz="6" w:space="0" w:color="000000"/>
            </w:tcBorders>
            <w:shd w:val="solid" w:color="EAE8E2" w:fill="auto"/>
            <w:tcMar>
              <w:top w:w="113" w:type="dxa"/>
              <w:left w:w="113" w:type="dxa"/>
              <w:bottom w:w="113" w:type="dxa"/>
              <w:right w:w="80" w:type="dxa"/>
            </w:tcMar>
          </w:tcPr>
          <w:p w14:paraId="72CD9389" w14:textId="77777777" w:rsidR="000A5027" w:rsidRDefault="000A5027">
            <w:pPr>
              <w:pStyle w:val="Tabletext"/>
            </w:pPr>
            <w:r>
              <w:t>The Agency held a variety of consultation forums that have included carers and their representatives.</w:t>
            </w:r>
          </w:p>
        </w:tc>
      </w:tr>
    </w:tbl>
    <w:p w14:paraId="01D04C75" w14:textId="77777777" w:rsidR="000A5027" w:rsidRDefault="000A5027" w:rsidP="000A5027">
      <w:pPr>
        <w:pStyle w:val="BodyCopy"/>
        <w:rPr>
          <w:rFonts w:ascii="FSMePro" w:hAnsi="FSMePro" w:cs="FSMePro"/>
          <w:color w:val="3D00BC"/>
          <w:sz w:val="24"/>
        </w:rPr>
      </w:pPr>
    </w:p>
    <w:p w14:paraId="4FC71D1D" w14:textId="23AF002C" w:rsidR="000A5027" w:rsidRDefault="000A5027" w:rsidP="008B5A07">
      <w:pPr>
        <w:pStyle w:val="Heading2"/>
      </w:pPr>
      <w:bookmarkStart w:id="607" w:name="_Toc464482143"/>
      <w:r>
        <w:lastRenderedPageBreak/>
        <w:t>Appendix 4</w:t>
      </w:r>
      <w:r w:rsidR="008B5A07">
        <w:br/>
      </w:r>
      <w:r>
        <w:t>Compliance index</w:t>
      </w:r>
      <w:bookmarkEnd w:id="607"/>
    </w:p>
    <w:p w14:paraId="24B4C6FD" w14:textId="08B3325E" w:rsidR="000A5027" w:rsidRDefault="000A5027" w:rsidP="008B5A07">
      <w:pPr>
        <w:pStyle w:val="Heading3Tables"/>
      </w:pPr>
      <w:bookmarkStart w:id="608" w:name="_Toc464481236"/>
      <w:r>
        <w:t>Table 15: NDIS Act 2013</w:t>
      </w:r>
      <w:bookmarkEnd w:id="608"/>
    </w:p>
    <w:tbl>
      <w:tblPr>
        <w:tblW w:w="0" w:type="auto"/>
        <w:tblInd w:w="-8" w:type="dxa"/>
        <w:tblLayout w:type="fixed"/>
        <w:tblCellMar>
          <w:left w:w="0" w:type="dxa"/>
          <w:right w:w="0" w:type="dxa"/>
        </w:tblCellMar>
        <w:tblLook w:val="0000" w:firstRow="0" w:lastRow="0" w:firstColumn="0" w:lastColumn="0" w:noHBand="0" w:noVBand="0"/>
      </w:tblPr>
      <w:tblGrid>
        <w:gridCol w:w="1176"/>
        <w:gridCol w:w="2410"/>
        <w:gridCol w:w="3855"/>
        <w:gridCol w:w="832"/>
      </w:tblGrid>
      <w:tr w:rsidR="000A5027" w14:paraId="23726F61" w14:textId="77777777">
        <w:trPr>
          <w:trHeight w:val="60"/>
          <w:tblHeader/>
        </w:trPr>
        <w:tc>
          <w:tcPr>
            <w:tcW w:w="1176" w:type="dxa"/>
            <w:tcBorders>
              <w:top w:val="single" w:sz="6" w:space="0" w:color="FFFFFF"/>
              <w:left w:val="single" w:sz="6" w:space="0" w:color="FFFFFF"/>
              <w:bottom w:val="single" w:sz="6" w:space="0" w:color="72725E"/>
              <w:right w:val="single" w:sz="6" w:space="0" w:color="FFFFFF"/>
            </w:tcBorders>
            <w:shd w:val="solid" w:color="000000" w:fill="auto"/>
            <w:tcMar>
              <w:top w:w="113" w:type="dxa"/>
              <w:left w:w="113" w:type="dxa"/>
              <w:bottom w:w="113" w:type="dxa"/>
              <w:right w:w="80" w:type="dxa"/>
            </w:tcMar>
          </w:tcPr>
          <w:p w14:paraId="4642AF80" w14:textId="77777777" w:rsidR="000A5027" w:rsidRDefault="000A5027">
            <w:pPr>
              <w:pStyle w:val="Tableheader"/>
            </w:pPr>
            <w:bookmarkStart w:id="609" w:name="Title_Table15" w:colFirst="0" w:colLast="0"/>
            <w:r>
              <w:t>Reference</w:t>
            </w:r>
          </w:p>
        </w:tc>
        <w:tc>
          <w:tcPr>
            <w:tcW w:w="2410" w:type="dxa"/>
            <w:tcBorders>
              <w:top w:val="single" w:sz="6" w:space="0" w:color="FFFFFF"/>
              <w:left w:val="single" w:sz="6" w:space="0" w:color="FFFFFF"/>
              <w:bottom w:val="single" w:sz="6" w:space="0" w:color="72725E"/>
              <w:right w:val="single" w:sz="6" w:space="0" w:color="FFFFFF"/>
            </w:tcBorders>
            <w:shd w:val="solid" w:color="000000" w:fill="auto"/>
            <w:tcMar>
              <w:top w:w="113" w:type="dxa"/>
              <w:left w:w="113" w:type="dxa"/>
              <w:bottom w:w="113" w:type="dxa"/>
              <w:right w:w="80" w:type="dxa"/>
            </w:tcMar>
          </w:tcPr>
          <w:p w14:paraId="0753A84E" w14:textId="77777777" w:rsidR="000A5027" w:rsidRDefault="000A5027">
            <w:pPr>
              <w:pStyle w:val="Tableheader"/>
            </w:pPr>
            <w:r>
              <w:t>Requirement</w:t>
            </w:r>
          </w:p>
        </w:tc>
        <w:tc>
          <w:tcPr>
            <w:tcW w:w="3855" w:type="dxa"/>
            <w:tcBorders>
              <w:top w:val="single" w:sz="6" w:space="0" w:color="FFFFFF"/>
              <w:left w:val="single" w:sz="6" w:space="0" w:color="FFFFFF"/>
              <w:bottom w:val="single" w:sz="6" w:space="0" w:color="72725E"/>
              <w:right w:val="single" w:sz="6" w:space="0" w:color="FFFFFF"/>
            </w:tcBorders>
            <w:shd w:val="solid" w:color="000000" w:fill="auto"/>
            <w:tcMar>
              <w:top w:w="113" w:type="dxa"/>
              <w:left w:w="113" w:type="dxa"/>
              <w:bottom w:w="113" w:type="dxa"/>
              <w:right w:w="80" w:type="dxa"/>
            </w:tcMar>
          </w:tcPr>
          <w:p w14:paraId="2F6C73E8" w14:textId="77777777" w:rsidR="000A5027" w:rsidRDefault="000A5027">
            <w:pPr>
              <w:pStyle w:val="Tableheader"/>
            </w:pPr>
            <w:r>
              <w:t>Notes</w:t>
            </w:r>
          </w:p>
        </w:tc>
        <w:tc>
          <w:tcPr>
            <w:tcW w:w="832" w:type="dxa"/>
            <w:tcBorders>
              <w:top w:val="single" w:sz="6" w:space="0" w:color="FFFFFF"/>
              <w:left w:val="single" w:sz="6" w:space="0" w:color="FFFFFF"/>
              <w:bottom w:val="single" w:sz="6" w:space="0" w:color="72725E"/>
              <w:right w:val="single" w:sz="6" w:space="0" w:color="FFFFFF"/>
            </w:tcBorders>
            <w:shd w:val="solid" w:color="000000" w:fill="auto"/>
            <w:tcMar>
              <w:top w:w="113" w:type="dxa"/>
              <w:left w:w="113" w:type="dxa"/>
              <w:bottom w:w="113" w:type="dxa"/>
              <w:right w:w="80" w:type="dxa"/>
            </w:tcMar>
          </w:tcPr>
          <w:p w14:paraId="6EA74E44" w14:textId="77777777" w:rsidR="000A5027" w:rsidRDefault="000A5027">
            <w:pPr>
              <w:pStyle w:val="Tableheader"/>
            </w:pPr>
            <w:r>
              <w:t>Page</w:t>
            </w:r>
          </w:p>
        </w:tc>
      </w:tr>
      <w:bookmarkEnd w:id="609"/>
      <w:tr w:rsidR="000A5027" w14:paraId="1C5800AF" w14:textId="77777777">
        <w:trPr>
          <w:trHeight w:val="60"/>
        </w:trPr>
        <w:tc>
          <w:tcPr>
            <w:tcW w:w="1176" w:type="dxa"/>
            <w:tcBorders>
              <w:top w:val="single" w:sz="2" w:space="0" w:color="72725E"/>
              <w:left w:val="single" w:sz="6" w:space="0" w:color="FFFFFF"/>
              <w:bottom w:val="single" w:sz="2" w:space="0" w:color="72725E"/>
              <w:right w:val="single" w:sz="6" w:space="0" w:color="000000"/>
            </w:tcBorders>
            <w:shd w:val="solid" w:color="EAE8E2" w:fill="auto"/>
            <w:tcMar>
              <w:top w:w="113" w:type="dxa"/>
              <w:left w:w="113" w:type="dxa"/>
              <w:bottom w:w="113" w:type="dxa"/>
              <w:right w:w="80" w:type="dxa"/>
            </w:tcMar>
          </w:tcPr>
          <w:p w14:paraId="7827ACA2" w14:textId="77777777" w:rsidR="000A5027" w:rsidRDefault="000A5027">
            <w:pPr>
              <w:pStyle w:val="Tabletextbold"/>
            </w:pPr>
            <w:r>
              <w:t>172(2)(a)</w:t>
            </w:r>
          </w:p>
        </w:tc>
        <w:tc>
          <w:tcPr>
            <w:tcW w:w="2410" w:type="dxa"/>
            <w:tcBorders>
              <w:top w:val="single" w:sz="2" w:space="0" w:color="72725E"/>
              <w:left w:val="single" w:sz="6" w:space="0" w:color="000000"/>
              <w:bottom w:val="single" w:sz="2" w:space="0" w:color="72725E"/>
              <w:right w:val="single" w:sz="6" w:space="0" w:color="000000"/>
            </w:tcBorders>
            <w:shd w:val="solid" w:color="EAE8E2" w:fill="auto"/>
            <w:tcMar>
              <w:top w:w="113" w:type="dxa"/>
              <w:left w:w="113" w:type="dxa"/>
              <w:bottom w:w="113" w:type="dxa"/>
              <w:right w:w="80" w:type="dxa"/>
            </w:tcMar>
          </w:tcPr>
          <w:p w14:paraId="2516BF3C" w14:textId="77777777" w:rsidR="000A5027" w:rsidRDefault="000A5027">
            <w:pPr>
              <w:pStyle w:val="Tabletext"/>
            </w:pPr>
            <w:r>
              <w:t>Ministerial directions</w:t>
            </w:r>
          </w:p>
        </w:tc>
        <w:tc>
          <w:tcPr>
            <w:tcW w:w="3855" w:type="dxa"/>
            <w:tcBorders>
              <w:top w:val="single" w:sz="2" w:space="0" w:color="72725E"/>
              <w:left w:val="single" w:sz="6" w:space="0" w:color="000000"/>
              <w:bottom w:val="single" w:sz="2" w:space="0" w:color="72725E"/>
              <w:right w:val="single" w:sz="6" w:space="0" w:color="FFFFFF"/>
            </w:tcBorders>
            <w:shd w:val="solid" w:color="EAE8E2" w:fill="auto"/>
            <w:tcMar>
              <w:top w:w="113" w:type="dxa"/>
              <w:left w:w="113" w:type="dxa"/>
              <w:bottom w:w="113" w:type="dxa"/>
              <w:right w:w="80" w:type="dxa"/>
            </w:tcMar>
          </w:tcPr>
          <w:p w14:paraId="74B3285A" w14:textId="77777777" w:rsidR="000A5027" w:rsidRDefault="000A5027">
            <w:pPr>
              <w:pStyle w:val="Tabletext"/>
            </w:pPr>
            <w:r>
              <w:t xml:space="preserve">No directions issued in 2015–16 </w:t>
            </w:r>
          </w:p>
        </w:tc>
        <w:tc>
          <w:tcPr>
            <w:tcW w:w="832" w:type="dxa"/>
            <w:tcBorders>
              <w:top w:val="single" w:sz="2" w:space="0" w:color="72725E"/>
              <w:left w:val="single" w:sz="6" w:space="0" w:color="FFFFFF"/>
              <w:bottom w:val="single" w:sz="2" w:space="0" w:color="72725E"/>
              <w:right w:val="single" w:sz="6" w:space="0" w:color="000000"/>
            </w:tcBorders>
            <w:shd w:val="solid" w:color="EAE8E2" w:fill="auto"/>
            <w:tcMar>
              <w:top w:w="113" w:type="dxa"/>
              <w:left w:w="113" w:type="dxa"/>
              <w:bottom w:w="113" w:type="dxa"/>
              <w:right w:w="80" w:type="dxa"/>
            </w:tcMar>
          </w:tcPr>
          <w:p w14:paraId="181FF072" w14:textId="77777777" w:rsidR="000A5027" w:rsidRDefault="000A5027">
            <w:pPr>
              <w:pStyle w:val="Tabletext"/>
            </w:pPr>
            <w:r>
              <w:t>NA</w:t>
            </w:r>
          </w:p>
        </w:tc>
      </w:tr>
      <w:tr w:rsidR="000A5027" w14:paraId="1C61481E" w14:textId="77777777">
        <w:trPr>
          <w:trHeight w:val="60"/>
        </w:trPr>
        <w:tc>
          <w:tcPr>
            <w:tcW w:w="1176" w:type="dxa"/>
            <w:tcBorders>
              <w:top w:val="single" w:sz="2" w:space="0" w:color="72725E"/>
              <w:left w:val="single" w:sz="6" w:space="0" w:color="FFFFFF"/>
              <w:bottom w:val="single" w:sz="2" w:space="0" w:color="72725E"/>
              <w:right w:val="single" w:sz="6" w:space="0" w:color="000000"/>
            </w:tcBorders>
            <w:shd w:val="solid" w:color="EAE8E2" w:fill="auto"/>
            <w:tcMar>
              <w:top w:w="113" w:type="dxa"/>
              <w:left w:w="113" w:type="dxa"/>
              <w:bottom w:w="113" w:type="dxa"/>
              <w:right w:w="80" w:type="dxa"/>
            </w:tcMar>
          </w:tcPr>
          <w:p w14:paraId="771F070C" w14:textId="77777777" w:rsidR="000A5027" w:rsidRDefault="000A5027">
            <w:pPr>
              <w:pStyle w:val="Tabletextbold"/>
            </w:pPr>
            <w:r>
              <w:t>172(2)(b)</w:t>
            </w:r>
          </w:p>
        </w:tc>
        <w:tc>
          <w:tcPr>
            <w:tcW w:w="2410" w:type="dxa"/>
            <w:tcBorders>
              <w:top w:val="single" w:sz="2" w:space="0" w:color="72725E"/>
              <w:left w:val="single" w:sz="6" w:space="0" w:color="000000"/>
              <w:bottom w:val="single" w:sz="2" w:space="0" w:color="72725E"/>
              <w:right w:val="single" w:sz="6" w:space="0" w:color="000000"/>
            </w:tcBorders>
            <w:shd w:val="solid" w:color="EAE8E2" w:fill="auto"/>
            <w:tcMar>
              <w:top w:w="113" w:type="dxa"/>
              <w:left w:w="113" w:type="dxa"/>
              <w:bottom w:w="113" w:type="dxa"/>
              <w:right w:w="80" w:type="dxa"/>
            </w:tcMar>
          </w:tcPr>
          <w:p w14:paraId="7C5E5084" w14:textId="77777777" w:rsidR="000A5027" w:rsidRDefault="000A5027">
            <w:pPr>
              <w:pStyle w:val="Tabletext"/>
            </w:pPr>
            <w:r>
              <w:t>Ministerial statements</w:t>
            </w:r>
          </w:p>
        </w:tc>
        <w:tc>
          <w:tcPr>
            <w:tcW w:w="3855" w:type="dxa"/>
            <w:tcBorders>
              <w:top w:val="single" w:sz="2" w:space="0" w:color="72725E"/>
              <w:left w:val="single" w:sz="6" w:space="0" w:color="000000"/>
              <w:bottom w:val="single" w:sz="2" w:space="0" w:color="72725E"/>
              <w:right w:val="single" w:sz="6" w:space="0" w:color="FFFFFF"/>
            </w:tcBorders>
            <w:shd w:val="solid" w:color="EAE8E2" w:fill="auto"/>
            <w:tcMar>
              <w:top w:w="113" w:type="dxa"/>
              <w:left w:w="113" w:type="dxa"/>
              <w:bottom w:w="113" w:type="dxa"/>
              <w:right w:w="80" w:type="dxa"/>
            </w:tcMar>
          </w:tcPr>
          <w:p w14:paraId="4943CD37" w14:textId="77777777" w:rsidR="000A5027" w:rsidRDefault="000A5027">
            <w:pPr>
              <w:pStyle w:val="Tabletext"/>
            </w:pPr>
            <w:r>
              <w:t xml:space="preserve">No statements issued in 2015–16 </w:t>
            </w:r>
          </w:p>
        </w:tc>
        <w:tc>
          <w:tcPr>
            <w:tcW w:w="832" w:type="dxa"/>
            <w:tcBorders>
              <w:top w:val="single" w:sz="2" w:space="0" w:color="72725E"/>
              <w:left w:val="single" w:sz="6" w:space="0" w:color="FFFFFF"/>
              <w:bottom w:val="single" w:sz="2" w:space="0" w:color="72725E"/>
              <w:right w:val="single" w:sz="6" w:space="0" w:color="000000"/>
            </w:tcBorders>
            <w:shd w:val="solid" w:color="EAE8E2" w:fill="auto"/>
            <w:tcMar>
              <w:top w:w="113" w:type="dxa"/>
              <w:left w:w="113" w:type="dxa"/>
              <w:bottom w:w="113" w:type="dxa"/>
              <w:right w:w="80" w:type="dxa"/>
            </w:tcMar>
          </w:tcPr>
          <w:p w14:paraId="49249B29" w14:textId="77777777" w:rsidR="000A5027" w:rsidRDefault="000A5027">
            <w:pPr>
              <w:pStyle w:val="Tabletext"/>
            </w:pPr>
            <w:r>
              <w:t>NA</w:t>
            </w:r>
          </w:p>
        </w:tc>
      </w:tr>
      <w:tr w:rsidR="000A5027" w14:paraId="3150E8BF" w14:textId="77777777">
        <w:trPr>
          <w:trHeight w:val="60"/>
        </w:trPr>
        <w:tc>
          <w:tcPr>
            <w:tcW w:w="1176" w:type="dxa"/>
            <w:tcBorders>
              <w:top w:val="single" w:sz="2" w:space="0" w:color="72725E"/>
              <w:left w:val="single" w:sz="6" w:space="0" w:color="FFFFFF"/>
              <w:bottom w:val="single" w:sz="2" w:space="0" w:color="72725E"/>
              <w:right w:val="single" w:sz="6" w:space="0" w:color="000000"/>
            </w:tcBorders>
            <w:shd w:val="solid" w:color="EAE8E2" w:fill="auto"/>
            <w:tcMar>
              <w:top w:w="113" w:type="dxa"/>
              <w:left w:w="113" w:type="dxa"/>
              <w:bottom w:w="113" w:type="dxa"/>
              <w:right w:w="80" w:type="dxa"/>
            </w:tcMar>
          </w:tcPr>
          <w:p w14:paraId="5B1860AB" w14:textId="77777777" w:rsidR="000A5027" w:rsidRDefault="000A5027">
            <w:pPr>
              <w:pStyle w:val="Tabletextbold"/>
            </w:pPr>
            <w:r>
              <w:t>172(2)(c)</w:t>
            </w:r>
          </w:p>
        </w:tc>
        <w:tc>
          <w:tcPr>
            <w:tcW w:w="2410" w:type="dxa"/>
            <w:tcBorders>
              <w:top w:val="single" w:sz="2" w:space="0" w:color="72725E"/>
              <w:left w:val="single" w:sz="6" w:space="0" w:color="000000"/>
              <w:bottom w:val="single" w:sz="2" w:space="0" w:color="72725E"/>
              <w:right w:val="single" w:sz="6" w:space="0" w:color="000000"/>
            </w:tcBorders>
            <w:shd w:val="solid" w:color="EAE8E2" w:fill="auto"/>
            <w:tcMar>
              <w:top w:w="113" w:type="dxa"/>
              <w:left w:w="113" w:type="dxa"/>
              <w:bottom w:w="113" w:type="dxa"/>
              <w:right w:w="80" w:type="dxa"/>
            </w:tcMar>
          </w:tcPr>
          <w:p w14:paraId="51415BAF" w14:textId="77777777" w:rsidR="000A5027" w:rsidRDefault="000A5027">
            <w:pPr>
              <w:pStyle w:val="Tabletext"/>
            </w:pPr>
            <w:r>
              <w:t>Participant and funding information and analysis</w:t>
            </w:r>
          </w:p>
        </w:tc>
        <w:tc>
          <w:tcPr>
            <w:tcW w:w="3855" w:type="dxa"/>
            <w:tcBorders>
              <w:top w:val="single" w:sz="2" w:space="0" w:color="72725E"/>
              <w:left w:val="single" w:sz="6" w:space="0" w:color="000000"/>
              <w:bottom w:val="single" w:sz="2" w:space="0" w:color="72725E"/>
              <w:right w:val="single" w:sz="6" w:space="0" w:color="FFFFFF"/>
            </w:tcBorders>
            <w:shd w:val="solid" w:color="EAE8E2" w:fill="auto"/>
            <w:tcMar>
              <w:top w:w="113" w:type="dxa"/>
              <w:left w:w="113" w:type="dxa"/>
              <w:bottom w:w="113" w:type="dxa"/>
              <w:right w:w="80" w:type="dxa"/>
            </w:tcMar>
          </w:tcPr>
          <w:p w14:paraId="53672110" w14:textId="77777777" w:rsidR="000A5027" w:rsidRDefault="000A5027">
            <w:pPr>
              <w:pStyle w:val="Tabletext"/>
            </w:pPr>
            <w:r>
              <w:t>Performance report</w:t>
            </w:r>
          </w:p>
          <w:p w14:paraId="366C5082" w14:textId="77777777" w:rsidR="000A5027" w:rsidRDefault="000A5027">
            <w:pPr>
              <w:pStyle w:val="Tabletext"/>
            </w:pPr>
            <w:r>
              <w:t>Financial performance</w:t>
            </w:r>
          </w:p>
        </w:tc>
        <w:tc>
          <w:tcPr>
            <w:tcW w:w="832" w:type="dxa"/>
            <w:tcBorders>
              <w:top w:val="single" w:sz="2" w:space="0" w:color="72725E"/>
              <w:left w:val="single" w:sz="6" w:space="0" w:color="FFFFFF"/>
              <w:bottom w:val="single" w:sz="2" w:space="0" w:color="72725E"/>
              <w:right w:val="single" w:sz="6" w:space="0" w:color="000000"/>
            </w:tcBorders>
            <w:shd w:val="solid" w:color="EAE8E2" w:fill="auto"/>
            <w:tcMar>
              <w:top w:w="113" w:type="dxa"/>
              <w:left w:w="113" w:type="dxa"/>
              <w:bottom w:w="113" w:type="dxa"/>
              <w:right w:w="80" w:type="dxa"/>
            </w:tcMar>
          </w:tcPr>
          <w:p w14:paraId="74596211" w14:textId="77777777" w:rsidR="000A5027" w:rsidRDefault="000A5027">
            <w:pPr>
              <w:pStyle w:val="Tabletext"/>
            </w:pPr>
            <w:r>
              <w:t>95-120</w:t>
            </w:r>
          </w:p>
          <w:p w14:paraId="24141406" w14:textId="77777777" w:rsidR="000A5027" w:rsidRDefault="000A5027">
            <w:pPr>
              <w:pStyle w:val="Tabletext"/>
            </w:pPr>
            <w:r>
              <w:t>121-123</w:t>
            </w:r>
          </w:p>
        </w:tc>
      </w:tr>
      <w:tr w:rsidR="000A5027" w14:paraId="134F37C4" w14:textId="77777777">
        <w:trPr>
          <w:trHeight w:val="60"/>
        </w:trPr>
        <w:tc>
          <w:tcPr>
            <w:tcW w:w="1176" w:type="dxa"/>
            <w:tcBorders>
              <w:top w:val="single" w:sz="2" w:space="0" w:color="72725E"/>
              <w:left w:val="single" w:sz="6" w:space="0" w:color="FFFFFF"/>
              <w:bottom w:val="single" w:sz="2" w:space="0" w:color="72725E"/>
              <w:right w:val="single" w:sz="6" w:space="0" w:color="000000"/>
            </w:tcBorders>
            <w:shd w:val="solid" w:color="EAE8E2" w:fill="auto"/>
            <w:tcMar>
              <w:top w:w="113" w:type="dxa"/>
              <w:left w:w="113" w:type="dxa"/>
              <w:bottom w:w="113" w:type="dxa"/>
              <w:right w:w="80" w:type="dxa"/>
            </w:tcMar>
          </w:tcPr>
          <w:p w14:paraId="07FDB491" w14:textId="77777777" w:rsidR="000A5027" w:rsidRDefault="000A5027">
            <w:pPr>
              <w:pStyle w:val="Tabletextbold"/>
            </w:pPr>
            <w:r>
              <w:t>172(3)</w:t>
            </w:r>
          </w:p>
        </w:tc>
        <w:tc>
          <w:tcPr>
            <w:tcW w:w="2410" w:type="dxa"/>
            <w:tcBorders>
              <w:top w:val="single" w:sz="2" w:space="0" w:color="72725E"/>
              <w:left w:val="single" w:sz="6" w:space="0" w:color="000000"/>
              <w:bottom w:val="single" w:sz="2" w:space="0" w:color="72725E"/>
              <w:right w:val="single" w:sz="6" w:space="0" w:color="000000"/>
            </w:tcBorders>
            <w:shd w:val="solid" w:color="EAE8E2" w:fill="auto"/>
            <w:tcMar>
              <w:top w:w="113" w:type="dxa"/>
              <w:left w:w="113" w:type="dxa"/>
              <w:bottom w:w="113" w:type="dxa"/>
              <w:right w:w="80" w:type="dxa"/>
            </w:tcMar>
          </w:tcPr>
          <w:p w14:paraId="2B04D59A" w14:textId="77777777" w:rsidR="000A5027" w:rsidRDefault="000A5027">
            <w:pPr>
              <w:pStyle w:val="Tabletext"/>
            </w:pPr>
            <w:r>
              <w:t>Requirements in legislative instruments relating to paragraph 172(2)(c)</w:t>
            </w:r>
          </w:p>
        </w:tc>
        <w:tc>
          <w:tcPr>
            <w:tcW w:w="3855" w:type="dxa"/>
            <w:tcBorders>
              <w:top w:val="single" w:sz="2" w:space="0" w:color="72725E"/>
              <w:left w:val="single" w:sz="6" w:space="0" w:color="000000"/>
              <w:bottom w:val="single" w:sz="2" w:space="0" w:color="72725E"/>
              <w:right w:val="single" w:sz="6" w:space="0" w:color="FFFFFF"/>
            </w:tcBorders>
            <w:shd w:val="solid" w:color="EAE8E2" w:fill="auto"/>
            <w:tcMar>
              <w:top w:w="113" w:type="dxa"/>
              <w:left w:w="113" w:type="dxa"/>
              <w:bottom w:w="113" w:type="dxa"/>
              <w:right w:w="80" w:type="dxa"/>
            </w:tcMar>
          </w:tcPr>
          <w:p w14:paraId="73832DE3" w14:textId="77777777" w:rsidR="000A5027" w:rsidRDefault="000A5027">
            <w:pPr>
              <w:pStyle w:val="Tabletext"/>
            </w:pPr>
            <w:r>
              <w:t xml:space="preserve">No legislative instrument made </w:t>
            </w:r>
          </w:p>
        </w:tc>
        <w:tc>
          <w:tcPr>
            <w:tcW w:w="832" w:type="dxa"/>
            <w:tcBorders>
              <w:top w:val="single" w:sz="2" w:space="0" w:color="72725E"/>
              <w:left w:val="single" w:sz="6" w:space="0" w:color="FFFFFF"/>
              <w:bottom w:val="single" w:sz="2" w:space="0" w:color="72725E"/>
              <w:right w:val="single" w:sz="6" w:space="0" w:color="000000"/>
            </w:tcBorders>
            <w:shd w:val="solid" w:color="EAE8E2" w:fill="auto"/>
            <w:tcMar>
              <w:top w:w="113" w:type="dxa"/>
              <w:left w:w="113" w:type="dxa"/>
              <w:bottom w:w="113" w:type="dxa"/>
              <w:right w:w="80" w:type="dxa"/>
            </w:tcMar>
          </w:tcPr>
          <w:p w14:paraId="0A845F78" w14:textId="77777777" w:rsidR="000A5027" w:rsidRDefault="000A5027">
            <w:pPr>
              <w:pStyle w:val="Tabletext"/>
            </w:pPr>
            <w:r>
              <w:t>NA</w:t>
            </w:r>
          </w:p>
        </w:tc>
      </w:tr>
      <w:tr w:rsidR="000A5027" w14:paraId="7F0A648E" w14:textId="77777777">
        <w:trPr>
          <w:trHeight w:val="60"/>
        </w:trPr>
        <w:tc>
          <w:tcPr>
            <w:tcW w:w="1176" w:type="dxa"/>
            <w:tcBorders>
              <w:top w:val="single" w:sz="2" w:space="0" w:color="72725E"/>
              <w:left w:val="single" w:sz="6" w:space="0" w:color="FFFFFF"/>
              <w:bottom w:val="single" w:sz="2" w:space="0" w:color="72725E"/>
              <w:right w:val="single" w:sz="6" w:space="0" w:color="000000"/>
            </w:tcBorders>
            <w:shd w:val="solid" w:color="EAE8E2" w:fill="auto"/>
            <w:tcMar>
              <w:top w:w="113" w:type="dxa"/>
              <w:left w:w="113" w:type="dxa"/>
              <w:bottom w:w="113" w:type="dxa"/>
              <w:right w:w="80" w:type="dxa"/>
            </w:tcMar>
          </w:tcPr>
          <w:p w14:paraId="611B2461" w14:textId="77777777" w:rsidR="000A5027" w:rsidRDefault="000A5027">
            <w:pPr>
              <w:pStyle w:val="Tabletextbold"/>
            </w:pPr>
            <w:r>
              <w:t>172(4)(a)</w:t>
            </w:r>
          </w:p>
        </w:tc>
        <w:tc>
          <w:tcPr>
            <w:tcW w:w="2410" w:type="dxa"/>
            <w:tcBorders>
              <w:top w:val="single" w:sz="2" w:space="0" w:color="72725E"/>
              <w:left w:val="single" w:sz="6" w:space="0" w:color="000000"/>
              <w:bottom w:val="single" w:sz="2" w:space="0" w:color="72725E"/>
              <w:right w:val="single" w:sz="6" w:space="0" w:color="000000"/>
            </w:tcBorders>
            <w:shd w:val="solid" w:color="EAE8E2" w:fill="auto"/>
            <w:tcMar>
              <w:top w:w="113" w:type="dxa"/>
              <w:left w:w="113" w:type="dxa"/>
              <w:bottom w:w="113" w:type="dxa"/>
              <w:right w:w="80" w:type="dxa"/>
            </w:tcMar>
          </w:tcPr>
          <w:p w14:paraId="694F96B2" w14:textId="77777777" w:rsidR="000A5027" w:rsidRDefault="000A5027">
            <w:pPr>
              <w:pStyle w:val="Tabletext"/>
            </w:pPr>
            <w:r>
              <w:t>Scheme Actuary’s report</w:t>
            </w:r>
          </w:p>
        </w:tc>
        <w:tc>
          <w:tcPr>
            <w:tcW w:w="3855" w:type="dxa"/>
            <w:tcBorders>
              <w:top w:val="single" w:sz="2" w:space="0" w:color="72725E"/>
              <w:left w:val="single" w:sz="6" w:space="0" w:color="000000"/>
              <w:bottom w:val="single" w:sz="2" w:space="0" w:color="72725E"/>
              <w:right w:val="single" w:sz="6" w:space="0" w:color="FFFFFF"/>
            </w:tcBorders>
            <w:shd w:val="solid" w:color="EAE8E2" w:fill="auto"/>
            <w:tcMar>
              <w:top w:w="113" w:type="dxa"/>
              <w:left w:w="113" w:type="dxa"/>
              <w:bottom w:w="113" w:type="dxa"/>
              <w:right w:w="80" w:type="dxa"/>
            </w:tcMar>
          </w:tcPr>
          <w:p w14:paraId="2D55155D" w14:textId="77777777" w:rsidR="000A5027" w:rsidRDefault="000A5027">
            <w:pPr>
              <w:pStyle w:val="Tabletext"/>
            </w:pPr>
            <w:r>
              <w:t>Scheme sustainability and financial performance</w:t>
            </w:r>
          </w:p>
        </w:tc>
        <w:tc>
          <w:tcPr>
            <w:tcW w:w="832" w:type="dxa"/>
            <w:tcBorders>
              <w:top w:val="single" w:sz="2" w:space="0" w:color="72725E"/>
              <w:left w:val="single" w:sz="6" w:space="0" w:color="FFFFFF"/>
              <w:bottom w:val="single" w:sz="2" w:space="0" w:color="72725E"/>
              <w:right w:val="single" w:sz="6" w:space="0" w:color="000000"/>
            </w:tcBorders>
            <w:shd w:val="solid" w:color="EAE8E2" w:fill="auto"/>
            <w:tcMar>
              <w:top w:w="113" w:type="dxa"/>
              <w:left w:w="113" w:type="dxa"/>
              <w:bottom w:w="113" w:type="dxa"/>
              <w:right w:w="80" w:type="dxa"/>
            </w:tcMar>
          </w:tcPr>
          <w:p w14:paraId="34215D70" w14:textId="77777777" w:rsidR="000A5027" w:rsidRDefault="000A5027">
            <w:pPr>
              <w:pStyle w:val="Tabletext"/>
            </w:pPr>
            <w:r>
              <w:t>144-146</w:t>
            </w:r>
          </w:p>
        </w:tc>
      </w:tr>
      <w:tr w:rsidR="000A5027" w14:paraId="33E0A6E4" w14:textId="77777777">
        <w:trPr>
          <w:trHeight w:val="60"/>
        </w:trPr>
        <w:tc>
          <w:tcPr>
            <w:tcW w:w="1176" w:type="dxa"/>
            <w:tcBorders>
              <w:top w:val="single" w:sz="2" w:space="0" w:color="72725E"/>
              <w:left w:val="single" w:sz="6" w:space="0" w:color="FFFFFF"/>
              <w:bottom w:val="single" w:sz="2" w:space="0" w:color="72725E"/>
              <w:right w:val="single" w:sz="6" w:space="0" w:color="000000"/>
            </w:tcBorders>
            <w:shd w:val="solid" w:color="EAE8E2" w:fill="auto"/>
            <w:tcMar>
              <w:top w:w="113" w:type="dxa"/>
              <w:left w:w="113" w:type="dxa"/>
              <w:bottom w:w="113" w:type="dxa"/>
              <w:right w:w="80" w:type="dxa"/>
            </w:tcMar>
          </w:tcPr>
          <w:p w14:paraId="4CC097BE" w14:textId="77777777" w:rsidR="000A5027" w:rsidRDefault="000A5027">
            <w:pPr>
              <w:pStyle w:val="Tabletextbold"/>
            </w:pPr>
            <w:r>
              <w:t>172(4)(b)</w:t>
            </w:r>
          </w:p>
        </w:tc>
        <w:tc>
          <w:tcPr>
            <w:tcW w:w="2410" w:type="dxa"/>
            <w:tcBorders>
              <w:top w:val="single" w:sz="2" w:space="0" w:color="72725E"/>
              <w:left w:val="single" w:sz="6" w:space="0" w:color="000000"/>
              <w:bottom w:val="single" w:sz="2" w:space="0" w:color="72725E"/>
              <w:right w:val="single" w:sz="6" w:space="0" w:color="000000"/>
            </w:tcBorders>
            <w:shd w:val="solid" w:color="EAE8E2" w:fill="auto"/>
            <w:tcMar>
              <w:top w:w="113" w:type="dxa"/>
              <w:left w:w="113" w:type="dxa"/>
              <w:bottom w:w="113" w:type="dxa"/>
              <w:right w:w="80" w:type="dxa"/>
            </w:tcMar>
          </w:tcPr>
          <w:p w14:paraId="138A2D1E" w14:textId="77777777" w:rsidR="000A5027" w:rsidRDefault="000A5027">
            <w:pPr>
              <w:pStyle w:val="Tabletext"/>
            </w:pPr>
            <w:r>
              <w:t xml:space="preserve">Reviewing Actuary’s report </w:t>
            </w:r>
          </w:p>
        </w:tc>
        <w:tc>
          <w:tcPr>
            <w:tcW w:w="3855" w:type="dxa"/>
            <w:tcBorders>
              <w:top w:val="single" w:sz="2" w:space="0" w:color="72725E"/>
              <w:left w:val="single" w:sz="6" w:space="0" w:color="000000"/>
              <w:bottom w:val="single" w:sz="2" w:space="0" w:color="72725E"/>
              <w:right w:val="single" w:sz="6" w:space="0" w:color="FFFFFF"/>
            </w:tcBorders>
            <w:shd w:val="solid" w:color="EAE8E2" w:fill="auto"/>
            <w:tcMar>
              <w:top w:w="113" w:type="dxa"/>
              <w:left w:w="113" w:type="dxa"/>
              <w:bottom w:w="113" w:type="dxa"/>
              <w:right w:w="80" w:type="dxa"/>
            </w:tcMar>
          </w:tcPr>
          <w:p w14:paraId="36F18A40" w14:textId="77777777" w:rsidR="000A5027" w:rsidRDefault="000A5027">
            <w:pPr>
              <w:pStyle w:val="Tabletext"/>
            </w:pPr>
            <w:r>
              <w:t>Scheme sustainability and financial performance</w:t>
            </w:r>
          </w:p>
        </w:tc>
        <w:tc>
          <w:tcPr>
            <w:tcW w:w="832" w:type="dxa"/>
            <w:tcBorders>
              <w:top w:val="single" w:sz="2" w:space="0" w:color="72725E"/>
              <w:left w:val="single" w:sz="6" w:space="0" w:color="FFFFFF"/>
              <w:bottom w:val="single" w:sz="2" w:space="0" w:color="72725E"/>
              <w:right w:val="single" w:sz="6" w:space="0" w:color="000000"/>
            </w:tcBorders>
            <w:shd w:val="solid" w:color="EAE8E2" w:fill="auto"/>
            <w:tcMar>
              <w:top w:w="113" w:type="dxa"/>
              <w:left w:w="113" w:type="dxa"/>
              <w:bottom w:w="113" w:type="dxa"/>
              <w:right w:w="80" w:type="dxa"/>
            </w:tcMar>
          </w:tcPr>
          <w:p w14:paraId="6B51957C" w14:textId="77777777" w:rsidR="000A5027" w:rsidRDefault="000A5027">
            <w:pPr>
              <w:pStyle w:val="Tabletext"/>
            </w:pPr>
            <w:r>
              <w:t>147-149</w:t>
            </w:r>
          </w:p>
        </w:tc>
      </w:tr>
    </w:tbl>
    <w:p w14:paraId="4C6F4195" w14:textId="77777777" w:rsidR="000A5027" w:rsidRDefault="000A5027" w:rsidP="000A5027">
      <w:pPr>
        <w:pStyle w:val="BodyCopy"/>
        <w:rPr>
          <w:sz w:val="30"/>
          <w:szCs w:val="30"/>
        </w:rPr>
      </w:pPr>
    </w:p>
    <w:p w14:paraId="6333D947" w14:textId="38ECF02E" w:rsidR="000A5027" w:rsidRDefault="000A5027" w:rsidP="00977ED6">
      <w:pPr>
        <w:pStyle w:val="Heading3Tables"/>
      </w:pPr>
      <w:bookmarkStart w:id="610" w:name="_Toc464481237"/>
      <w:r>
        <w:t>Table 16: PGPA Corporate Commonwealth Entity Rule 2014</w:t>
      </w:r>
      <w:bookmarkEnd w:id="610"/>
    </w:p>
    <w:tbl>
      <w:tblPr>
        <w:tblW w:w="0" w:type="auto"/>
        <w:tblInd w:w="-8" w:type="dxa"/>
        <w:tblLayout w:type="fixed"/>
        <w:tblCellMar>
          <w:left w:w="0" w:type="dxa"/>
          <w:right w:w="0" w:type="dxa"/>
        </w:tblCellMar>
        <w:tblLook w:val="0000" w:firstRow="0" w:lastRow="0" w:firstColumn="0" w:lastColumn="0" w:noHBand="0" w:noVBand="0"/>
      </w:tblPr>
      <w:tblGrid>
        <w:gridCol w:w="1176"/>
        <w:gridCol w:w="2973"/>
        <w:gridCol w:w="3278"/>
        <w:gridCol w:w="832"/>
      </w:tblGrid>
      <w:tr w:rsidR="000A5027" w14:paraId="2E38E7BB" w14:textId="77777777">
        <w:trPr>
          <w:trHeight w:val="60"/>
          <w:tblHeader/>
        </w:trPr>
        <w:tc>
          <w:tcPr>
            <w:tcW w:w="1176" w:type="dxa"/>
            <w:tcBorders>
              <w:top w:val="single" w:sz="6" w:space="0" w:color="FFFFFF"/>
              <w:left w:val="single" w:sz="6" w:space="0" w:color="FFFFFF"/>
              <w:bottom w:val="single" w:sz="6" w:space="0" w:color="72725E"/>
              <w:right w:val="single" w:sz="6" w:space="0" w:color="FFFFFF"/>
            </w:tcBorders>
            <w:shd w:val="solid" w:color="000000" w:fill="auto"/>
            <w:tcMar>
              <w:top w:w="113" w:type="dxa"/>
              <w:left w:w="113" w:type="dxa"/>
              <w:bottom w:w="113" w:type="dxa"/>
              <w:right w:w="80" w:type="dxa"/>
            </w:tcMar>
          </w:tcPr>
          <w:p w14:paraId="57236510" w14:textId="77777777" w:rsidR="000A5027" w:rsidRDefault="000A5027">
            <w:pPr>
              <w:pStyle w:val="Tableheader"/>
            </w:pPr>
            <w:bookmarkStart w:id="611" w:name="Title_Table16" w:colFirst="0" w:colLast="0"/>
            <w:r>
              <w:t>Reference</w:t>
            </w:r>
          </w:p>
        </w:tc>
        <w:tc>
          <w:tcPr>
            <w:tcW w:w="2973" w:type="dxa"/>
            <w:tcBorders>
              <w:top w:val="single" w:sz="6" w:space="0" w:color="FFFFFF"/>
              <w:left w:val="single" w:sz="6" w:space="0" w:color="FFFFFF"/>
              <w:bottom w:val="single" w:sz="6" w:space="0" w:color="72725E"/>
              <w:right w:val="single" w:sz="6" w:space="0" w:color="FFFFFF"/>
            </w:tcBorders>
            <w:shd w:val="solid" w:color="000000" w:fill="auto"/>
            <w:tcMar>
              <w:top w:w="113" w:type="dxa"/>
              <w:left w:w="113" w:type="dxa"/>
              <w:bottom w:w="113" w:type="dxa"/>
              <w:right w:w="80" w:type="dxa"/>
            </w:tcMar>
          </w:tcPr>
          <w:p w14:paraId="03E902B7" w14:textId="77777777" w:rsidR="000A5027" w:rsidRDefault="000A5027">
            <w:pPr>
              <w:pStyle w:val="Tableheader"/>
            </w:pPr>
            <w:r>
              <w:t>Requirement</w:t>
            </w:r>
          </w:p>
        </w:tc>
        <w:tc>
          <w:tcPr>
            <w:tcW w:w="3278" w:type="dxa"/>
            <w:tcBorders>
              <w:top w:val="single" w:sz="6" w:space="0" w:color="FFFFFF"/>
              <w:left w:val="single" w:sz="6" w:space="0" w:color="FFFFFF"/>
              <w:bottom w:val="single" w:sz="6" w:space="0" w:color="72725E"/>
              <w:right w:val="single" w:sz="6" w:space="0" w:color="FFFFFF"/>
            </w:tcBorders>
            <w:shd w:val="solid" w:color="000000" w:fill="auto"/>
            <w:tcMar>
              <w:top w:w="113" w:type="dxa"/>
              <w:left w:w="113" w:type="dxa"/>
              <w:bottom w:w="113" w:type="dxa"/>
              <w:right w:w="80" w:type="dxa"/>
            </w:tcMar>
          </w:tcPr>
          <w:p w14:paraId="1D19C92D" w14:textId="77777777" w:rsidR="000A5027" w:rsidRDefault="000A5027">
            <w:pPr>
              <w:pStyle w:val="Tableheader"/>
            </w:pPr>
            <w:r>
              <w:t>Detail and page location</w:t>
            </w:r>
          </w:p>
        </w:tc>
        <w:tc>
          <w:tcPr>
            <w:tcW w:w="832" w:type="dxa"/>
            <w:tcBorders>
              <w:top w:val="single" w:sz="6" w:space="0" w:color="FFFFFF"/>
              <w:left w:val="single" w:sz="6" w:space="0" w:color="FFFFFF"/>
              <w:bottom w:val="single" w:sz="6" w:space="0" w:color="72725E"/>
              <w:right w:val="single" w:sz="6" w:space="0" w:color="FFFFFF"/>
            </w:tcBorders>
            <w:shd w:val="solid" w:color="000000" w:fill="auto"/>
            <w:tcMar>
              <w:top w:w="113" w:type="dxa"/>
              <w:left w:w="113" w:type="dxa"/>
              <w:bottom w:w="113" w:type="dxa"/>
              <w:right w:w="80" w:type="dxa"/>
            </w:tcMar>
          </w:tcPr>
          <w:p w14:paraId="01477AA6" w14:textId="77777777" w:rsidR="000A5027" w:rsidRDefault="000A5027">
            <w:pPr>
              <w:pStyle w:val="NoParagraphStyle"/>
              <w:spacing w:line="240" w:lineRule="auto"/>
              <w:textAlignment w:val="auto"/>
              <w:rPr>
                <w:rFonts w:ascii="FSMePro" w:hAnsi="FSMePro" w:cstheme="minorBidi"/>
                <w:color w:val="auto"/>
                <w:lang w:val="en-US"/>
              </w:rPr>
            </w:pPr>
          </w:p>
        </w:tc>
      </w:tr>
      <w:bookmarkEnd w:id="611"/>
      <w:tr w:rsidR="000A5027" w14:paraId="327FA6CD" w14:textId="77777777">
        <w:trPr>
          <w:trHeight w:val="60"/>
        </w:trPr>
        <w:tc>
          <w:tcPr>
            <w:tcW w:w="1176" w:type="dxa"/>
            <w:tcBorders>
              <w:top w:val="single" w:sz="2" w:space="0" w:color="72725E"/>
              <w:left w:val="single" w:sz="6" w:space="0" w:color="FFFFFF"/>
              <w:bottom w:val="single" w:sz="2" w:space="0" w:color="72725E"/>
              <w:right w:val="single" w:sz="6" w:space="0" w:color="000000"/>
            </w:tcBorders>
            <w:shd w:val="solid" w:color="EAE8E2" w:fill="auto"/>
            <w:tcMar>
              <w:top w:w="113" w:type="dxa"/>
              <w:left w:w="113" w:type="dxa"/>
              <w:bottom w:w="113" w:type="dxa"/>
              <w:right w:w="80" w:type="dxa"/>
            </w:tcMar>
          </w:tcPr>
          <w:p w14:paraId="581EB7F7" w14:textId="77777777" w:rsidR="000A5027" w:rsidRDefault="000A5027">
            <w:pPr>
              <w:pStyle w:val="Tabletextbold"/>
            </w:pPr>
            <w:r>
              <w:t>17BB</w:t>
            </w:r>
          </w:p>
        </w:tc>
        <w:tc>
          <w:tcPr>
            <w:tcW w:w="2973" w:type="dxa"/>
            <w:tcBorders>
              <w:top w:val="single" w:sz="2" w:space="0" w:color="72725E"/>
              <w:left w:val="single" w:sz="6" w:space="0" w:color="000000"/>
              <w:bottom w:val="single" w:sz="2" w:space="0" w:color="72725E"/>
              <w:right w:val="single" w:sz="6" w:space="0" w:color="000000"/>
            </w:tcBorders>
            <w:shd w:val="solid" w:color="EAE8E2" w:fill="auto"/>
            <w:tcMar>
              <w:top w:w="113" w:type="dxa"/>
              <w:left w:w="113" w:type="dxa"/>
              <w:bottom w:w="113" w:type="dxa"/>
              <w:right w:w="80" w:type="dxa"/>
            </w:tcMar>
          </w:tcPr>
          <w:p w14:paraId="2D846B91" w14:textId="77777777" w:rsidR="000A5027" w:rsidRDefault="000A5027">
            <w:pPr>
              <w:pStyle w:val="Tabletext"/>
            </w:pPr>
            <w:r>
              <w:t xml:space="preserve">Approval by directors </w:t>
            </w:r>
          </w:p>
        </w:tc>
        <w:tc>
          <w:tcPr>
            <w:tcW w:w="3278" w:type="dxa"/>
            <w:tcBorders>
              <w:top w:val="single" w:sz="2" w:space="0" w:color="72725E"/>
              <w:left w:val="single" w:sz="6" w:space="0" w:color="000000"/>
              <w:bottom w:val="single" w:sz="2" w:space="0" w:color="72725E"/>
              <w:right w:val="single" w:sz="6" w:space="0" w:color="FFFFFF"/>
            </w:tcBorders>
            <w:shd w:val="solid" w:color="EAE8E2" w:fill="auto"/>
            <w:tcMar>
              <w:top w:w="113" w:type="dxa"/>
              <w:left w:w="113" w:type="dxa"/>
              <w:bottom w:w="113" w:type="dxa"/>
              <w:right w:w="80" w:type="dxa"/>
            </w:tcMar>
          </w:tcPr>
          <w:p w14:paraId="4C1F59F7" w14:textId="77777777" w:rsidR="000A5027" w:rsidRDefault="000A5027">
            <w:pPr>
              <w:pStyle w:val="Tabletext"/>
            </w:pPr>
            <w:r>
              <w:t>Letter of transmittal</w:t>
            </w:r>
          </w:p>
        </w:tc>
        <w:tc>
          <w:tcPr>
            <w:tcW w:w="832" w:type="dxa"/>
            <w:tcBorders>
              <w:top w:val="single" w:sz="2" w:space="0" w:color="72725E"/>
              <w:left w:val="single" w:sz="6" w:space="0" w:color="FFFFFF"/>
              <w:bottom w:val="single" w:sz="2" w:space="0" w:color="72725E"/>
              <w:right w:val="single" w:sz="6" w:space="0" w:color="000000"/>
            </w:tcBorders>
            <w:shd w:val="solid" w:color="EAE8E2" w:fill="auto"/>
            <w:tcMar>
              <w:top w:w="113" w:type="dxa"/>
              <w:left w:w="113" w:type="dxa"/>
              <w:bottom w:w="113" w:type="dxa"/>
              <w:right w:w="80" w:type="dxa"/>
            </w:tcMar>
          </w:tcPr>
          <w:p w14:paraId="69CB2CB9" w14:textId="77777777" w:rsidR="000A5027" w:rsidRDefault="000A5027">
            <w:pPr>
              <w:pStyle w:val="Tabletext"/>
            </w:pPr>
            <w:r>
              <w:t>viii</w:t>
            </w:r>
          </w:p>
        </w:tc>
      </w:tr>
      <w:tr w:rsidR="000A5027" w14:paraId="37490C75" w14:textId="77777777">
        <w:trPr>
          <w:trHeight w:val="60"/>
        </w:trPr>
        <w:tc>
          <w:tcPr>
            <w:tcW w:w="1176" w:type="dxa"/>
            <w:tcBorders>
              <w:top w:val="single" w:sz="2" w:space="0" w:color="72725E"/>
              <w:left w:val="single" w:sz="6" w:space="0" w:color="FFFFFF"/>
              <w:bottom w:val="single" w:sz="2" w:space="0" w:color="72725E"/>
              <w:right w:val="single" w:sz="6" w:space="0" w:color="000000"/>
            </w:tcBorders>
            <w:shd w:val="solid" w:color="EAE8E2" w:fill="auto"/>
            <w:tcMar>
              <w:top w:w="113" w:type="dxa"/>
              <w:left w:w="113" w:type="dxa"/>
              <w:bottom w:w="113" w:type="dxa"/>
              <w:right w:w="80" w:type="dxa"/>
            </w:tcMar>
          </w:tcPr>
          <w:p w14:paraId="662EC808" w14:textId="77777777" w:rsidR="000A5027" w:rsidRDefault="000A5027">
            <w:pPr>
              <w:pStyle w:val="Tabletextbold"/>
            </w:pPr>
            <w:r>
              <w:t>17BC</w:t>
            </w:r>
          </w:p>
        </w:tc>
        <w:tc>
          <w:tcPr>
            <w:tcW w:w="2973" w:type="dxa"/>
            <w:tcBorders>
              <w:top w:val="single" w:sz="2" w:space="0" w:color="72725E"/>
              <w:left w:val="single" w:sz="6" w:space="0" w:color="000000"/>
              <w:bottom w:val="single" w:sz="2" w:space="0" w:color="72725E"/>
              <w:right w:val="single" w:sz="6" w:space="0" w:color="000000"/>
            </w:tcBorders>
            <w:shd w:val="solid" w:color="EAE8E2" w:fill="auto"/>
            <w:tcMar>
              <w:top w:w="113" w:type="dxa"/>
              <w:left w:w="113" w:type="dxa"/>
              <w:bottom w:w="113" w:type="dxa"/>
              <w:right w:w="80" w:type="dxa"/>
            </w:tcMar>
          </w:tcPr>
          <w:p w14:paraId="2BBCD8A3" w14:textId="77777777" w:rsidR="000A5027" w:rsidRDefault="000A5027">
            <w:pPr>
              <w:pStyle w:val="Tabletext"/>
            </w:pPr>
            <w:r>
              <w:t>Compliance with the guidelines for presenting documents to the Parliament</w:t>
            </w:r>
          </w:p>
        </w:tc>
        <w:tc>
          <w:tcPr>
            <w:tcW w:w="3278" w:type="dxa"/>
            <w:tcBorders>
              <w:top w:val="single" w:sz="2" w:space="0" w:color="72725E"/>
              <w:left w:val="single" w:sz="6" w:space="0" w:color="000000"/>
              <w:bottom w:val="single" w:sz="2" w:space="0" w:color="72725E"/>
              <w:right w:val="single" w:sz="6" w:space="0" w:color="FFFFFF"/>
            </w:tcBorders>
            <w:shd w:val="solid" w:color="EAE8E2" w:fill="auto"/>
            <w:tcMar>
              <w:top w:w="113" w:type="dxa"/>
              <w:left w:w="113" w:type="dxa"/>
              <w:bottom w:w="113" w:type="dxa"/>
              <w:right w:w="80" w:type="dxa"/>
            </w:tcMar>
          </w:tcPr>
          <w:p w14:paraId="06CFB71E" w14:textId="77777777" w:rsidR="000A5027" w:rsidRDefault="000A5027">
            <w:pPr>
              <w:pStyle w:val="NoParagraphStyle"/>
              <w:spacing w:line="240" w:lineRule="auto"/>
              <w:textAlignment w:val="auto"/>
              <w:rPr>
                <w:rFonts w:ascii="FSMePro" w:hAnsi="FSMePro" w:cstheme="minorBidi"/>
                <w:color w:val="auto"/>
                <w:lang w:val="en-US"/>
              </w:rPr>
            </w:pPr>
          </w:p>
        </w:tc>
        <w:tc>
          <w:tcPr>
            <w:tcW w:w="832" w:type="dxa"/>
            <w:tcBorders>
              <w:top w:val="single" w:sz="2" w:space="0" w:color="72725E"/>
              <w:left w:val="single" w:sz="6" w:space="0" w:color="FFFFFF"/>
              <w:bottom w:val="single" w:sz="2" w:space="0" w:color="72725E"/>
              <w:right w:val="single" w:sz="6" w:space="0" w:color="000000"/>
            </w:tcBorders>
            <w:shd w:val="solid" w:color="EAE8E2" w:fill="auto"/>
            <w:tcMar>
              <w:top w:w="113" w:type="dxa"/>
              <w:left w:w="113" w:type="dxa"/>
              <w:bottom w:w="113" w:type="dxa"/>
              <w:right w:w="80" w:type="dxa"/>
            </w:tcMar>
          </w:tcPr>
          <w:p w14:paraId="69B09B77" w14:textId="77777777" w:rsidR="000A5027" w:rsidRDefault="000A5027">
            <w:pPr>
              <w:pStyle w:val="Tabletext"/>
            </w:pPr>
            <w:r>
              <w:t>all</w:t>
            </w:r>
          </w:p>
        </w:tc>
      </w:tr>
      <w:tr w:rsidR="000A5027" w14:paraId="357291B5" w14:textId="77777777">
        <w:trPr>
          <w:trHeight w:val="60"/>
        </w:trPr>
        <w:tc>
          <w:tcPr>
            <w:tcW w:w="1176" w:type="dxa"/>
            <w:tcBorders>
              <w:top w:val="single" w:sz="2" w:space="0" w:color="72725E"/>
              <w:left w:val="single" w:sz="6" w:space="0" w:color="FFFFFF"/>
              <w:bottom w:val="single" w:sz="2" w:space="0" w:color="72725E"/>
              <w:right w:val="single" w:sz="6" w:space="0" w:color="000000"/>
            </w:tcBorders>
            <w:shd w:val="solid" w:color="EAE8E2" w:fill="auto"/>
            <w:tcMar>
              <w:top w:w="113" w:type="dxa"/>
              <w:left w:w="113" w:type="dxa"/>
              <w:bottom w:w="113" w:type="dxa"/>
              <w:right w:w="80" w:type="dxa"/>
            </w:tcMar>
          </w:tcPr>
          <w:p w14:paraId="086FB162" w14:textId="77777777" w:rsidR="000A5027" w:rsidRDefault="000A5027">
            <w:pPr>
              <w:pStyle w:val="Tabletextbold"/>
            </w:pPr>
            <w:r>
              <w:t>17BD</w:t>
            </w:r>
          </w:p>
        </w:tc>
        <w:tc>
          <w:tcPr>
            <w:tcW w:w="2973" w:type="dxa"/>
            <w:tcBorders>
              <w:top w:val="single" w:sz="2" w:space="0" w:color="72725E"/>
              <w:left w:val="single" w:sz="6" w:space="0" w:color="000000"/>
              <w:bottom w:val="single" w:sz="2" w:space="0" w:color="72725E"/>
              <w:right w:val="single" w:sz="6" w:space="0" w:color="000000"/>
            </w:tcBorders>
            <w:shd w:val="solid" w:color="EAE8E2" w:fill="auto"/>
            <w:tcMar>
              <w:top w:w="113" w:type="dxa"/>
              <w:left w:w="113" w:type="dxa"/>
              <w:bottom w:w="113" w:type="dxa"/>
              <w:right w:w="80" w:type="dxa"/>
            </w:tcMar>
          </w:tcPr>
          <w:p w14:paraId="3FF4BE04" w14:textId="77777777" w:rsidR="000A5027" w:rsidRDefault="000A5027">
            <w:pPr>
              <w:pStyle w:val="Tabletext"/>
            </w:pPr>
            <w:r>
              <w:t>Plain English and clear design</w:t>
            </w:r>
          </w:p>
        </w:tc>
        <w:tc>
          <w:tcPr>
            <w:tcW w:w="3278" w:type="dxa"/>
            <w:tcBorders>
              <w:top w:val="single" w:sz="2" w:space="0" w:color="72725E"/>
              <w:left w:val="single" w:sz="6" w:space="0" w:color="000000"/>
              <w:bottom w:val="single" w:sz="2" w:space="0" w:color="72725E"/>
              <w:right w:val="single" w:sz="6" w:space="0" w:color="FFFFFF"/>
            </w:tcBorders>
            <w:shd w:val="solid" w:color="EAE8E2" w:fill="auto"/>
            <w:tcMar>
              <w:top w:w="113" w:type="dxa"/>
              <w:left w:w="113" w:type="dxa"/>
              <w:bottom w:w="113" w:type="dxa"/>
              <w:right w:w="80" w:type="dxa"/>
            </w:tcMar>
          </w:tcPr>
          <w:p w14:paraId="2B2A68E2" w14:textId="77777777" w:rsidR="000A5027" w:rsidRDefault="000A5027">
            <w:pPr>
              <w:pStyle w:val="NoParagraphStyle"/>
              <w:spacing w:line="240" w:lineRule="auto"/>
              <w:textAlignment w:val="auto"/>
              <w:rPr>
                <w:rFonts w:ascii="FSMePro" w:hAnsi="FSMePro" w:cstheme="minorBidi"/>
                <w:color w:val="auto"/>
                <w:lang w:val="en-US"/>
              </w:rPr>
            </w:pPr>
          </w:p>
        </w:tc>
        <w:tc>
          <w:tcPr>
            <w:tcW w:w="832" w:type="dxa"/>
            <w:tcBorders>
              <w:top w:val="single" w:sz="2" w:space="0" w:color="72725E"/>
              <w:left w:val="single" w:sz="6" w:space="0" w:color="FFFFFF"/>
              <w:bottom w:val="single" w:sz="2" w:space="0" w:color="72725E"/>
              <w:right w:val="single" w:sz="6" w:space="0" w:color="000000"/>
            </w:tcBorders>
            <w:shd w:val="solid" w:color="EAE8E2" w:fill="auto"/>
            <w:tcMar>
              <w:top w:w="113" w:type="dxa"/>
              <w:left w:w="113" w:type="dxa"/>
              <w:bottom w:w="113" w:type="dxa"/>
              <w:right w:w="80" w:type="dxa"/>
            </w:tcMar>
          </w:tcPr>
          <w:p w14:paraId="1506803E" w14:textId="77777777" w:rsidR="000A5027" w:rsidRDefault="000A5027">
            <w:pPr>
              <w:pStyle w:val="Tabletext"/>
            </w:pPr>
            <w:r>
              <w:t>all</w:t>
            </w:r>
          </w:p>
        </w:tc>
      </w:tr>
      <w:tr w:rsidR="000A5027" w14:paraId="7ACC1740" w14:textId="77777777">
        <w:trPr>
          <w:trHeight w:val="60"/>
        </w:trPr>
        <w:tc>
          <w:tcPr>
            <w:tcW w:w="1176" w:type="dxa"/>
            <w:tcBorders>
              <w:top w:val="single" w:sz="2" w:space="0" w:color="72725E"/>
              <w:left w:val="single" w:sz="6" w:space="0" w:color="FFFFFF"/>
              <w:bottom w:val="single" w:sz="2" w:space="0" w:color="72725E"/>
              <w:right w:val="single" w:sz="6" w:space="0" w:color="000000"/>
            </w:tcBorders>
            <w:shd w:val="solid" w:color="EAE8E2" w:fill="auto"/>
            <w:tcMar>
              <w:top w:w="113" w:type="dxa"/>
              <w:left w:w="113" w:type="dxa"/>
              <w:bottom w:w="113" w:type="dxa"/>
              <w:right w:w="80" w:type="dxa"/>
            </w:tcMar>
          </w:tcPr>
          <w:p w14:paraId="074C95AA" w14:textId="77777777" w:rsidR="000A5027" w:rsidRDefault="000A5027">
            <w:pPr>
              <w:pStyle w:val="Tabletextbold"/>
            </w:pPr>
            <w:r>
              <w:t>17BE(a)</w:t>
            </w:r>
          </w:p>
          <w:p w14:paraId="2016441F" w14:textId="77777777" w:rsidR="000A5027" w:rsidRDefault="000A5027">
            <w:pPr>
              <w:pStyle w:val="Tabletextbold"/>
            </w:pPr>
            <w:r>
              <w:t>17BE(b)</w:t>
            </w:r>
          </w:p>
        </w:tc>
        <w:tc>
          <w:tcPr>
            <w:tcW w:w="2973" w:type="dxa"/>
            <w:tcBorders>
              <w:top w:val="single" w:sz="2" w:space="0" w:color="72725E"/>
              <w:left w:val="single" w:sz="6" w:space="0" w:color="000000"/>
              <w:bottom w:val="single" w:sz="2" w:space="0" w:color="72725E"/>
              <w:right w:val="single" w:sz="6" w:space="0" w:color="000000"/>
            </w:tcBorders>
            <w:shd w:val="solid" w:color="EAE8E2" w:fill="auto"/>
            <w:tcMar>
              <w:top w:w="113" w:type="dxa"/>
              <w:left w:w="113" w:type="dxa"/>
              <w:bottom w:w="113" w:type="dxa"/>
              <w:right w:w="80" w:type="dxa"/>
            </w:tcMar>
          </w:tcPr>
          <w:p w14:paraId="114016EE" w14:textId="77777777" w:rsidR="000A5027" w:rsidRDefault="000A5027">
            <w:pPr>
              <w:pStyle w:val="Tabletext"/>
            </w:pPr>
            <w:r>
              <w:t>Enabling legislation, objectives, purposes and functions</w:t>
            </w:r>
          </w:p>
        </w:tc>
        <w:tc>
          <w:tcPr>
            <w:tcW w:w="3278" w:type="dxa"/>
            <w:tcBorders>
              <w:top w:val="single" w:sz="2" w:space="0" w:color="72725E"/>
              <w:left w:val="single" w:sz="6" w:space="0" w:color="000000"/>
              <w:bottom w:val="single" w:sz="2" w:space="0" w:color="72725E"/>
              <w:right w:val="single" w:sz="6" w:space="0" w:color="FFFFFF"/>
            </w:tcBorders>
            <w:shd w:val="solid" w:color="EAE8E2" w:fill="auto"/>
            <w:tcMar>
              <w:top w:w="113" w:type="dxa"/>
              <w:left w:w="113" w:type="dxa"/>
              <w:bottom w:w="113" w:type="dxa"/>
              <w:right w:w="80" w:type="dxa"/>
            </w:tcMar>
          </w:tcPr>
          <w:p w14:paraId="62BC6EBE" w14:textId="77777777" w:rsidR="000A5027" w:rsidRDefault="000A5027">
            <w:pPr>
              <w:pStyle w:val="Tabletext"/>
            </w:pPr>
            <w:r>
              <w:t>Enabling legislation</w:t>
            </w:r>
          </w:p>
          <w:p w14:paraId="71F15765" w14:textId="77777777" w:rsidR="000A5027" w:rsidRDefault="000A5027">
            <w:pPr>
              <w:pStyle w:val="Tabletext"/>
            </w:pPr>
            <w:r>
              <w:t>Performance Report</w:t>
            </w:r>
          </w:p>
        </w:tc>
        <w:tc>
          <w:tcPr>
            <w:tcW w:w="832" w:type="dxa"/>
            <w:tcBorders>
              <w:top w:val="single" w:sz="2" w:space="0" w:color="72725E"/>
              <w:left w:val="single" w:sz="6" w:space="0" w:color="FFFFFF"/>
              <w:bottom w:val="single" w:sz="2" w:space="0" w:color="72725E"/>
              <w:right w:val="single" w:sz="6" w:space="0" w:color="000000"/>
            </w:tcBorders>
            <w:shd w:val="solid" w:color="EAE8E2" w:fill="auto"/>
            <w:tcMar>
              <w:top w:w="113" w:type="dxa"/>
              <w:left w:w="113" w:type="dxa"/>
              <w:bottom w:w="113" w:type="dxa"/>
              <w:right w:w="80" w:type="dxa"/>
            </w:tcMar>
          </w:tcPr>
          <w:p w14:paraId="52B2BEDE" w14:textId="77777777" w:rsidR="000A5027" w:rsidRDefault="000A5027">
            <w:pPr>
              <w:pStyle w:val="Tabletext"/>
            </w:pPr>
            <w:r>
              <w:t>202</w:t>
            </w:r>
          </w:p>
          <w:p w14:paraId="2E512A2F" w14:textId="77777777" w:rsidR="000A5027" w:rsidRDefault="000A5027">
            <w:pPr>
              <w:pStyle w:val="Tabletext"/>
            </w:pPr>
            <w:r>
              <w:t>97-120</w:t>
            </w:r>
          </w:p>
        </w:tc>
      </w:tr>
      <w:tr w:rsidR="000A5027" w14:paraId="413DA0B8" w14:textId="77777777">
        <w:trPr>
          <w:trHeight w:val="60"/>
        </w:trPr>
        <w:tc>
          <w:tcPr>
            <w:tcW w:w="1176" w:type="dxa"/>
            <w:tcBorders>
              <w:top w:val="single" w:sz="2" w:space="0" w:color="72725E"/>
              <w:left w:val="single" w:sz="6" w:space="0" w:color="FFFFFF"/>
              <w:bottom w:val="single" w:sz="2" w:space="0" w:color="72725E"/>
              <w:right w:val="single" w:sz="6" w:space="0" w:color="000000"/>
            </w:tcBorders>
            <w:shd w:val="solid" w:color="EAE8E2" w:fill="auto"/>
            <w:tcMar>
              <w:top w:w="113" w:type="dxa"/>
              <w:left w:w="113" w:type="dxa"/>
              <w:bottom w:w="113" w:type="dxa"/>
              <w:right w:w="80" w:type="dxa"/>
            </w:tcMar>
          </w:tcPr>
          <w:p w14:paraId="02A4EBB6" w14:textId="77777777" w:rsidR="000A5027" w:rsidRDefault="000A5027">
            <w:pPr>
              <w:pStyle w:val="Tabletextbold"/>
            </w:pPr>
            <w:r>
              <w:t>17BE(c)</w:t>
            </w:r>
          </w:p>
        </w:tc>
        <w:tc>
          <w:tcPr>
            <w:tcW w:w="2973" w:type="dxa"/>
            <w:tcBorders>
              <w:top w:val="single" w:sz="2" w:space="0" w:color="72725E"/>
              <w:left w:val="single" w:sz="6" w:space="0" w:color="000000"/>
              <w:bottom w:val="single" w:sz="2" w:space="0" w:color="72725E"/>
              <w:right w:val="single" w:sz="6" w:space="0" w:color="000000"/>
            </w:tcBorders>
            <w:shd w:val="solid" w:color="EAE8E2" w:fill="auto"/>
            <w:tcMar>
              <w:top w:w="113" w:type="dxa"/>
              <w:left w:w="113" w:type="dxa"/>
              <w:bottom w:w="113" w:type="dxa"/>
              <w:right w:w="80" w:type="dxa"/>
            </w:tcMar>
          </w:tcPr>
          <w:p w14:paraId="0BF36988" w14:textId="77777777" w:rsidR="000A5027" w:rsidRDefault="000A5027">
            <w:pPr>
              <w:pStyle w:val="Tabletext"/>
            </w:pPr>
            <w:r>
              <w:t>Responsible Minister</w:t>
            </w:r>
          </w:p>
        </w:tc>
        <w:tc>
          <w:tcPr>
            <w:tcW w:w="3278" w:type="dxa"/>
            <w:tcBorders>
              <w:top w:val="single" w:sz="2" w:space="0" w:color="72725E"/>
              <w:left w:val="single" w:sz="6" w:space="0" w:color="000000"/>
              <w:bottom w:val="single" w:sz="2" w:space="0" w:color="72725E"/>
              <w:right w:val="single" w:sz="6" w:space="0" w:color="FFFFFF"/>
            </w:tcBorders>
            <w:shd w:val="solid" w:color="EAE8E2" w:fill="auto"/>
            <w:tcMar>
              <w:top w:w="113" w:type="dxa"/>
              <w:left w:w="113" w:type="dxa"/>
              <w:bottom w:w="113" w:type="dxa"/>
              <w:right w:w="80" w:type="dxa"/>
            </w:tcMar>
          </w:tcPr>
          <w:p w14:paraId="142433AB" w14:textId="77777777" w:rsidR="000A5027" w:rsidRDefault="000A5027">
            <w:pPr>
              <w:pStyle w:val="Tabletext"/>
            </w:pPr>
            <w:r>
              <w:t>Responsible Minister</w:t>
            </w:r>
          </w:p>
        </w:tc>
        <w:tc>
          <w:tcPr>
            <w:tcW w:w="832" w:type="dxa"/>
            <w:tcBorders>
              <w:top w:val="single" w:sz="2" w:space="0" w:color="72725E"/>
              <w:left w:val="single" w:sz="6" w:space="0" w:color="FFFFFF"/>
              <w:bottom w:val="single" w:sz="2" w:space="0" w:color="72725E"/>
              <w:right w:val="single" w:sz="6" w:space="0" w:color="000000"/>
            </w:tcBorders>
            <w:shd w:val="solid" w:color="EAE8E2" w:fill="auto"/>
            <w:tcMar>
              <w:top w:w="113" w:type="dxa"/>
              <w:left w:w="113" w:type="dxa"/>
              <w:bottom w:w="113" w:type="dxa"/>
              <w:right w:w="80" w:type="dxa"/>
            </w:tcMar>
          </w:tcPr>
          <w:p w14:paraId="4BDEE680" w14:textId="77777777" w:rsidR="000A5027" w:rsidRDefault="000A5027">
            <w:pPr>
              <w:pStyle w:val="Tabletext"/>
            </w:pPr>
            <w:r>
              <w:t>130</w:t>
            </w:r>
          </w:p>
        </w:tc>
      </w:tr>
      <w:tr w:rsidR="000A5027" w14:paraId="5A33384B" w14:textId="77777777">
        <w:trPr>
          <w:trHeight w:val="60"/>
        </w:trPr>
        <w:tc>
          <w:tcPr>
            <w:tcW w:w="1176" w:type="dxa"/>
            <w:tcBorders>
              <w:top w:val="single" w:sz="2" w:space="0" w:color="72725E"/>
              <w:left w:val="single" w:sz="6" w:space="0" w:color="FFFFFF"/>
              <w:bottom w:val="single" w:sz="2" w:space="0" w:color="72725E"/>
              <w:right w:val="single" w:sz="6" w:space="0" w:color="000000"/>
            </w:tcBorders>
            <w:shd w:val="solid" w:color="EAE8E2" w:fill="auto"/>
            <w:tcMar>
              <w:top w:w="113" w:type="dxa"/>
              <w:left w:w="113" w:type="dxa"/>
              <w:bottom w:w="113" w:type="dxa"/>
              <w:right w:w="80" w:type="dxa"/>
            </w:tcMar>
          </w:tcPr>
          <w:p w14:paraId="744B7753" w14:textId="77777777" w:rsidR="000A5027" w:rsidRDefault="000A5027">
            <w:pPr>
              <w:pStyle w:val="Tabletextbold"/>
            </w:pPr>
            <w:r>
              <w:lastRenderedPageBreak/>
              <w:t>17BE(d)</w:t>
            </w:r>
          </w:p>
        </w:tc>
        <w:tc>
          <w:tcPr>
            <w:tcW w:w="2973" w:type="dxa"/>
            <w:tcBorders>
              <w:top w:val="single" w:sz="2" w:space="0" w:color="72725E"/>
              <w:left w:val="single" w:sz="6" w:space="0" w:color="000000"/>
              <w:bottom w:val="single" w:sz="2" w:space="0" w:color="72725E"/>
              <w:right w:val="single" w:sz="6" w:space="0" w:color="000000"/>
            </w:tcBorders>
            <w:shd w:val="solid" w:color="EAE8E2" w:fill="auto"/>
            <w:tcMar>
              <w:top w:w="113" w:type="dxa"/>
              <w:left w:w="113" w:type="dxa"/>
              <w:bottom w:w="113" w:type="dxa"/>
              <w:right w:w="80" w:type="dxa"/>
            </w:tcMar>
          </w:tcPr>
          <w:p w14:paraId="0E2DAC1B" w14:textId="77777777" w:rsidR="000A5027" w:rsidRDefault="000A5027">
            <w:pPr>
              <w:pStyle w:val="Tabletext"/>
            </w:pPr>
            <w:r>
              <w:t>Ministerial directions</w:t>
            </w:r>
          </w:p>
        </w:tc>
        <w:tc>
          <w:tcPr>
            <w:tcW w:w="3278" w:type="dxa"/>
            <w:tcBorders>
              <w:top w:val="single" w:sz="2" w:space="0" w:color="72725E"/>
              <w:left w:val="single" w:sz="6" w:space="0" w:color="000000"/>
              <w:bottom w:val="single" w:sz="2" w:space="0" w:color="72725E"/>
              <w:right w:val="single" w:sz="6" w:space="0" w:color="FFFFFF"/>
            </w:tcBorders>
            <w:shd w:val="solid" w:color="EAE8E2" w:fill="auto"/>
            <w:tcMar>
              <w:top w:w="113" w:type="dxa"/>
              <w:left w:w="113" w:type="dxa"/>
              <w:bottom w:w="113" w:type="dxa"/>
              <w:right w:w="80" w:type="dxa"/>
            </w:tcMar>
          </w:tcPr>
          <w:p w14:paraId="09305284" w14:textId="77777777" w:rsidR="000A5027" w:rsidRDefault="000A5027">
            <w:pPr>
              <w:pStyle w:val="Tabletext"/>
            </w:pPr>
            <w:r>
              <w:t xml:space="preserve">No directions issued </w:t>
            </w:r>
          </w:p>
        </w:tc>
        <w:tc>
          <w:tcPr>
            <w:tcW w:w="832" w:type="dxa"/>
            <w:tcBorders>
              <w:top w:val="single" w:sz="2" w:space="0" w:color="72725E"/>
              <w:left w:val="single" w:sz="6" w:space="0" w:color="FFFFFF"/>
              <w:bottom w:val="single" w:sz="2" w:space="0" w:color="72725E"/>
              <w:right w:val="single" w:sz="6" w:space="0" w:color="000000"/>
            </w:tcBorders>
            <w:shd w:val="solid" w:color="EAE8E2" w:fill="auto"/>
            <w:tcMar>
              <w:top w:w="113" w:type="dxa"/>
              <w:left w:w="113" w:type="dxa"/>
              <w:bottom w:w="113" w:type="dxa"/>
              <w:right w:w="80" w:type="dxa"/>
            </w:tcMar>
          </w:tcPr>
          <w:p w14:paraId="1DDA491A" w14:textId="77777777" w:rsidR="000A5027" w:rsidRDefault="000A5027">
            <w:pPr>
              <w:pStyle w:val="Tabletext"/>
            </w:pPr>
            <w:r>
              <w:t>NA</w:t>
            </w:r>
          </w:p>
        </w:tc>
      </w:tr>
      <w:tr w:rsidR="000A5027" w14:paraId="4CD7A4C1" w14:textId="77777777">
        <w:trPr>
          <w:trHeight w:val="60"/>
        </w:trPr>
        <w:tc>
          <w:tcPr>
            <w:tcW w:w="1176" w:type="dxa"/>
            <w:tcBorders>
              <w:top w:val="single" w:sz="2" w:space="0" w:color="72725E"/>
              <w:left w:val="single" w:sz="6" w:space="0" w:color="FFFFFF"/>
              <w:bottom w:val="single" w:sz="2" w:space="0" w:color="72725E"/>
              <w:right w:val="single" w:sz="6" w:space="0" w:color="000000"/>
            </w:tcBorders>
            <w:shd w:val="solid" w:color="EAE8E2" w:fill="auto"/>
            <w:tcMar>
              <w:top w:w="113" w:type="dxa"/>
              <w:left w:w="113" w:type="dxa"/>
              <w:bottom w:w="113" w:type="dxa"/>
              <w:right w:w="80" w:type="dxa"/>
            </w:tcMar>
          </w:tcPr>
          <w:p w14:paraId="7A038AE1" w14:textId="77777777" w:rsidR="000A5027" w:rsidRDefault="000A5027">
            <w:pPr>
              <w:pStyle w:val="Tabletextbold"/>
            </w:pPr>
            <w:r>
              <w:t>17BE(e)</w:t>
            </w:r>
          </w:p>
          <w:p w14:paraId="74F3E0AE" w14:textId="77777777" w:rsidR="000A5027" w:rsidRDefault="000A5027">
            <w:pPr>
              <w:pStyle w:val="Tabletextbold"/>
            </w:pPr>
            <w:r>
              <w:t>17BE(f)</w:t>
            </w:r>
          </w:p>
        </w:tc>
        <w:tc>
          <w:tcPr>
            <w:tcW w:w="2973" w:type="dxa"/>
            <w:tcBorders>
              <w:top w:val="single" w:sz="2" w:space="0" w:color="72725E"/>
              <w:left w:val="single" w:sz="6" w:space="0" w:color="000000"/>
              <w:bottom w:val="single" w:sz="2" w:space="0" w:color="72725E"/>
              <w:right w:val="single" w:sz="6" w:space="0" w:color="000000"/>
            </w:tcBorders>
            <w:shd w:val="solid" w:color="EAE8E2" w:fill="auto"/>
            <w:tcMar>
              <w:top w:w="113" w:type="dxa"/>
              <w:left w:w="113" w:type="dxa"/>
              <w:bottom w:w="113" w:type="dxa"/>
              <w:right w:w="80" w:type="dxa"/>
            </w:tcMar>
          </w:tcPr>
          <w:p w14:paraId="4AFF78A8" w14:textId="77777777" w:rsidR="000A5027" w:rsidRDefault="000A5027">
            <w:pPr>
              <w:pStyle w:val="Tabletext"/>
            </w:pPr>
            <w:r>
              <w:t>Government policy orders</w:t>
            </w:r>
          </w:p>
        </w:tc>
        <w:tc>
          <w:tcPr>
            <w:tcW w:w="3278" w:type="dxa"/>
            <w:tcBorders>
              <w:top w:val="single" w:sz="2" w:space="0" w:color="72725E"/>
              <w:left w:val="single" w:sz="6" w:space="0" w:color="000000"/>
              <w:bottom w:val="single" w:sz="2" w:space="0" w:color="72725E"/>
              <w:right w:val="single" w:sz="6" w:space="0" w:color="FFFFFF"/>
            </w:tcBorders>
            <w:shd w:val="solid" w:color="EAE8E2" w:fill="auto"/>
            <w:tcMar>
              <w:top w:w="113" w:type="dxa"/>
              <w:left w:w="113" w:type="dxa"/>
              <w:bottom w:w="113" w:type="dxa"/>
              <w:right w:w="80" w:type="dxa"/>
            </w:tcMar>
          </w:tcPr>
          <w:p w14:paraId="45C4B234" w14:textId="77777777" w:rsidR="000A5027" w:rsidRDefault="000A5027">
            <w:pPr>
              <w:pStyle w:val="Tabletext"/>
            </w:pPr>
            <w:r>
              <w:t xml:space="preserve">No Government policy orders issued </w:t>
            </w:r>
          </w:p>
        </w:tc>
        <w:tc>
          <w:tcPr>
            <w:tcW w:w="832" w:type="dxa"/>
            <w:tcBorders>
              <w:top w:val="single" w:sz="2" w:space="0" w:color="72725E"/>
              <w:left w:val="single" w:sz="6" w:space="0" w:color="FFFFFF"/>
              <w:bottom w:val="single" w:sz="2" w:space="0" w:color="72725E"/>
              <w:right w:val="single" w:sz="6" w:space="0" w:color="000000"/>
            </w:tcBorders>
            <w:shd w:val="solid" w:color="EAE8E2" w:fill="auto"/>
            <w:tcMar>
              <w:top w:w="113" w:type="dxa"/>
              <w:left w:w="113" w:type="dxa"/>
              <w:bottom w:w="113" w:type="dxa"/>
              <w:right w:w="80" w:type="dxa"/>
            </w:tcMar>
          </w:tcPr>
          <w:p w14:paraId="25F54152" w14:textId="77777777" w:rsidR="000A5027" w:rsidRDefault="000A5027">
            <w:pPr>
              <w:pStyle w:val="Tabletext"/>
            </w:pPr>
            <w:r>
              <w:t>NA</w:t>
            </w:r>
          </w:p>
        </w:tc>
      </w:tr>
      <w:tr w:rsidR="000A5027" w14:paraId="0C644CDD" w14:textId="77777777">
        <w:trPr>
          <w:trHeight w:val="60"/>
        </w:trPr>
        <w:tc>
          <w:tcPr>
            <w:tcW w:w="1176" w:type="dxa"/>
            <w:tcBorders>
              <w:top w:val="single" w:sz="2" w:space="0" w:color="72725E"/>
              <w:left w:val="single" w:sz="6" w:space="0" w:color="FFFFFF"/>
              <w:bottom w:val="single" w:sz="2" w:space="0" w:color="72725E"/>
              <w:right w:val="single" w:sz="6" w:space="0" w:color="000000"/>
            </w:tcBorders>
            <w:shd w:val="solid" w:color="EAE8E2" w:fill="auto"/>
            <w:tcMar>
              <w:top w:w="113" w:type="dxa"/>
              <w:left w:w="113" w:type="dxa"/>
              <w:bottom w:w="113" w:type="dxa"/>
              <w:right w:w="80" w:type="dxa"/>
            </w:tcMar>
          </w:tcPr>
          <w:p w14:paraId="07D86246" w14:textId="77777777" w:rsidR="000A5027" w:rsidRDefault="000A5027">
            <w:pPr>
              <w:pStyle w:val="Tabletextbold"/>
            </w:pPr>
            <w:r>
              <w:t>17BE(g)</w:t>
            </w:r>
          </w:p>
        </w:tc>
        <w:tc>
          <w:tcPr>
            <w:tcW w:w="2973" w:type="dxa"/>
            <w:tcBorders>
              <w:top w:val="single" w:sz="2" w:space="0" w:color="72725E"/>
              <w:left w:val="single" w:sz="6" w:space="0" w:color="000000"/>
              <w:bottom w:val="single" w:sz="2" w:space="0" w:color="72725E"/>
              <w:right w:val="single" w:sz="6" w:space="0" w:color="000000"/>
            </w:tcBorders>
            <w:shd w:val="solid" w:color="EAE8E2" w:fill="auto"/>
            <w:tcMar>
              <w:top w:w="113" w:type="dxa"/>
              <w:left w:w="113" w:type="dxa"/>
              <w:bottom w:w="113" w:type="dxa"/>
              <w:right w:w="80" w:type="dxa"/>
            </w:tcMar>
          </w:tcPr>
          <w:p w14:paraId="133EC8F6" w14:textId="77777777" w:rsidR="000A5027" w:rsidRDefault="000A5027">
            <w:pPr>
              <w:pStyle w:val="Tabletext"/>
            </w:pPr>
            <w:r>
              <w:t>Annual performance statements</w:t>
            </w:r>
          </w:p>
        </w:tc>
        <w:tc>
          <w:tcPr>
            <w:tcW w:w="3278" w:type="dxa"/>
            <w:tcBorders>
              <w:top w:val="single" w:sz="2" w:space="0" w:color="72725E"/>
              <w:left w:val="single" w:sz="6" w:space="0" w:color="000000"/>
              <w:bottom w:val="single" w:sz="2" w:space="0" w:color="72725E"/>
              <w:right w:val="single" w:sz="6" w:space="0" w:color="FFFFFF"/>
            </w:tcBorders>
            <w:shd w:val="solid" w:color="EAE8E2" w:fill="auto"/>
            <w:tcMar>
              <w:top w:w="113" w:type="dxa"/>
              <w:left w:w="113" w:type="dxa"/>
              <w:bottom w:w="113" w:type="dxa"/>
              <w:right w:w="80" w:type="dxa"/>
            </w:tcMar>
          </w:tcPr>
          <w:p w14:paraId="6AB03B50" w14:textId="77777777" w:rsidR="000A5027" w:rsidRDefault="000A5027">
            <w:pPr>
              <w:pStyle w:val="Tabletext"/>
            </w:pPr>
            <w:r>
              <w:t xml:space="preserve">Annual Performance Statements </w:t>
            </w:r>
          </w:p>
        </w:tc>
        <w:tc>
          <w:tcPr>
            <w:tcW w:w="832" w:type="dxa"/>
            <w:tcBorders>
              <w:top w:val="single" w:sz="2" w:space="0" w:color="72725E"/>
              <w:left w:val="single" w:sz="6" w:space="0" w:color="FFFFFF"/>
              <w:bottom w:val="single" w:sz="2" w:space="0" w:color="72725E"/>
              <w:right w:val="single" w:sz="6" w:space="0" w:color="000000"/>
            </w:tcBorders>
            <w:shd w:val="solid" w:color="EAE8E2" w:fill="auto"/>
            <w:tcMar>
              <w:top w:w="113" w:type="dxa"/>
              <w:left w:w="113" w:type="dxa"/>
              <w:bottom w:w="113" w:type="dxa"/>
              <w:right w:w="80" w:type="dxa"/>
            </w:tcMar>
          </w:tcPr>
          <w:p w14:paraId="05E063E0" w14:textId="77777777" w:rsidR="000A5027" w:rsidRDefault="000A5027">
            <w:pPr>
              <w:pStyle w:val="Tabletext"/>
            </w:pPr>
            <w:r>
              <w:t>96-120</w:t>
            </w:r>
          </w:p>
        </w:tc>
      </w:tr>
      <w:tr w:rsidR="000A5027" w14:paraId="45E66399" w14:textId="77777777">
        <w:trPr>
          <w:trHeight w:val="60"/>
        </w:trPr>
        <w:tc>
          <w:tcPr>
            <w:tcW w:w="1176" w:type="dxa"/>
            <w:tcBorders>
              <w:top w:val="single" w:sz="2" w:space="0" w:color="72725E"/>
              <w:left w:val="single" w:sz="6" w:space="0" w:color="FFFFFF"/>
              <w:bottom w:val="single" w:sz="2" w:space="0" w:color="72725E"/>
              <w:right w:val="single" w:sz="6" w:space="0" w:color="000000"/>
            </w:tcBorders>
            <w:shd w:val="solid" w:color="EAE8E2" w:fill="auto"/>
            <w:tcMar>
              <w:top w:w="113" w:type="dxa"/>
              <w:left w:w="113" w:type="dxa"/>
              <w:bottom w:w="113" w:type="dxa"/>
              <w:right w:w="80" w:type="dxa"/>
            </w:tcMar>
          </w:tcPr>
          <w:p w14:paraId="7EE56E82" w14:textId="77777777" w:rsidR="000A5027" w:rsidRDefault="000A5027">
            <w:pPr>
              <w:pStyle w:val="Tabletextbold"/>
            </w:pPr>
            <w:r>
              <w:t>17BE(h)</w:t>
            </w:r>
          </w:p>
          <w:p w14:paraId="42CD6238" w14:textId="77777777" w:rsidR="000A5027" w:rsidRDefault="000A5027">
            <w:pPr>
              <w:pStyle w:val="Tabletextbold"/>
            </w:pPr>
            <w:r>
              <w:t>17BE(</w:t>
            </w:r>
            <w:proofErr w:type="spellStart"/>
            <w:r>
              <w:t>i</w:t>
            </w:r>
            <w:proofErr w:type="spellEnd"/>
            <w:r>
              <w:t>)</w:t>
            </w:r>
          </w:p>
        </w:tc>
        <w:tc>
          <w:tcPr>
            <w:tcW w:w="2973" w:type="dxa"/>
            <w:tcBorders>
              <w:top w:val="single" w:sz="2" w:space="0" w:color="72725E"/>
              <w:left w:val="single" w:sz="6" w:space="0" w:color="000000"/>
              <w:bottom w:val="single" w:sz="2" w:space="0" w:color="72725E"/>
              <w:right w:val="single" w:sz="6" w:space="0" w:color="000000"/>
            </w:tcBorders>
            <w:shd w:val="solid" w:color="EAE8E2" w:fill="auto"/>
            <w:tcMar>
              <w:top w:w="113" w:type="dxa"/>
              <w:left w:w="113" w:type="dxa"/>
              <w:bottom w:w="113" w:type="dxa"/>
              <w:right w:w="80" w:type="dxa"/>
            </w:tcMar>
          </w:tcPr>
          <w:p w14:paraId="5C3DD4E2" w14:textId="77777777" w:rsidR="000A5027" w:rsidRDefault="000A5027">
            <w:pPr>
              <w:pStyle w:val="Tabletext"/>
            </w:pPr>
            <w:r>
              <w:t>Instances of non-compliance to finance law</w:t>
            </w:r>
          </w:p>
        </w:tc>
        <w:tc>
          <w:tcPr>
            <w:tcW w:w="3278" w:type="dxa"/>
            <w:tcBorders>
              <w:top w:val="single" w:sz="2" w:space="0" w:color="72725E"/>
              <w:left w:val="single" w:sz="6" w:space="0" w:color="000000"/>
              <w:bottom w:val="single" w:sz="2" w:space="0" w:color="72725E"/>
              <w:right w:val="single" w:sz="6" w:space="0" w:color="FFFFFF"/>
            </w:tcBorders>
            <w:shd w:val="solid" w:color="EAE8E2" w:fill="auto"/>
            <w:tcMar>
              <w:top w:w="113" w:type="dxa"/>
              <w:left w:w="113" w:type="dxa"/>
              <w:bottom w:w="113" w:type="dxa"/>
              <w:right w:w="80" w:type="dxa"/>
            </w:tcMar>
          </w:tcPr>
          <w:p w14:paraId="4B1CDA70" w14:textId="77777777" w:rsidR="000A5027" w:rsidRDefault="000A5027">
            <w:pPr>
              <w:pStyle w:val="Tabletext"/>
            </w:pPr>
            <w:r>
              <w:t xml:space="preserve">No instances of non-compliance </w:t>
            </w:r>
          </w:p>
        </w:tc>
        <w:tc>
          <w:tcPr>
            <w:tcW w:w="832" w:type="dxa"/>
            <w:tcBorders>
              <w:top w:val="single" w:sz="2" w:space="0" w:color="72725E"/>
              <w:left w:val="single" w:sz="6" w:space="0" w:color="FFFFFF"/>
              <w:bottom w:val="single" w:sz="2" w:space="0" w:color="72725E"/>
              <w:right w:val="single" w:sz="6" w:space="0" w:color="000000"/>
            </w:tcBorders>
            <w:shd w:val="solid" w:color="EAE8E2" w:fill="auto"/>
            <w:tcMar>
              <w:top w:w="113" w:type="dxa"/>
              <w:left w:w="113" w:type="dxa"/>
              <w:bottom w:w="113" w:type="dxa"/>
              <w:right w:w="80" w:type="dxa"/>
            </w:tcMar>
          </w:tcPr>
          <w:p w14:paraId="2CF4C997" w14:textId="77777777" w:rsidR="000A5027" w:rsidRDefault="000A5027">
            <w:pPr>
              <w:pStyle w:val="Tabletext"/>
            </w:pPr>
            <w:r>
              <w:t>NA</w:t>
            </w:r>
          </w:p>
        </w:tc>
      </w:tr>
      <w:tr w:rsidR="000A5027" w14:paraId="62053FBB" w14:textId="77777777">
        <w:trPr>
          <w:trHeight w:val="60"/>
        </w:trPr>
        <w:tc>
          <w:tcPr>
            <w:tcW w:w="1176" w:type="dxa"/>
            <w:tcBorders>
              <w:top w:val="single" w:sz="2" w:space="0" w:color="72725E"/>
              <w:left w:val="single" w:sz="6" w:space="0" w:color="FFFFFF"/>
              <w:bottom w:val="single" w:sz="2" w:space="0" w:color="72725E"/>
              <w:right w:val="single" w:sz="6" w:space="0" w:color="000000"/>
            </w:tcBorders>
            <w:shd w:val="solid" w:color="EAE8E2" w:fill="auto"/>
            <w:tcMar>
              <w:top w:w="113" w:type="dxa"/>
              <w:left w:w="113" w:type="dxa"/>
              <w:bottom w:w="113" w:type="dxa"/>
              <w:right w:w="80" w:type="dxa"/>
            </w:tcMar>
          </w:tcPr>
          <w:p w14:paraId="3287B1D6" w14:textId="77777777" w:rsidR="000A5027" w:rsidRDefault="000A5027">
            <w:pPr>
              <w:pStyle w:val="Tabletextbold"/>
            </w:pPr>
            <w:r>
              <w:t>17BE(j)</w:t>
            </w:r>
          </w:p>
          <w:p w14:paraId="1ABE1CA3" w14:textId="77777777" w:rsidR="000A5027" w:rsidRDefault="000A5027">
            <w:pPr>
              <w:pStyle w:val="Tabletextbold"/>
            </w:pPr>
            <w:r>
              <w:t>17BE(</w:t>
            </w:r>
            <w:proofErr w:type="spellStart"/>
            <w:r>
              <w:t>i</w:t>
            </w:r>
            <w:proofErr w:type="spellEnd"/>
            <w:r>
              <w:t>)</w:t>
            </w:r>
          </w:p>
        </w:tc>
        <w:tc>
          <w:tcPr>
            <w:tcW w:w="2973" w:type="dxa"/>
            <w:tcBorders>
              <w:top w:val="single" w:sz="2" w:space="0" w:color="72725E"/>
              <w:left w:val="single" w:sz="6" w:space="0" w:color="000000"/>
              <w:bottom w:val="single" w:sz="2" w:space="0" w:color="72725E"/>
              <w:right w:val="single" w:sz="6" w:space="0" w:color="000000"/>
            </w:tcBorders>
            <w:shd w:val="solid" w:color="EAE8E2" w:fill="auto"/>
            <w:tcMar>
              <w:top w:w="113" w:type="dxa"/>
              <w:left w:w="113" w:type="dxa"/>
              <w:bottom w:w="113" w:type="dxa"/>
              <w:right w:w="80" w:type="dxa"/>
            </w:tcMar>
          </w:tcPr>
          <w:p w14:paraId="0A5D4E0B" w14:textId="77777777" w:rsidR="000A5027" w:rsidRDefault="000A5027">
            <w:pPr>
              <w:pStyle w:val="Tabletext"/>
            </w:pPr>
            <w:r>
              <w:t>Information about directors</w:t>
            </w:r>
          </w:p>
        </w:tc>
        <w:tc>
          <w:tcPr>
            <w:tcW w:w="3278" w:type="dxa"/>
            <w:tcBorders>
              <w:top w:val="single" w:sz="2" w:space="0" w:color="72725E"/>
              <w:left w:val="single" w:sz="6" w:space="0" w:color="000000"/>
              <w:bottom w:val="single" w:sz="2" w:space="0" w:color="72725E"/>
              <w:right w:val="single" w:sz="6" w:space="0" w:color="FFFFFF"/>
            </w:tcBorders>
            <w:shd w:val="solid" w:color="EAE8E2" w:fill="auto"/>
            <w:tcMar>
              <w:top w:w="113" w:type="dxa"/>
              <w:left w:w="113" w:type="dxa"/>
              <w:bottom w:w="113" w:type="dxa"/>
              <w:right w:w="80" w:type="dxa"/>
            </w:tcMar>
          </w:tcPr>
          <w:p w14:paraId="3887B1A5" w14:textId="77777777" w:rsidR="000A5027" w:rsidRDefault="000A5027">
            <w:pPr>
              <w:pStyle w:val="Tabletext"/>
            </w:pPr>
            <w:r>
              <w:t>Board member profiles</w:t>
            </w:r>
          </w:p>
          <w:p w14:paraId="48B6E2E1" w14:textId="77777777" w:rsidR="000A5027" w:rsidRDefault="000A5027">
            <w:pPr>
              <w:pStyle w:val="Tabletext"/>
            </w:pPr>
            <w:r>
              <w:t>Governance framework</w:t>
            </w:r>
          </w:p>
          <w:p w14:paraId="2B2AA6B5" w14:textId="77777777" w:rsidR="000A5027" w:rsidRDefault="000A5027">
            <w:pPr>
              <w:pStyle w:val="Tabletext"/>
            </w:pPr>
            <w:r>
              <w:t>The Board</w:t>
            </w:r>
          </w:p>
          <w:p w14:paraId="1E4A46D9" w14:textId="77777777" w:rsidR="000A5027" w:rsidRDefault="000A5027">
            <w:pPr>
              <w:pStyle w:val="Tabletext"/>
            </w:pPr>
            <w:r>
              <w:t>The Agency</w:t>
            </w:r>
          </w:p>
        </w:tc>
        <w:tc>
          <w:tcPr>
            <w:tcW w:w="832" w:type="dxa"/>
            <w:tcBorders>
              <w:top w:val="single" w:sz="2" w:space="0" w:color="72725E"/>
              <w:left w:val="single" w:sz="6" w:space="0" w:color="FFFFFF"/>
              <w:bottom w:val="single" w:sz="2" w:space="0" w:color="72725E"/>
              <w:right w:val="single" w:sz="6" w:space="0" w:color="000000"/>
            </w:tcBorders>
            <w:shd w:val="solid" w:color="EAE8E2" w:fill="auto"/>
            <w:tcMar>
              <w:top w:w="113" w:type="dxa"/>
              <w:left w:w="113" w:type="dxa"/>
              <w:bottom w:w="113" w:type="dxa"/>
              <w:right w:w="80" w:type="dxa"/>
            </w:tcMar>
          </w:tcPr>
          <w:p w14:paraId="228CA530" w14:textId="77777777" w:rsidR="000A5027" w:rsidRDefault="000A5027">
            <w:pPr>
              <w:pStyle w:val="Tabletext"/>
            </w:pPr>
            <w:r>
              <w:t>70-73</w:t>
            </w:r>
          </w:p>
          <w:p w14:paraId="08A9D851" w14:textId="77777777" w:rsidR="000A5027" w:rsidRDefault="000A5027">
            <w:pPr>
              <w:pStyle w:val="Tabletext"/>
            </w:pPr>
            <w:r>
              <w:t>126-127</w:t>
            </w:r>
          </w:p>
          <w:p w14:paraId="76DC3F8A" w14:textId="77777777" w:rsidR="000A5027" w:rsidRDefault="000A5027">
            <w:pPr>
              <w:pStyle w:val="Tabletext"/>
              <w:rPr>
                <w:spacing w:val="-5"/>
              </w:rPr>
            </w:pPr>
            <w:r>
              <w:rPr>
                <w:spacing w:val="-5"/>
              </w:rPr>
              <w:t>68-69, 74</w:t>
            </w:r>
          </w:p>
          <w:p w14:paraId="7A7E8019" w14:textId="77777777" w:rsidR="000A5027" w:rsidRDefault="000A5027">
            <w:pPr>
              <w:pStyle w:val="Tabletext"/>
            </w:pPr>
            <w:r>
              <w:rPr>
                <w:spacing w:val="-5"/>
              </w:rPr>
              <w:t>67</w:t>
            </w:r>
          </w:p>
        </w:tc>
      </w:tr>
      <w:tr w:rsidR="000A5027" w14:paraId="399709F3" w14:textId="77777777">
        <w:trPr>
          <w:trHeight w:val="60"/>
        </w:trPr>
        <w:tc>
          <w:tcPr>
            <w:tcW w:w="1176" w:type="dxa"/>
            <w:tcBorders>
              <w:top w:val="single" w:sz="2" w:space="0" w:color="72725E"/>
              <w:left w:val="single" w:sz="6" w:space="0" w:color="FFFFFF"/>
              <w:bottom w:val="single" w:sz="2" w:space="0" w:color="72725E"/>
              <w:right w:val="single" w:sz="6" w:space="0" w:color="000000"/>
            </w:tcBorders>
            <w:shd w:val="solid" w:color="EAE8E2" w:fill="auto"/>
            <w:tcMar>
              <w:top w:w="113" w:type="dxa"/>
              <w:left w:w="113" w:type="dxa"/>
              <w:bottom w:w="113" w:type="dxa"/>
              <w:right w:w="80" w:type="dxa"/>
            </w:tcMar>
          </w:tcPr>
          <w:p w14:paraId="7E6AE47D" w14:textId="77777777" w:rsidR="000A5027" w:rsidRDefault="000A5027">
            <w:pPr>
              <w:pStyle w:val="Tabletextbold"/>
            </w:pPr>
            <w:r>
              <w:t>17BE(k)</w:t>
            </w:r>
          </w:p>
          <w:p w14:paraId="65CC7D67" w14:textId="77777777" w:rsidR="000A5027" w:rsidRDefault="000A5027">
            <w:pPr>
              <w:pStyle w:val="Tabletextbold"/>
            </w:pPr>
            <w:r>
              <w:t>17BE(l)</w:t>
            </w:r>
          </w:p>
        </w:tc>
        <w:tc>
          <w:tcPr>
            <w:tcW w:w="2973" w:type="dxa"/>
            <w:tcBorders>
              <w:top w:val="single" w:sz="2" w:space="0" w:color="72725E"/>
              <w:left w:val="single" w:sz="6" w:space="0" w:color="000000"/>
              <w:bottom w:val="single" w:sz="2" w:space="0" w:color="72725E"/>
              <w:right w:val="single" w:sz="6" w:space="0" w:color="000000"/>
            </w:tcBorders>
            <w:shd w:val="solid" w:color="EAE8E2" w:fill="auto"/>
            <w:tcMar>
              <w:top w:w="113" w:type="dxa"/>
              <w:left w:w="113" w:type="dxa"/>
              <w:bottom w:w="113" w:type="dxa"/>
              <w:right w:w="80" w:type="dxa"/>
            </w:tcMar>
          </w:tcPr>
          <w:p w14:paraId="70F3CB21" w14:textId="77777777" w:rsidR="000A5027" w:rsidRDefault="000A5027">
            <w:pPr>
              <w:pStyle w:val="Tabletext"/>
            </w:pPr>
            <w:r>
              <w:t>Organisational structure and locations of major activities and facilities</w:t>
            </w:r>
          </w:p>
        </w:tc>
        <w:tc>
          <w:tcPr>
            <w:tcW w:w="3278" w:type="dxa"/>
            <w:tcBorders>
              <w:top w:val="single" w:sz="2" w:space="0" w:color="72725E"/>
              <w:left w:val="single" w:sz="6" w:space="0" w:color="000000"/>
              <w:bottom w:val="single" w:sz="2" w:space="0" w:color="72725E"/>
              <w:right w:val="single" w:sz="6" w:space="0" w:color="FFFFFF"/>
            </w:tcBorders>
            <w:shd w:val="solid" w:color="EAE8E2" w:fill="auto"/>
            <w:tcMar>
              <w:top w:w="113" w:type="dxa"/>
              <w:left w:w="113" w:type="dxa"/>
              <w:bottom w:w="113" w:type="dxa"/>
              <w:right w:w="80" w:type="dxa"/>
            </w:tcMar>
          </w:tcPr>
          <w:p w14:paraId="53C4B4B6" w14:textId="77777777" w:rsidR="000A5027" w:rsidRDefault="000A5027">
            <w:pPr>
              <w:pStyle w:val="NoParagraphStyle"/>
              <w:spacing w:line="240" w:lineRule="auto"/>
              <w:textAlignment w:val="auto"/>
              <w:rPr>
                <w:rFonts w:ascii="FSMePro" w:hAnsi="FSMePro" w:cstheme="minorBidi"/>
                <w:color w:val="auto"/>
                <w:lang w:val="en-US"/>
              </w:rPr>
            </w:pPr>
          </w:p>
        </w:tc>
        <w:tc>
          <w:tcPr>
            <w:tcW w:w="832" w:type="dxa"/>
            <w:tcBorders>
              <w:top w:val="single" w:sz="2" w:space="0" w:color="72725E"/>
              <w:left w:val="single" w:sz="6" w:space="0" w:color="FFFFFF"/>
              <w:bottom w:val="single" w:sz="2" w:space="0" w:color="72725E"/>
              <w:right w:val="single" w:sz="6" w:space="0" w:color="000000"/>
            </w:tcBorders>
            <w:shd w:val="solid" w:color="EAE8E2" w:fill="auto"/>
            <w:tcMar>
              <w:top w:w="113" w:type="dxa"/>
              <w:left w:w="113" w:type="dxa"/>
              <w:bottom w:w="113" w:type="dxa"/>
              <w:right w:w="80" w:type="dxa"/>
            </w:tcMar>
          </w:tcPr>
          <w:p w14:paraId="3C55908B" w14:textId="77777777" w:rsidR="000A5027" w:rsidRDefault="000A5027">
            <w:pPr>
              <w:pStyle w:val="Tabletext"/>
            </w:pPr>
            <w:r>
              <w:t>67, 135</w:t>
            </w:r>
          </w:p>
        </w:tc>
      </w:tr>
      <w:tr w:rsidR="000A5027" w14:paraId="1B4B151F" w14:textId="77777777">
        <w:trPr>
          <w:trHeight w:val="60"/>
        </w:trPr>
        <w:tc>
          <w:tcPr>
            <w:tcW w:w="1176" w:type="dxa"/>
            <w:tcBorders>
              <w:top w:val="single" w:sz="2" w:space="0" w:color="72725E"/>
              <w:left w:val="single" w:sz="6" w:space="0" w:color="FFFFFF"/>
              <w:bottom w:val="single" w:sz="2" w:space="0" w:color="72725E"/>
              <w:right w:val="single" w:sz="6" w:space="0" w:color="000000"/>
            </w:tcBorders>
            <w:shd w:val="solid" w:color="EAE8E2" w:fill="auto"/>
            <w:tcMar>
              <w:top w:w="113" w:type="dxa"/>
              <w:left w:w="113" w:type="dxa"/>
              <w:bottom w:w="113" w:type="dxa"/>
              <w:right w:w="80" w:type="dxa"/>
            </w:tcMar>
          </w:tcPr>
          <w:p w14:paraId="726586DE" w14:textId="77777777" w:rsidR="000A5027" w:rsidRDefault="000A5027">
            <w:pPr>
              <w:pStyle w:val="Tabletextbold"/>
            </w:pPr>
            <w:r>
              <w:t>17BE(m)</w:t>
            </w:r>
          </w:p>
        </w:tc>
        <w:tc>
          <w:tcPr>
            <w:tcW w:w="2973" w:type="dxa"/>
            <w:tcBorders>
              <w:top w:val="single" w:sz="2" w:space="0" w:color="72725E"/>
              <w:left w:val="single" w:sz="6" w:space="0" w:color="000000"/>
              <w:bottom w:val="single" w:sz="2" w:space="0" w:color="72725E"/>
              <w:right w:val="single" w:sz="6" w:space="0" w:color="000000"/>
            </w:tcBorders>
            <w:shd w:val="solid" w:color="EAE8E2" w:fill="auto"/>
            <w:tcMar>
              <w:top w:w="113" w:type="dxa"/>
              <w:left w:w="113" w:type="dxa"/>
              <w:bottom w:w="113" w:type="dxa"/>
              <w:right w:w="80" w:type="dxa"/>
            </w:tcMar>
          </w:tcPr>
          <w:p w14:paraId="3BF3D973" w14:textId="77777777" w:rsidR="000A5027" w:rsidRDefault="000A5027">
            <w:pPr>
              <w:pStyle w:val="Tabletext"/>
            </w:pPr>
            <w:r>
              <w:t>Statement on governance</w:t>
            </w:r>
          </w:p>
        </w:tc>
        <w:tc>
          <w:tcPr>
            <w:tcW w:w="3278" w:type="dxa"/>
            <w:tcBorders>
              <w:top w:val="single" w:sz="2" w:space="0" w:color="72725E"/>
              <w:left w:val="single" w:sz="6" w:space="0" w:color="000000"/>
              <w:bottom w:val="single" w:sz="2" w:space="0" w:color="72725E"/>
              <w:right w:val="single" w:sz="6" w:space="0" w:color="FFFFFF"/>
            </w:tcBorders>
            <w:shd w:val="solid" w:color="EAE8E2" w:fill="auto"/>
            <w:tcMar>
              <w:top w:w="113" w:type="dxa"/>
              <w:left w:w="113" w:type="dxa"/>
              <w:bottom w:w="113" w:type="dxa"/>
              <w:right w:w="80" w:type="dxa"/>
            </w:tcMar>
          </w:tcPr>
          <w:p w14:paraId="14E9F2B6" w14:textId="77777777" w:rsidR="000A5027" w:rsidRDefault="000A5027">
            <w:pPr>
              <w:pStyle w:val="NoParagraphStyle"/>
              <w:spacing w:line="240" w:lineRule="auto"/>
              <w:textAlignment w:val="auto"/>
              <w:rPr>
                <w:rFonts w:ascii="FSMePro" w:hAnsi="FSMePro" w:cstheme="minorBidi"/>
                <w:color w:val="auto"/>
                <w:lang w:val="en-US"/>
              </w:rPr>
            </w:pPr>
          </w:p>
        </w:tc>
        <w:tc>
          <w:tcPr>
            <w:tcW w:w="832" w:type="dxa"/>
            <w:tcBorders>
              <w:top w:val="single" w:sz="2" w:space="0" w:color="72725E"/>
              <w:left w:val="single" w:sz="6" w:space="0" w:color="FFFFFF"/>
              <w:bottom w:val="single" w:sz="2" w:space="0" w:color="72725E"/>
              <w:right w:val="single" w:sz="6" w:space="0" w:color="000000"/>
            </w:tcBorders>
            <w:shd w:val="solid" w:color="EAE8E2" w:fill="auto"/>
            <w:tcMar>
              <w:top w:w="113" w:type="dxa"/>
              <w:left w:w="113" w:type="dxa"/>
              <w:bottom w:w="113" w:type="dxa"/>
              <w:right w:w="80" w:type="dxa"/>
            </w:tcMar>
          </w:tcPr>
          <w:p w14:paraId="6E10F31A" w14:textId="77777777" w:rsidR="000A5027" w:rsidRDefault="000A5027">
            <w:pPr>
              <w:pStyle w:val="Tabletext"/>
            </w:pPr>
            <w:r>
              <w:t>126-131</w:t>
            </w:r>
          </w:p>
        </w:tc>
      </w:tr>
      <w:tr w:rsidR="000A5027" w14:paraId="16B0198B" w14:textId="77777777">
        <w:trPr>
          <w:trHeight w:val="60"/>
        </w:trPr>
        <w:tc>
          <w:tcPr>
            <w:tcW w:w="1176" w:type="dxa"/>
            <w:tcBorders>
              <w:top w:val="single" w:sz="2" w:space="0" w:color="72725E"/>
              <w:left w:val="single" w:sz="6" w:space="0" w:color="FFFFFF"/>
              <w:bottom w:val="single" w:sz="2" w:space="0" w:color="72725E"/>
              <w:right w:val="single" w:sz="6" w:space="0" w:color="000000"/>
            </w:tcBorders>
            <w:shd w:val="solid" w:color="EAE8E2" w:fill="auto"/>
            <w:tcMar>
              <w:top w:w="113" w:type="dxa"/>
              <w:left w:w="113" w:type="dxa"/>
              <w:bottom w:w="113" w:type="dxa"/>
              <w:right w:w="80" w:type="dxa"/>
            </w:tcMar>
          </w:tcPr>
          <w:p w14:paraId="2A7616A9" w14:textId="77777777" w:rsidR="000A5027" w:rsidRDefault="000A5027">
            <w:pPr>
              <w:pStyle w:val="Tabletextbold"/>
            </w:pPr>
            <w:r>
              <w:t>17BE(n)</w:t>
            </w:r>
          </w:p>
          <w:p w14:paraId="0F50276A" w14:textId="77777777" w:rsidR="000A5027" w:rsidRDefault="000A5027">
            <w:pPr>
              <w:pStyle w:val="Tabletextbold"/>
            </w:pPr>
            <w:r>
              <w:t>17BE(o)</w:t>
            </w:r>
          </w:p>
        </w:tc>
        <w:tc>
          <w:tcPr>
            <w:tcW w:w="2973" w:type="dxa"/>
            <w:tcBorders>
              <w:top w:val="single" w:sz="2" w:space="0" w:color="72725E"/>
              <w:left w:val="single" w:sz="6" w:space="0" w:color="000000"/>
              <w:bottom w:val="single" w:sz="2" w:space="0" w:color="72725E"/>
              <w:right w:val="single" w:sz="6" w:space="0" w:color="000000"/>
            </w:tcBorders>
            <w:shd w:val="solid" w:color="EAE8E2" w:fill="auto"/>
            <w:tcMar>
              <w:top w:w="113" w:type="dxa"/>
              <w:left w:w="113" w:type="dxa"/>
              <w:bottom w:w="113" w:type="dxa"/>
              <w:right w:w="80" w:type="dxa"/>
            </w:tcMar>
          </w:tcPr>
          <w:p w14:paraId="1104D511" w14:textId="77777777" w:rsidR="000A5027" w:rsidRDefault="000A5027">
            <w:pPr>
              <w:pStyle w:val="Tabletext"/>
            </w:pPr>
            <w:r>
              <w:t>Related entity transactions</w:t>
            </w:r>
          </w:p>
        </w:tc>
        <w:tc>
          <w:tcPr>
            <w:tcW w:w="3278" w:type="dxa"/>
            <w:tcBorders>
              <w:top w:val="single" w:sz="2" w:space="0" w:color="72725E"/>
              <w:left w:val="single" w:sz="6" w:space="0" w:color="000000"/>
              <w:bottom w:val="single" w:sz="2" w:space="0" w:color="72725E"/>
              <w:right w:val="single" w:sz="6" w:space="0" w:color="FFFFFF"/>
            </w:tcBorders>
            <w:shd w:val="solid" w:color="EAE8E2" w:fill="auto"/>
            <w:tcMar>
              <w:top w:w="113" w:type="dxa"/>
              <w:left w:w="113" w:type="dxa"/>
              <w:bottom w:w="113" w:type="dxa"/>
              <w:right w:w="80" w:type="dxa"/>
            </w:tcMar>
          </w:tcPr>
          <w:p w14:paraId="016EB290" w14:textId="77777777" w:rsidR="000A5027" w:rsidRDefault="000A5027">
            <w:pPr>
              <w:pStyle w:val="Tabletext"/>
            </w:pPr>
            <w:r>
              <w:t>The Board</w:t>
            </w:r>
          </w:p>
          <w:p w14:paraId="0EC4F96F" w14:textId="77777777" w:rsidR="000A5027" w:rsidRDefault="000A5027">
            <w:pPr>
              <w:pStyle w:val="Tabletext"/>
            </w:pPr>
            <w:r>
              <w:t>Ethical Standards</w:t>
            </w:r>
          </w:p>
          <w:p w14:paraId="35A1D6DE" w14:textId="77777777" w:rsidR="000A5027" w:rsidRDefault="000A5027">
            <w:pPr>
              <w:pStyle w:val="Tabletext"/>
            </w:pPr>
            <w:r>
              <w:t>Financial Statements</w:t>
            </w:r>
          </w:p>
        </w:tc>
        <w:tc>
          <w:tcPr>
            <w:tcW w:w="832" w:type="dxa"/>
            <w:tcBorders>
              <w:top w:val="single" w:sz="2" w:space="0" w:color="72725E"/>
              <w:left w:val="single" w:sz="6" w:space="0" w:color="FFFFFF"/>
              <w:bottom w:val="single" w:sz="2" w:space="0" w:color="72725E"/>
              <w:right w:val="single" w:sz="6" w:space="0" w:color="000000"/>
            </w:tcBorders>
            <w:shd w:val="solid" w:color="EAE8E2" w:fill="auto"/>
            <w:tcMar>
              <w:top w:w="113" w:type="dxa"/>
              <w:left w:w="113" w:type="dxa"/>
              <w:bottom w:w="113" w:type="dxa"/>
              <w:right w:w="80" w:type="dxa"/>
            </w:tcMar>
          </w:tcPr>
          <w:p w14:paraId="1CBCC2D4" w14:textId="77777777" w:rsidR="000A5027" w:rsidRDefault="000A5027">
            <w:pPr>
              <w:pStyle w:val="Tabletext"/>
            </w:pPr>
            <w:r>
              <w:t>68-74</w:t>
            </w:r>
          </w:p>
          <w:p w14:paraId="108AF56B" w14:textId="77777777" w:rsidR="000A5027" w:rsidRDefault="000A5027">
            <w:pPr>
              <w:pStyle w:val="Tabletext"/>
            </w:pPr>
            <w:r>
              <w:t>87</w:t>
            </w:r>
          </w:p>
          <w:p w14:paraId="3DF5B867" w14:textId="77777777" w:rsidR="000A5027" w:rsidRDefault="000A5027">
            <w:pPr>
              <w:pStyle w:val="Tabletext"/>
            </w:pPr>
            <w:r>
              <w:t>150-187</w:t>
            </w:r>
          </w:p>
        </w:tc>
      </w:tr>
      <w:tr w:rsidR="000A5027" w14:paraId="4F1B1F86" w14:textId="77777777">
        <w:trPr>
          <w:trHeight w:val="60"/>
        </w:trPr>
        <w:tc>
          <w:tcPr>
            <w:tcW w:w="1176" w:type="dxa"/>
            <w:tcBorders>
              <w:top w:val="single" w:sz="2" w:space="0" w:color="72725E"/>
              <w:left w:val="single" w:sz="6" w:space="0" w:color="FFFFFF"/>
              <w:bottom w:val="single" w:sz="2" w:space="0" w:color="72725E"/>
              <w:right w:val="single" w:sz="6" w:space="0" w:color="000000"/>
            </w:tcBorders>
            <w:shd w:val="solid" w:color="EAE8E2" w:fill="auto"/>
            <w:tcMar>
              <w:top w:w="113" w:type="dxa"/>
              <w:left w:w="113" w:type="dxa"/>
              <w:bottom w:w="113" w:type="dxa"/>
              <w:right w:w="80" w:type="dxa"/>
            </w:tcMar>
          </w:tcPr>
          <w:p w14:paraId="7CD09FF7" w14:textId="77777777" w:rsidR="000A5027" w:rsidRDefault="000A5027">
            <w:pPr>
              <w:pStyle w:val="Tabletextbold"/>
            </w:pPr>
            <w:r>
              <w:t>17BE(p)</w:t>
            </w:r>
          </w:p>
        </w:tc>
        <w:tc>
          <w:tcPr>
            <w:tcW w:w="2973" w:type="dxa"/>
            <w:tcBorders>
              <w:top w:val="single" w:sz="2" w:space="0" w:color="72725E"/>
              <w:left w:val="single" w:sz="6" w:space="0" w:color="000000"/>
              <w:bottom w:val="single" w:sz="2" w:space="0" w:color="72725E"/>
              <w:right w:val="single" w:sz="6" w:space="0" w:color="000000"/>
            </w:tcBorders>
            <w:shd w:val="solid" w:color="EAE8E2" w:fill="auto"/>
            <w:tcMar>
              <w:top w:w="113" w:type="dxa"/>
              <w:left w:w="113" w:type="dxa"/>
              <w:bottom w:w="113" w:type="dxa"/>
              <w:right w:w="80" w:type="dxa"/>
            </w:tcMar>
          </w:tcPr>
          <w:p w14:paraId="6A95C8F4" w14:textId="77777777" w:rsidR="000A5027" w:rsidRDefault="000A5027">
            <w:pPr>
              <w:pStyle w:val="Tabletext"/>
            </w:pPr>
            <w:r>
              <w:t xml:space="preserve">Significant activities and changes </w:t>
            </w:r>
          </w:p>
        </w:tc>
        <w:tc>
          <w:tcPr>
            <w:tcW w:w="3278" w:type="dxa"/>
            <w:tcBorders>
              <w:top w:val="single" w:sz="2" w:space="0" w:color="72725E"/>
              <w:left w:val="single" w:sz="6" w:space="0" w:color="000000"/>
              <w:bottom w:val="single" w:sz="2" w:space="0" w:color="72725E"/>
              <w:right w:val="single" w:sz="6" w:space="0" w:color="FFFFFF"/>
            </w:tcBorders>
            <w:shd w:val="solid" w:color="EAE8E2" w:fill="auto"/>
            <w:tcMar>
              <w:top w:w="113" w:type="dxa"/>
              <w:left w:w="113" w:type="dxa"/>
              <w:bottom w:w="113" w:type="dxa"/>
              <w:right w:w="80" w:type="dxa"/>
            </w:tcMar>
          </w:tcPr>
          <w:p w14:paraId="0F4B2D28" w14:textId="77777777" w:rsidR="000A5027" w:rsidRDefault="000A5027">
            <w:pPr>
              <w:pStyle w:val="NoParagraphStyle"/>
              <w:spacing w:line="240" w:lineRule="auto"/>
              <w:textAlignment w:val="auto"/>
              <w:rPr>
                <w:rFonts w:ascii="FSMePro" w:hAnsi="FSMePro" w:cstheme="minorBidi"/>
                <w:color w:val="auto"/>
                <w:lang w:val="en-US"/>
              </w:rPr>
            </w:pPr>
          </w:p>
        </w:tc>
        <w:tc>
          <w:tcPr>
            <w:tcW w:w="832" w:type="dxa"/>
            <w:tcBorders>
              <w:top w:val="single" w:sz="2" w:space="0" w:color="72725E"/>
              <w:left w:val="single" w:sz="6" w:space="0" w:color="FFFFFF"/>
              <w:bottom w:val="single" w:sz="2" w:space="0" w:color="72725E"/>
              <w:right w:val="single" w:sz="6" w:space="0" w:color="000000"/>
            </w:tcBorders>
            <w:shd w:val="solid" w:color="EAE8E2" w:fill="auto"/>
            <w:tcMar>
              <w:top w:w="113" w:type="dxa"/>
              <w:left w:w="113" w:type="dxa"/>
              <w:bottom w:w="113" w:type="dxa"/>
              <w:right w:w="80" w:type="dxa"/>
            </w:tcMar>
          </w:tcPr>
          <w:p w14:paraId="52101C51" w14:textId="77777777" w:rsidR="000A5027" w:rsidRDefault="000A5027">
            <w:pPr>
              <w:pStyle w:val="Tabletext"/>
            </w:pPr>
            <w:proofErr w:type="spellStart"/>
            <w:r>
              <w:t>i</w:t>
            </w:r>
            <w:proofErr w:type="spellEnd"/>
            <w:r>
              <w:t>-vii</w:t>
            </w:r>
          </w:p>
        </w:tc>
      </w:tr>
      <w:tr w:rsidR="000A5027" w14:paraId="18191F20" w14:textId="77777777">
        <w:trPr>
          <w:trHeight w:val="60"/>
        </w:trPr>
        <w:tc>
          <w:tcPr>
            <w:tcW w:w="1176" w:type="dxa"/>
            <w:tcBorders>
              <w:top w:val="single" w:sz="2" w:space="0" w:color="72725E"/>
              <w:left w:val="single" w:sz="6" w:space="0" w:color="FFFFFF"/>
              <w:bottom w:val="single" w:sz="2" w:space="0" w:color="72725E"/>
              <w:right w:val="single" w:sz="6" w:space="0" w:color="000000"/>
            </w:tcBorders>
            <w:shd w:val="solid" w:color="EAE8E2" w:fill="auto"/>
            <w:tcMar>
              <w:top w:w="113" w:type="dxa"/>
              <w:left w:w="113" w:type="dxa"/>
              <w:bottom w:w="113" w:type="dxa"/>
              <w:right w:w="80" w:type="dxa"/>
            </w:tcMar>
          </w:tcPr>
          <w:p w14:paraId="5E953830" w14:textId="77777777" w:rsidR="000A5027" w:rsidRDefault="000A5027">
            <w:pPr>
              <w:pStyle w:val="Tabletextbold"/>
            </w:pPr>
            <w:r>
              <w:t>17BE(q)</w:t>
            </w:r>
          </w:p>
        </w:tc>
        <w:tc>
          <w:tcPr>
            <w:tcW w:w="2973" w:type="dxa"/>
            <w:tcBorders>
              <w:top w:val="single" w:sz="2" w:space="0" w:color="72725E"/>
              <w:left w:val="single" w:sz="6" w:space="0" w:color="000000"/>
              <w:bottom w:val="single" w:sz="2" w:space="0" w:color="72725E"/>
              <w:right w:val="single" w:sz="6" w:space="0" w:color="000000"/>
            </w:tcBorders>
            <w:shd w:val="solid" w:color="EAE8E2" w:fill="auto"/>
            <w:tcMar>
              <w:top w:w="113" w:type="dxa"/>
              <w:left w:w="113" w:type="dxa"/>
              <w:bottom w:w="113" w:type="dxa"/>
              <w:right w:w="80" w:type="dxa"/>
            </w:tcMar>
          </w:tcPr>
          <w:p w14:paraId="1D99617B" w14:textId="77777777" w:rsidR="000A5027" w:rsidRDefault="000A5027">
            <w:pPr>
              <w:pStyle w:val="Tabletext"/>
            </w:pPr>
            <w:r>
              <w:t>Judicial and administrative tribunal decisions</w:t>
            </w:r>
          </w:p>
        </w:tc>
        <w:tc>
          <w:tcPr>
            <w:tcW w:w="3278" w:type="dxa"/>
            <w:tcBorders>
              <w:top w:val="single" w:sz="2" w:space="0" w:color="72725E"/>
              <w:left w:val="single" w:sz="6" w:space="0" w:color="000000"/>
              <w:bottom w:val="single" w:sz="2" w:space="0" w:color="72725E"/>
              <w:right w:val="single" w:sz="6" w:space="0" w:color="FFFFFF"/>
            </w:tcBorders>
            <w:shd w:val="solid" w:color="EAE8E2" w:fill="auto"/>
            <w:tcMar>
              <w:top w:w="113" w:type="dxa"/>
              <w:left w:w="113" w:type="dxa"/>
              <w:bottom w:w="113" w:type="dxa"/>
              <w:right w:w="80" w:type="dxa"/>
            </w:tcMar>
          </w:tcPr>
          <w:p w14:paraId="203D6F92" w14:textId="77777777" w:rsidR="000A5027" w:rsidRDefault="000A5027">
            <w:pPr>
              <w:pStyle w:val="Tabletext"/>
            </w:pPr>
            <w:r>
              <w:t>External scrutiny</w:t>
            </w:r>
          </w:p>
        </w:tc>
        <w:tc>
          <w:tcPr>
            <w:tcW w:w="832" w:type="dxa"/>
            <w:tcBorders>
              <w:top w:val="single" w:sz="2" w:space="0" w:color="72725E"/>
              <w:left w:val="single" w:sz="6" w:space="0" w:color="FFFFFF"/>
              <w:bottom w:val="single" w:sz="2" w:space="0" w:color="72725E"/>
              <w:right w:val="single" w:sz="6" w:space="0" w:color="000000"/>
            </w:tcBorders>
            <w:shd w:val="solid" w:color="EAE8E2" w:fill="auto"/>
            <w:tcMar>
              <w:top w:w="113" w:type="dxa"/>
              <w:left w:w="113" w:type="dxa"/>
              <w:bottom w:w="113" w:type="dxa"/>
              <w:right w:w="80" w:type="dxa"/>
            </w:tcMar>
          </w:tcPr>
          <w:p w14:paraId="6FEDFD3E" w14:textId="77777777" w:rsidR="000A5027" w:rsidRDefault="000A5027">
            <w:pPr>
              <w:pStyle w:val="Tabletext"/>
            </w:pPr>
            <w:r>
              <w:t>132-134</w:t>
            </w:r>
          </w:p>
        </w:tc>
      </w:tr>
      <w:tr w:rsidR="000A5027" w14:paraId="4B3F90EE" w14:textId="77777777">
        <w:trPr>
          <w:trHeight w:val="60"/>
        </w:trPr>
        <w:tc>
          <w:tcPr>
            <w:tcW w:w="1176" w:type="dxa"/>
            <w:tcBorders>
              <w:top w:val="single" w:sz="2" w:space="0" w:color="72725E"/>
              <w:left w:val="single" w:sz="6" w:space="0" w:color="FFFFFF"/>
              <w:bottom w:val="single" w:sz="2" w:space="0" w:color="72725E"/>
              <w:right w:val="single" w:sz="6" w:space="0" w:color="000000"/>
            </w:tcBorders>
            <w:shd w:val="solid" w:color="EAE8E2" w:fill="auto"/>
            <w:tcMar>
              <w:top w:w="113" w:type="dxa"/>
              <w:left w:w="113" w:type="dxa"/>
              <w:bottom w:w="113" w:type="dxa"/>
              <w:right w:w="80" w:type="dxa"/>
            </w:tcMar>
          </w:tcPr>
          <w:p w14:paraId="16CBBBCF" w14:textId="77777777" w:rsidR="000A5027" w:rsidRDefault="000A5027">
            <w:pPr>
              <w:pStyle w:val="Tabletextbold"/>
            </w:pPr>
            <w:r>
              <w:t>17BE(r)</w:t>
            </w:r>
          </w:p>
        </w:tc>
        <w:tc>
          <w:tcPr>
            <w:tcW w:w="2973" w:type="dxa"/>
            <w:tcBorders>
              <w:top w:val="single" w:sz="2" w:space="0" w:color="72725E"/>
              <w:left w:val="single" w:sz="6" w:space="0" w:color="000000"/>
              <w:bottom w:val="single" w:sz="2" w:space="0" w:color="72725E"/>
              <w:right w:val="single" w:sz="6" w:space="0" w:color="000000"/>
            </w:tcBorders>
            <w:shd w:val="solid" w:color="EAE8E2" w:fill="auto"/>
            <w:tcMar>
              <w:top w:w="113" w:type="dxa"/>
              <w:left w:w="113" w:type="dxa"/>
              <w:bottom w:w="113" w:type="dxa"/>
              <w:right w:w="80" w:type="dxa"/>
            </w:tcMar>
          </w:tcPr>
          <w:p w14:paraId="20F0BBFC" w14:textId="77777777" w:rsidR="000A5027" w:rsidRDefault="000A5027">
            <w:pPr>
              <w:pStyle w:val="Tabletext"/>
            </w:pPr>
            <w:r>
              <w:t>Reports made about the Agency</w:t>
            </w:r>
          </w:p>
        </w:tc>
        <w:tc>
          <w:tcPr>
            <w:tcW w:w="3278" w:type="dxa"/>
            <w:tcBorders>
              <w:top w:val="single" w:sz="2" w:space="0" w:color="72725E"/>
              <w:left w:val="single" w:sz="6" w:space="0" w:color="000000"/>
              <w:bottom w:val="single" w:sz="2" w:space="0" w:color="72725E"/>
              <w:right w:val="single" w:sz="6" w:space="0" w:color="FFFFFF"/>
            </w:tcBorders>
            <w:shd w:val="solid" w:color="EAE8E2" w:fill="auto"/>
            <w:tcMar>
              <w:top w:w="113" w:type="dxa"/>
              <w:left w:w="113" w:type="dxa"/>
              <w:bottom w:w="113" w:type="dxa"/>
              <w:right w:w="80" w:type="dxa"/>
            </w:tcMar>
          </w:tcPr>
          <w:p w14:paraId="4E686679" w14:textId="77777777" w:rsidR="000A5027" w:rsidRDefault="000A5027">
            <w:pPr>
              <w:pStyle w:val="Tabletext"/>
            </w:pPr>
            <w:r>
              <w:t>External scrutiny</w:t>
            </w:r>
          </w:p>
        </w:tc>
        <w:tc>
          <w:tcPr>
            <w:tcW w:w="832" w:type="dxa"/>
            <w:tcBorders>
              <w:top w:val="single" w:sz="2" w:space="0" w:color="72725E"/>
              <w:left w:val="single" w:sz="6" w:space="0" w:color="FFFFFF"/>
              <w:bottom w:val="single" w:sz="2" w:space="0" w:color="72725E"/>
              <w:right w:val="single" w:sz="6" w:space="0" w:color="000000"/>
            </w:tcBorders>
            <w:shd w:val="solid" w:color="EAE8E2" w:fill="auto"/>
            <w:tcMar>
              <w:top w:w="113" w:type="dxa"/>
              <w:left w:w="113" w:type="dxa"/>
              <w:bottom w:w="113" w:type="dxa"/>
              <w:right w:w="80" w:type="dxa"/>
            </w:tcMar>
          </w:tcPr>
          <w:p w14:paraId="16300514" w14:textId="77777777" w:rsidR="000A5027" w:rsidRDefault="000A5027">
            <w:pPr>
              <w:pStyle w:val="Tabletext"/>
            </w:pPr>
            <w:r>
              <w:t>132-134</w:t>
            </w:r>
          </w:p>
        </w:tc>
      </w:tr>
      <w:tr w:rsidR="000A5027" w14:paraId="3B5A7370" w14:textId="77777777">
        <w:trPr>
          <w:trHeight w:val="60"/>
        </w:trPr>
        <w:tc>
          <w:tcPr>
            <w:tcW w:w="1176" w:type="dxa"/>
            <w:tcBorders>
              <w:top w:val="single" w:sz="2" w:space="0" w:color="72725E"/>
              <w:left w:val="single" w:sz="6" w:space="0" w:color="FFFFFF"/>
              <w:bottom w:val="single" w:sz="2" w:space="0" w:color="72725E"/>
              <w:right w:val="single" w:sz="6" w:space="0" w:color="000000"/>
            </w:tcBorders>
            <w:shd w:val="solid" w:color="EAE8E2" w:fill="auto"/>
            <w:tcMar>
              <w:top w:w="113" w:type="dxa"/>
              <w:left w:w="113" w:type="dxa"/>
              <w:bottom w:w="113" w:type="dxa"/>
              <w:right w:w="80" w:type="dxa"/>
            </w:tcMar>
          </w:tcPr>
          <w:p w14:paraId="60A7CAEF" w14:textId="77777777" w:rsidR="000A5027" w:rsidRDefault="000A5027">
            <w:pPr>
              <w:pStyle w:val="Tabletextbold"/>
            </w:pPr>
            <w:r>
              <w:t>17BE(s)</w:t>
            </w:r>
          </w:p>
        </w:tc>
        <w:tc>
          <w:tcPr>
            <w:tcW w:w="2973" w:type="dxa"/>
            <w:tcBorders>
              <w:top w:val="single" w:sz="2" w:space="0" w:color="72725E"/>
              <w:left w:val="single" w:sz="6" w:space="0" w:color="000000"/>
              <w:bottom w:val="single" w:sz="2" w:space="0" w:color="72725E"/>
              <w:right w:val="single" w:sz="6" w:space="0" w:color="000000"/>
            </w:tcBorders>
            <w:shd w:val="solid" w:color="EAE8E2" w:fill="auto"/>
            <w:tcMar>
              <w:top w:w="113" w:type="dxa"/>
              <w:left w:w="113" w:type="dxa"/>
              <w:bottom w:w="113" w:type="dxa"/>
              <w:right w:w="80" w:type="dxa"/>
            </w:tcMar>
          </w:tcPr>
          <w:p w14:paraId="20210FD0" w14:textId="77777777" w:rsidR="000A5027" w:rsidRDefault="000A5027">
            <w:pPr>
              <w:pStyle w:val="Tabletext"/>
            </w:pPr>
            <w:r>
              <w:t>Obtaining information from subsidiaries</w:t>
            </w:r>
          </w:p>
        </w:tc>
        <w:tc>
          <w:tcPr>
            <w:tcW w:w="3278" w:type="dxa"/>
            <w:tcBorders>
              <w:top w:val="single" w:sz="2" w:space="0" w:color="72725E"/>
              <w:left w:val="single" w:sz="6" w:space="0" w:color="000000"/>
              <w:bottom w:val="single" w:sz="2" w:space="0" w:color="72725E"/>
              <w:right w:val="single" w:sz="6" w:space="0" w:color="FFFFFF"/>
            </w:tcBorders>
            <w:shd w:val="solid" w:color="EAE8E2" w:fill="auto"/>
            <w:tcMar>
              <w:top w:w="113" w:type="dxa"/>
              <w:left w:w="113" w:type="dxa"/>
              <w:bottom w:w="113" w:type="dxa"/>
              <w:right w:w="80" w:type="dxa"/>
            </w:tcMar>
          </w:tcPr>
          <w:p w14:paraId="2F686200" w14:textId="77777777" w:rsidR="000A5027" w:rsidRDefault="000A5027">
            <w:pPr>
              <w:pStyle w:val="Tabletext"/>
            </w:pPr>
            <w:r>
              <w:t>No missing information and no subsidiaries</w:t>
            </w:r>
          </w:p>
        </w:tc>
        <w:tc>
          <w:tcPr>
            <w:tcW w:w="832" w:type="dxa"/>
            <w:tcBorders>
              <w:top w:val="single" w:sz="2" w:space="0" w:color="72725E"/>
              <w:left w:val="single" w:sz="6" w:space="0" w:color="FFFFFF"/>
              <w:bottom w:val="single" w:sz="2" w:space="0" w:color="72725E"/>
              <w:right w:val="single" w:sz="6" w:space="0" w:color="000000"/>
            </w:tcBorders>
            <w:shd w:val="solid" w:color="EAE8E2" w:fill="auto"/>
            <w:tcMar>
              <w:top w:w="113" w:type="dxa"/>
              <w:left w:w="113" w:type="dxa"/>
              <w:bottom w:w="113" w:type="dxa"/>
              <w:right w:w="80" w:type="dxa"/>
            </w:tcMar>
          </w:tcPr>
          <w:p w14:paraId="52845FC2" w14:textId="77777777" w:rsidR="000A5027" w:rsidRDefault="000A5027">
            <w:pPr>
              <w:pStyle w:val="Tabletext"/>
            </w:pPr>
            <w:r>
              <w:t>NA</w:t>
            </w:r>
          </w:p>
        </w:tc>
      </w:tr>
      <w:tr w:rsidR="000A5027" w14:paraId="01DADEDA" w14:textId="77777777">
        <w:trPr>
          <w:trHeight w:val="60"/>
        </w:trPr>
        <w:tc>
          <w:tcPr>
            <w:tcW w:w="1176" w:type="dxa"/>
            <w:tcBorders>
              <w:top w:val="single" w:sz="2" w:space="0" w:color="72725E"/>
              <w:left w:val="single" w:sz="6" w:space="0" w:color="FFFFFF"/>
              <w:bottom w:val="single" w:sz="2" w:space="0" w:color="72725E"/>
              <w:right w:val="single" w:sz="6" w:space="0" w:color="000000"/>
            </w:tcBorders>
            <w:shd w:val="solid" w:color="EAE8E2" w:fill="auto"/>
            <w:tcMar>
              <w:top w:w="113" w:type="dxa"/>
              <w:left w:w="113" w:type="dxa"/>
              <w:bottom w:w="113" w:type="dxa"/>
              <w:right w:w="80" w:type="dxa"/>
            </w:tcMar>
          </w:tcPr>
          <w:p w14:paraId="180B60FD" w14:textId="77777777" w:rsidR="000A5027" w:rsidRDefault="000A5027">
            <w:pPr>
              <w:pStyle w:val="Tabletextbold"/>
            </w:pPr>
            <w:r>
              <w:t>17BE(t)</w:t>
            </w:r>
          </w:p>
        </w:tc>
        <w:tc>
          <w:tcPr>
            <w:tcW w:w="2973" w:type="dxa"/>
            <w:tcBorders>
              <w:top w:val="single" w:sz="2" w:space="0" w:color="72725E"/>
              <w:left w:val="single" w:sz="6" w:space="0" w:color="000000"/>
              <w:bottom w:val="single" w:sz="2" w:space="0" w:color="72725E"/>
              <w:right w:val="single" w:sz="6" w:space="0" w:color="000000"/>
            </w:tcBorders>
            <w:shd w:val="solid" w:color="EAE8E2" w:fill="auto"/>
            <w:tcMar>
              <w:top w:w="113" w:type="dxa"/>
              <w:left w:w="113" w:type="dxa"/>
              <w:bottom w:w="113" w:type="dxa"/>
              <w:right w:w="80" w:type="dxa"/>
            </w:tcMar>
          </w:tcPr>
          <w:p w14:paraId="07948076" w14:textId="77777777" w:rsidR="000A5027" w:rsidRDefault="000A5027">
            <w:pPr>
              <w:pStyle w:val="Tabletext"/>
            </w:pPr>
            <w:r>
              <w:t>Indemnities and insurance premiums for officers</w:t>
            </w:r>
          </w:p>
        </w:tc>
        <w:tc>
          <w:tcPr>
            <w:tcW w:w="3278" w:type="dxa"/>
            <w:tcBorders>
              <w:top w:val="single" w:sz="2" w:space="0" w:color="72725E"/>
              <w:left w:val="single" w:sz="6" w:space="0" w:color="000000"/>
              <w:bottom w:val="single" w:sz="2" w:space="0" w:color="72725E"/>
              <w:right w:val="single" w:sz="6" w:space="0" w:color="FFFFFF"/>
            </w:tcBorders>
            <w:shd w:val="solid" w:color="EAE8E2" w:fill="auto"/>
            <w:tcMar>
              <w:top w:w="113" w:type="dxa"/>
              <w:left w:w="113" w:type="dxa"/>
              <w:bottom w:w="113" w:type="dxa"/>
              <w:right w:w="80" w:type="dxa"/>
            </w:tcMar>
          </w:tcPr>
          <w:p w14:paraId="6710EB55" w14:textId="77777777" w:rsidR="000A5027" w:rsidRDefault="000A5027">
            <w:pPr>
              <w:pStyle w:val="Tabletext"/>
            </w:pPr>
            <w:r>
              <w:t>No indemnities applied including premiums paid or agreed to be paid for insurance against the Agency or liability for legal costs</w:t>
            </w:r>
          </w:p>
        </w:tc>
        <w:tc>
          <w:tcPr>
            <w:tcW w:w="832" w:type="dxa"/>
            <w:tcBorders>
              <w:top w:val="single" w:sz="2" w:space="0" w:color="72725E"/>
              <w:left w:val="single" w:sz="6" w:space="0" w:color="FFFFFF"/>
              <w:bottom w:val="single" w:sz="2" w:space="0" w:color="72725E"/>
              <w:right w:val="single" w:sz="6" w:space="0" w:color="000000"/>
            </w:tcBorders>
            <w:shd w:val="solid" w:color="EAE8E2" w:fill="auto"/>
            <w:tcMar>
              <w:top w:w="113" w:type="dxa"/>
              <w:left w:w="113" w:type="dxa"/>
              <w:bottom w:w="113" w:type="dxa"/>
              <w:right w:w="80" w:type="dxa"/>
            </w:tcMar>
          </w:tcPr>
          <w:p w14:paraId="0F210C20" w14:textId="77777777" w:rsidR="000A5027" w:rsidRDefault="000A5027">
            <w:pPr>
              <w:pStyle w:val="Tabletext"/>
            </w:pPr>
            <w:r>
              <w:t>136</w:t>
            </w:r>
          </w:p>
        </w:tc>
      </w:tr>
      <w:tr w:rsidR="000A5027" w14:paraId="35F5F1D5" w14:textId="77777777">
        <w:trPr>
          <w:trHeight w:val="60"/>
        </w:trPr>
        <w:tc>
          <w:tcPr>
            <w:tcW w:w="1176" w:type="dxa"/>
            <w:tcBorders>
              <w:top w:val="single" w:sz="2" w:space="0" w:color="72725E"/>
              <w:left w:val="single" w:sz="6" w:space="0" w:color="FFFFFF"/>
              <w:bottom w:val="single" w:sz="2" w:space="0" w:color="72725E"/>
              <w:right w:val="single" w:sz="6" w:space="0" w:color="000000"/>
            </w:tcBorders>
            <w:shd w:val="solid" w:color="EAE8E2" w:fill="auto"/>
            <w:tcMar>
              <w:top w:w="113" w:type="dxa"/>
              <w:left w:w="113" w:type="dxa"/>
              <w:bottom w:w="113" w:type="dxa"/>
              <w:right w:w="80" w:type="dxa"/>
            </w:tcMar>
          </w:tcPr>
          <w:p w14:paraId="44A3FFA7" w14:textId="77777777" w:rsidR="000A5027" w:rsidRDefault="000A5027">
            <w:pPr>
              <w:pStyle w:val="Tabletextbold"/>
            </w:pPr>
            <w:r>
              <w:lastRenderedPageBreak/>
              <w:t>17BE(u)</w:t>
            </w:r>
          </w:p>
        </w:tc>
        <w:tc>
          <w:tcPr>
            <w:tcW w:w="2973" w:type="dxa"/>
            <w:tcBorders>
              <w:top w:val="single" w:sz="2" w:space="0" w:color="72725E"/>
              <w:left w:val="single" w:sz="6" w:space="0" w:color="000000"/>
              <w:bottom w:val="single" w:sz="2" w:space="0" w:color="72725E"/>
              <w:right w:val="single" w:sz="6" w:space="0" w:color="000000"/>
            </w:tcBorders>
            <w:shd w:val="solid" w:color="EAE8E2" w:fill="auto"/>
            <w:tcMar>
              <w:top w:w="113" w:type="dxa"/>
              <w:left w:w="113" w:type="dxa"/>
              <w:bottom w:w="113" w:type="dxa"/>
              <w:right w:w="80" w:type="dxa"/>
            </w:tcMar>
          </w:tcPr>
          <w:p w14:paraId="629374D2" w14:textId="77777777" w:rsidR="000A5027" w:rsidRDefault="000A5027">
            <w:pPr>
              <w:pStyle w:val="Tabletext"/>
            </w:pPr>
            <w:r>
              <w:t>Index of annual report requirements</w:t>
            </w:r>
          </w:p>
        </w:tc>
        <w:tc>
          <w:tcPr>
            <w:tcW w:w="3278" w:type="dxa"/>
            <w:tcBorders>
              <w:top w:val="single" w:sz="2" w:space="0" w:color="72725E"/>
              <w:left w:val="single" w:sz="6" w:space="0" w:color="000000"/>
              <w:bottom w:val="single" w:sz="2" w:space="0" w:color="72725E"/>
              <w:right w:val="single" w:sz="6" w:space="0" w:color="FFFFFF"/>
            </w:tcBorders>
            <w:shd w:val="solid" w:color="EAE8E2" w:fill="auto"/>
            <w:tcMar>
              <w:top w:w="113" w:type="dxa"/>
              <w:left w:w="113" w:type="dxa"/>
              <w:bottom w:w="113" w:type="dxa"/>
              <w:right w:w="80" w:type="dxa"/>
            </w:tcMar>
          </w:tcPr>
          <w:p w14:paraId="4DF59440" w14:textId="77777777" w:rsidR="000A5027" w:rsidRDefault="000A5027">
            <w:pPr>
              <w:pStyle w:val="Tabletext"/>
            </w:pPr>
            <w:r>
              <w:t>Compliance index</w:t>
            </w:r>
          </w:p>
        </w:tc>
        <w:tc>
          <w:tcPr>
            <w:tcW w:w="832" w:type="dxa"/>
            <w:tcBorders>
              <w:top w:val="single" w:sz="2" w:space="0" w:color="72725E"/>
              <w:left w:val="single" w:sz="6" w:space="0" w:color="FFFFFF"/>
              <w:bottom w:val="single" w:sz="2" w:space="0" w:color="72725E"/>
              <w:right w:val="single" w:sz="6" w:space="0" w:color="000000"/>
            </w:tcBorders>
            <w:shd w:val="solid" w:color="EAE8E2" w:fill="auto"/>
            <w:tcMar>
              <w:top w:w="113" w:type="dxa"/>
              <w:left w:w="113" w:type="dxa"/>
              <w:bottom w:w="113" w:type="dxa"/>
              <w:right w:w="80" w:type="dxa"/>
            </w:tcMar>
          </w:tcPr>
          <w:p w14:paraId="61452DAB" w14:textId="77777777" w:rsidR="000A5027" w:rsidRDefault="000A5027">
            <w:pPr>
              <w:pStyle w:val="Tabletext"/>
            </w:pPr>
            <w:r>
              <w:t>204-205</w:t>
            </w:r>
          </w:p>
        </w:tc>
      </w:tr>
      <w:tr w:rsidR="000A5027" w14:paraId="36A49834" w14:textId="77777777">
        <w:trPr>
          <w:trHeight w:val="60"/>
        </w:trPr>
        <w:tc>
          <w:tcPr>
            <w:tcW w:w="1176" w:type="dxa"/>
            <w:tcBorders>
              <w:top w:val="single" w:sz="2" w:space="0" w:color="72725E"/>
              <w:left w:val="single" w:sz="6" w:space="0" w:color="FFFFFF"/>
              <w:bottom w:val="single" w:sz="2" w:space="0" w:color="72725E"/>
              <w:right w:val="single" w:sz="6" w:space="0" w:color="000000"/>
            </w:tcBorders>
            <w:shd w:val="solid" w:color="EAE8E2" w:fill="auto"/>
            <w:tcMar>
              <w:top w:w="113" w:type="dxa"/>
              <w:left w:w="113" w:type="dxa"/>
              <w:bottom w:w="113" w:type="dxa"/>
              <w:right w:w="80" w:type="dxa"/>
            </w:tcMar>
          </w:tcPr>
          <w:p w14:paraId="374B43C2" w14:textId="77777777" w:rsidR="000A5027" w:rsidRDefault="000A5027">
            <w:pPr>
              <w:pStyle w:val="Tabletextbold"/>
            </w:pPr>
            <w:r>
              <w:t>17BF</w:t>
            </w:r>
          </w:p>
        </w:tc>
        <w:tc>
          <w:tcPr>
            <w:tcW w:w="2973" w:type="dxa"/>
            <w:tcBorders>
              <w:top w:val="single" w:sz="2" w:space="0" w:color="72725E"/>
              <w:left w:val="single" w:sz="6" w:space="0" w:color="000000"/>
              <w:bottom w:val="single" w:sz="2" w:space="0" w:color="72725E"/>
              <w:right w:val="single" w:sz="6" w:space="0" w:color="000000"/>
            </w:tcBorders>
            <w:shd w:val="solid" w:color="EAE8E2" w:fill="auto"/>
            <w:tcMar>
              <w:top w:w="113" w:type="dxa"/>
              <w:left w:w="113" w:type="dxa"/>
              <w:bottom w:w="113" w:type="dxa"/>
              <w:right w:w="80" w:type="dxa"/>
            </w:tcMar>
          </w:tcPr>
          <w:p w14:paraId="5D7338F9" w14:textId="77777777" w:rsidR="000A5027" w:rsidRDefault="000A5027">
            <w:pPr>
              <w:pStyle w:val="Tabletext"/>
            </w:pPr>
            <w:r>
              <w:t>Disclosure requirements for government business enterprises</w:t>
            </w:r>
          </w:p>
        </w:tc>
        <w:tc>
          <w:tcPr>
            <w:tcW w:w="3278" w:type="dxa"/>
            <w:tcBorders>
              <w:top w:val="single" w:sz="2" w:space="0" w:color="72725E"/>
              <w:left w:val="single" w:sz="6" w:space="0" w:color="000000"/>
              <w:bottom w:val="single" w:sz="2" w:space="0" w:color="72725E"/>
              <w:right w:val="single" w:sz="6" w:space="0" w:color="FFFFFF"/>
            </w:tcBorders>
            <w:shd w:val="solid" w:color="EAE8E2" w:fill="auto"/>
            <w:tcMar>
              <w:top w:w="113" w:type="dxa"/>
              <w:left w:w="113" w:type="dxa"/>
              <w:bottom w:w="113" w:type="dxa"/>
              <w:right w:w="80" w:type="dxa"/>
            </w:tcMar>
          </w:tcPr>
          <w:p w14:paraId="285D9DF2" w14:textId="77777777" w:rsidR="000A5027" w:rsidRDefault="000A5027">
            <w:pPr>
              <w:pStyle w:val="Tabletext"/>
            </w:pPr>
            <w:r>
              <w:t>The Agency is not a government business enterprise</w:t>
            </w:r>
          </w:p>
        </w:tc>
        <w:tc>
          <w:tcPr>
            <w:tcW w:w="832" w:type="dxa"/>
            <w:tcBorders>
              <w:top w:val="single" w:sz="2" w:space="0" w:color="72725E"/>
              <w:left w:val="single" w:sz="6" w:space="0" w:color="FFFFFF"/>
              <w:bottom w:val="single" w:sz="2" w:space="0" w:color="72725E"/>
              <w:right w:val="single" w:sz="6" w:space="0" w:color="000000"/>
            </w:tcBorders>
            <w:shd w:val="solid" w:color="EAE8E2" w:fill="auto"/>
            <w:tcMar>
              <w:top w:w="113" w:type="dxa"/>
              <w:left w:w="113" w:type="dxa"/>
              <w:bottom w:w="113" w:type="dxa"/>
              <w:right w:w="80" w:type="dxa"/>
            </w:tcMar>
          </w:tcPr>
          <w:p w14:paraId="2A811F90" w14:textId="77777777" w:rsidR="000A5027" w:rsidRDefault="000A5027">
            <w:pPr>
              <w:pStyle w:val="Tabletext"/>
            </w:pPr>
            <w:r>
              <w:t>NA</w:t>
            </w:r>
          </w:p>
        </w:tc>
      </w:tr>
    </w:tbl>
    <w:p w14:paraId="636FC1E7" w14:textId="77777777" w:rsidR="000A5027" w:rsidRDefault="000A5027" w:rsidP="000A5027">
      <w:pPr>
        <w:pStyle w:val="BodyCopy"/>
        <w:rPr>
          <w:sz w:val="30"/>
          <w:szCs w:val="30"/>
        </w:rPr>
      </w:pPr>
    </w:p>
    <w:p w14:paraId="516EB1E7" w14:textId="5DF76D12" w:rsidR="000A5027" w:rsidRDefault="000A5027" w:rsidP="00977ED6">
      <w:pPr>
        <w:pStyle w:val="Heading3Tables"/>
      </w:pPr>
      <w:bookmarkStart w:id="612" w:name="_Toc464481238"/>
      <w:r>
        <w:t>Table 17: Work Health and Safety Act 2011</w:t>
      </w:r>
      <w:bookmarkEnd w:id="612"/>
    </w:p>
    <w:tbl>
      <w:tblPr>
        <w:tblW w:w="0" w:type="auto"/>
        <w:tblInd w:w="-8" w:type="dxa"/>
        <w:tblLayout w:type="fixed"/>
        <w:tblCellMar>
          <w:left w:w="0" w:type="dxa"/>
          <w:right w:w="0" w:type="dxa"/>
        </w:tblCellMar>
        <w:tblLook w:val="0000" w:firstRow="0" w:lastRow="0" w:firstColumn="0" w:lastColumn="0" w:noHBand="0" w:noVBand="0"/>
      </w:tblPr>
      <w:tblGrid>
        <w:gridCol w:w="1176"/>
        <w:gridCol w:w="4281"/>
        <w:gridCol w:w="2126"/>
        <w:gridCol w:w="694"/>
      </w:tblGrid>
      <w:tr w:rsidR="000A5027" w14:paraId="5739CF36" w14:textId="77777777">
        <w:trPr>
          <w:trHeight w:val="60"/>
          <w:tblHeader/>
        </w:trPr>
        <w:tc>
          <w:tcPr>
            <w:tcW w:w="1176" w:type="dxa"/>
            <w:tcBorders>
              <w:top w:val="single" w:sz="6" w:space="0" w:color="FFFFFF"/>
              <w:left w:val="single" w:sz="6" w:space="0" w:color="FFFFFF"/>
              <w:bottom w:val="single" w:sz="6" w:space="0" w:color="72725E"/>
              <w:right w:val="single" w:sz="6" w:space="0" w:color="FFFFFF"/>
            </w:tcBorders>
            <w:shd w:val="solid" w:color="000000" w:fill="auto"/>
            <w:tcMar>
              <w:top w:w="113" w:type="dxa"/>
              <w:left w:w="113" w:type="dxa"/>
              <w:bottom w:w="113" w:type="dxa"/>
              <w:right w:w="80" w:type="dxa"/>
            </w:tcMar>
          </w:tcPr>
          <w:p w14:paraId="1EABD5D8" w14:textId="77777777" w:rsidR="000A5027" w:rsidRDefault="000A5027">
            <w:pPr>
              <w:pStyle w:val="Tableheader"/>
            </w:pPr>
            <w:bookmarkStart w:id="613" w:name="Title_Table17" w:colFirst="0" w:colLast="0"/>
            <w:r>
              <w:t>Reference</w:t>
            </w:r>
          </w:p>
        </w:tc>
        <w:tc>
          <w:tcPr>
            <w:tcW w:w="4281" w:type="dxa"/>
            <w:tcBorders>
              <w:top w:val="single" w:sz="6" w:space="0" w:color="FFFFFF"/>
              <w:left w:val="single" w:sz="6" w:space="0" w:color="FFFFFF"/>
              <w:bottom w:val="single" w:sz="6" w:space="0" w:color="72725E"/>
              <w:right w:val="single" w:sz="6" w:space="0" w:color="FFFFFF"/>
            </w:tcBorders>
            <w:shd w:val="solid" w:color="000000" w:fill="auto"/>
            <w:tcMar>
              <w:top w:w="113" w:type="dxa"/>
              <w:left w:w="113" w:type="dxa"/>
              <w:bottom w:w="113" w:type="dxa"/>
              <w:right w:w="80" w:type="dxa"/>
            </w:tcMar>
          </w:tcPr>
          <w:p w14:paraId="41377AAA" w14:textId="77777777" w:rsidR="000A5027" w:rsidRDefault="000A5027">
            <w:pPr>
              <w:pStyle w:val="Tableheader"/>
            </w:pPr>
            <w:r>
              <w:t>Requirement</w:t>
            </w:r>
          </w:p>
        </w:tc>
        <w:tc>
          <w:tcPr>
            <w:tcW w:w="2126" w:type="dxa"/>
            <w:tcBorders>
              <w:top w:val="single" w:sz="6" w:space="0" w:color="FFFFFF"/>
              <w:left w:val="single" w:sz="6" w:space="0" w:color="FFFFFF"/>
              <w:bottom w:val="single" w:sz="6" w:space="0" w:color="72725E"/>
              <w:right w:val="single" w:sz="6" w:space="0" w:color="FFFFFF"/>
            </w:tcBorders>
            <w:shd w:val="solid" w:color="000000" w:fill="auto"/>
            <w:tcMar>
              <w:top w:w="113" w:type="dxa"/>
              <w:left w:w="113" w:type="dxa"/>
              <w:bottom w:w="113" w:type="dxa"/>
              <w:right w:w="80" w:type="dxa"/>
            </w:tcMar>
          </w:tcPr>
          <w:p w14:paraId="08699245" w14:textId="77777777" w:rsidR="000A5027" w:rsidRDefault="000A5027">
            <w:pPr>
              <w:pStyle w:val="Tableheader"/>
            </w:pPr>
            <w:r>
              <w:t>Detail and page location</w:t>
            </w:r>
          </w:p>
        </w:tc>
        <w:tc>
          <w:tcPr>
            <w:tcW w:w="694" w:type="dxa"/>
            <w:tcBorders>
              <w:top w:val="single" w:sz="6" w:space="0" w:color="FFFFFF"/>
              <w:left w:val="single" w:sz="6" w:space="0" w:color="FFFFFF"/>
              <w:bottom w:val="single" w:sz="6" w:space="0" w:color="72725E"/>
              <w:right w:val="single" w:sz="6" w:space="0" w:color="FFFFFF"/>
            </w:tcBorders>
            <w:shd w:val="solid" w:color="000000" w:fill="auto"/>
            <w:tcMar>
              <w:top w:w="113" w:type="dxa"/>
              <w:left w:w="113" w:type="dxa"/>
              <w:bottom w:w="113" w:type="dxa"/>
              <w:right w:w="80" w:type="dxa"/>
            </w:tcMar>
          </w:tcPr>
          <w:p w14:paraId="551D119E" w14:textId="77777777" w:rsidR="000A5027" w:rsidRDefault="000A5027">
            <w:pPr>
              <w:pStyle w:val="NoParagraphStyle"/>
              <w:spacing w:line="240" w:lineRule="auto"/>
              <w:textAlignment w:val="auto"/>
              <w:rPr>
                <w:rFonts w:ascii="FSMePro" w:hAnsi="FSMePro" w:cstheme="minorBidi"/>
                <w:color w:val="auto"/>
                <w:lang w:val="en-US"/>
              </w:rPr>
            </w:pPr>
          </w:p>
        </w:tc>
      </w:tr>
      <w:bookmarkEnd w:id="613"/>
      <w:tr w:rsidR="000A5027" w14:paraId="67C669CE" w14:textId="77777777">
        <w:trPr>
          <w:trHeight w:val="60"/>
        </w:trPr>
        <w:tc>
          <w:tcPr>
            <w:tcW w:w="1176" w:type="dxa"/>
            <w:tcBorders>
              <w:top w:val="single" w:sz="2" w:space="0" w:color="72725E"/>
              <w:left w:val="single" w:sz="6" w:space="0" w:color="FFFFFF"/>
              <w:bottom w:val="single" w:sz="2" w:space="0" w:color="72725E"/>
              <w:right w:val="single" w:sz="6" w:space="0" w:color="000000"/>
            </w:tcBorders>
            <w:shd w:val="solid" w:color="EAE8E2" w:fill="auto"/>
            <w:tcMar>
              <w:top w:w="113" w:type="dxa"/>
              <w:left w:w="113" w:type="dxa"/>
              <w:bottom w:w="113" w:type="dxa"/>
              <w:right w:w="80" w:type="dxa"/>
            </w:tcMar>
          </w:tcPr>
          <w:p w14:paraId="5FCF2B46" w14:textId="77777777" w:rsidR="000A5027" w:rsidRDefault="000A5027">
            <w:pPr>
              <w:pStyle w:val="Tabletextbold"/>
            </w:pPr>
            <w:r>
              <w:t>4(1)</w:t>
            </w:r>
          </w:p>
          <w:p w14:paraId="29BC0269" w14:textId="77777777" w:rsidR="000A5027" w:rsidRDefault="000A5027">
            <w:pPr>
              <w:pStyle w:val="Tabletextbold"/>
            </w:pPr>
            <w:r>
              <w:t>4(2)</w:t>
            </w:r>
          </w:p>
        </w:tc>
        <w:tc>
          <w:tcPr>
            <w:tcW w:w="4281" w:type="dxa"/>
            <w:tcBorders>
              <w:top w:val="single" w:sz="2" w:space="0" w:color="72725E"/>
              <w:left w:val="single" w:sz="6" w:space="0" w:color="000000"/>
              <w:bottom w:val="single" w:sz="2" w:space="0" w:color="72725E"/>
              <w:right w:val="single" w:sz="6" w:space="0" w:color="000000"/>
            </w:tcBorders>
            <w:shd w:val="solid" w:color="EAE8E2" w:fill="auto"/>
            <w:tcMar>
              <w:top w:w="113" w:type="dxa"/>
              <w:left w:w="113" w:type="dxa"/>
              <w:bottom w:w="113" w:type="dxa"/>
              <w:right w:w="80" w:type="dxa"/>
            </w:tcMar>
          </w:tcPr>
          <w:p w14:paraId="2CB531CA" w14:textId="77777777" w:rsidR="000A5027" w:rsidRDefault="000A5027">
            <w:pPr>
              <w:pStyle w:val="Tabletext"/>
            </w:pPr>
            <w:r>
              <w:t>Work health and safety (see also Work Health and Safety Act 2011, Schedule 2)</w:t>
            </w:r>
          </w:p>
        </w:tc>
        <w:tc>
          <w:tcPr>
            <w:tcW w:w="2126" w:type="dxa"/>
            <w:tcBorders>
              <w:top w:val="single" w:sz="2" w:space="0" w:color="72725E"/>
              <w:left w:val="single" w:sz="6" w:space="0" w:color="000000"/>
              <w:bottom w:val="single" w:sz="2" w:space="0" w:color="72725E"/>
              <w:right w:val="single" w:sz="6" w:space="0" w:color="FFFFFF"/>
            </w:tcBorders>
            <w:shd w:val="solid" w:color="EAE8E2" w:fill="auto"/>
            <w:tcMar>
              <w:top w:w="113" w:type="dxa"/>
              <w:left w:w="113" w:type="dxa"/>
              <w:bottom w:w="113" w:type="dxa"/>
              <w:right w:w="80" w:type="dxa"/>
            </w:tcMar>
          </w:tcPr>
          <w:p w14:paraId="3E43DC56" w14:textId="77777777" w:rsidR="000A5027" w:rsidRDefault="000A5027">
            <w:pPr>
              <w:pStyle w:val="Tabletext"/>
            </w:pPr>
            <w:r>
              <w:t>Work health and safety performance</w:t>
            </w:r>
          </w:p>
        </w:tc>
        <w:tc>
          <w:tcPr>
            <w:tcW w:w="694" w:type="dxa"/>
            <w:tcBorders>
              <w:top w:val="single" w:sz="2" w:space="0" w:color="72725E"/>
              <w:left w:val="single" w:sz="6" w:space="0" w:color="FFFFFF"/>
              <w:bottom w:val="single" w:sz="2" w:space="0" w:color="72725E"/>
              <w:right w:val="single" w:sz="6" w:space="0" w:color="000000"/>
            </w:tcBorders>
            <w:shd w:val="solid" w:color="EAE8E2" w:fill="auto"/>
            <w:tcMar>
              <w:top w:w="113" w:type="dxa"/>
              <w:left w:w="113" w:type="dxa"/>
              <w:bottom w:w="113" w:type="dxa"/>
              <w:right w:w="80" w:type="dxa"/>
            </w:tcMar>
          </w:tcPr>
          <w:p w14:paraId="4C68B3CC" w14:textId="77777777" w:rsidR="000A5027" w:rsidRDefault="000A5027">
            <w:pPr>
              <w:pStyle w:val="Tabletext"/>
            </w:pPr>
            <w:r>
              <w:t>135-136</w:t>
            </w:r>
          </w:p>
        </w:tc>
      </w:tr>
    </w:tbl>
    <w:p w14:paraId="41D5F5BA" w14:textId="77777777" w:rsidR="000A5027" w:rsidRDefault="000A5027" w:rsidP="000A5027">
      <w:pPr>
        <w:pStyle w:val="BodyCopy"/>
        <w:rPr>
          <w:sz w:val="30"/>
          <w:szCs w:val="30"/>
        </w:rPr>
      </w:pPr>
    </w:p>
    <w:p w14:paraId="4840BE01" w14:textId="37F82E1A" w:rsidR="000A5027" w:rsidRDefault="000A5027" w:rsidP="00977ED6">
      <w:pPr>
        <w:pStyle w:val="Heading3Tables"/>
      </w:pPr>
      <w:bookmarkStart w:id="614" w:name="_Toc464481239"/>
      <w:r>
        <w:t>Table 18: Environment Protection and Biodiversity Conservation Act 1999</w:t>
      </w:r>
      <w:bookmarkEnd w:id="614"/>
    </w:p>
    <w:tbl>
      <w:tblPr>
        <w:tblW w:w="0" w:type="auto"/>
        <w:tblInd w:w="-8" w:type="dxa"/>
        <w:tblLayout w:type="fixed"/>
        <w:tblCellMar>
          <w:left w:w="0" w:type="dxa"/>
          <w:right w:w="0" w:type="dxa"/>
        </w:tblCellMar>
        <w:tblLook w:val="0000" w:firstRow="0" w:lastRow="0" w:firstColumn="0" w:lastColumn="0" w:noHBand="0" w:noVBand="0"/>
      </w:tblPr>
      <w:tblGrid>
        <w:gridCol w:w="1176"/>
        <w:gridCol w:w="4281"/>
        <w:gridCol w:w="2126"/>
        <w:gridCol w:w="694"/>
      </w:tblGrid>
      <w:tr w:rsidR="000A5027" w14:paraId="27FE999D" w14:textId="77777777">
        <w:trPr>
          <w:trHeight w:val="60"/>
          <w:tblHeader/>
        </w:trPr>
        <w:tc>
          <w:tcPr>
            <w:tcW w:w="1176" w:type="dxa"/>
            <w:tcBorders>
              <w:top w:val="single" w:sz="6" w:space="0" w:color="FFFFFF"/>
              <w:left w:val="single" w:sz="6" w:space="0" w:color="FFFFFF"/>
              <w:bottom w:val="single" w:sz="6" w:space="0" w:color="72725E"/>
              <w:right w:val="single" w:sz="6" w:space="0" w:color="FFFFFF"/>
            </w:tcBorders>
            <w:shd w:val="solid" w:color="000000" w:fill="auto"/>
            <w:tcMar>
              <w:top w:w="113" w:type="dxa"/>
              <w:left w:w="113" w:type="dxa"/>
              <w:bottom w:w="113" w:type="dxa"/>
              <w:right w:w="80" w:type="dxa"/>
            </w:tcMar>
          </w:tcPr>
          <w:p w14:paraId="76C6199B" w14:textId="77777777" w:rsidR="000A5027" w:rsidRDefault="000A5027">
            <w:pPr>
              <w:pStyle w:val="Tableheader"/>
            </w:pPr>
            <w:bookmarkStart w:id="615" w:name="Title_Table18" w:colFirst="0" w:colLast="0"/>
            <w:r>
              <w:t>Reference</w:t>
            </w:r>
          </w:p>
        </w:tc>
        <w:tc>
          <w:tcPr>
            <w:tcW w:w="4281" w:type="dxa"/>
            <w:tcBorders>
              <w:top w:val="single" w:sz="6" w:space="0" w:color="FFFFFF"/>
              <w:left w:val="single" w:sz="6" w:space="0" w:color="FFFFFF"/>
              <w:bottom w:val="single" w:sz="6" w:space="0" w:color="72725E"/>
              <w:right w:val="single" w:sz="6" w:space="0" w:color="FFFFFF"/>
            </w:tcBorders>
            <w:shd w:val="solid" w:color="000000" w:fill="auto"/>
            <w:tcMar>
              <w:top w:w="113" w:type="dxa"/>
              <w:left w:w="113" w:type="dxa"/>
              <w:bottom w:w="113" w:type="dxa"/>
              <w:right w:w="80" w:type="dxa"/>
            </w:tcMar>
          </w:tcPr>
          <w:p w14:paraId="28D14912" w14:textId="77777777" w:rsidR="000A5027" w:rsidRDefault="000A5027">
            <w:pPr>
              <w:pStyle w:val="Tableheader"/>
            </w:pPr>
            <w:r>
              <w:t>Requirement</w:t>
            </w:r>
          </w:p>
        </w:tc>
        <w:tc>
          <w:tcPr>
            <w:tcW w:w="2126" w:type="dxa"/>
            <w:tcBorders>
              <w:top w:val="single" w:sz="6" w:space="0" w:color="FFFFFF"/>
              <w:left w:val="single" w:sz="6" w:space="0" w:color="FFFFFF"/>
              <w:bottom w:val="single" w:sz="6" w:space="0" w:color="72725E"/>
              <w:right w:val="single" w:sz="6" w:space="0" w:color="FFFFFF"/>
            </w:tcBorders>
            <w:shd w:val="solid" w:color="000000" w:fill="auto"/>
            <w:tcMar>
              <w:top w:w="113" w:type="dxa"/>
              <w:left w:w="113" w:type="dxa"/>
              <w:bottom w:w="113" w:type="dxa"/>
              <w:right w:w="80" w:type="dxa"/>
            </w:tcMar>
          </w:tcPr>
          <w:p w14:paraId="7FECF174" w14:textId="77777777" w:rsidR="000A5027" w:rsidRDefault="000A5027">
            <w:pPr>
              <w:pStyle w:val="Tableheader"/>
            </w:pPr>
            <w:r>
              <w:t>Detail and page location</w:t>
            </w:r>
          </w:p>
        </w:tc>
        <w:tc>
          <w:tcPr>
            <w:tcW w:w="694" w:type="dxa"/>
            <w:tcBorders>
              <w:top w:val="single" w:sz="6" w:space="0" w:color="FFFFFF"/>
              <w:left w:val="single" w:sz="6" w:space="0" w:color="FFFFFF"/>
              <w:bottom w:val="single" w:sz="6" w:space="0" w:color="72725E"/>
              <w:right w:val="single" w:sz="6" w:space="0" w:color="FFFFFF"/>
            </w:tcBorders>
            <w:shd w:val="solid" w:color="000000" w:fill="auto"/>
            <w:tcMar>
              <w:top w:w="113" w:type="dxa"/>
              <w:left w:w="113" w:type="dxa"/>
              <w:bottom w:w="113" w:type="dxa"/>
              <w:right w:w="80" w:type="dxa"/>
            </w:tcMar>
          </w:tcPr>
          <w:p w14:paraId="3FF7FF01" w14:textId="77777777" w:rsidR="000A5027" w:rsidRDefault="000A5027">
            <w:pPr>
              <w:pStyle w:val="NoParagraphStyle"/>
              <w:spacing w:line="240" w:lineRule="auto"/>
              <w:textAlignment w:val="auto"/>
              <w:rPr>
                <w:rFonts w:ascii="FSMePro" w:hAnsi="FSMePro" w:cstheme="minorBidi"/>
                <w:color w:val="auto"/>
                <w:lang w:val="en-US"/>
              </w:rPr>
            </w:pPr>
          </w:p>
        </w:tc>
      </w:tr>
      <w:bookmarkEnd w:id="615"/>
      <w:tr w:rsidR="000A5027" w14:paraId="40703203" w14:textId="77777777">
        <w:trPr>
          <w:trHeight w:val="60"/>
        </w:trPr>
        <w:tc>
          <w:tcPr>
            <w:tcW w:w="1176" w:type="dxa"/>
            <w:tcBorders>
              <w:top w:val="single" w:sz="2" w:space="0" w:color="72725E"/>
              <w:left w:val="single" w:sz="6" w:space="0" w:color="FFFFFF"/>
              <w:bottom w:val="single" w:sz="2" w:space="0" w:color="72725E"/>
              <w:right w:val="single" w:sz="6" w:space="0" w:color="000000"/>
            </w:tcBorders>
            <w:shd w:val="solid" w:color="EAE8E2" w:fill="auto"/>
            <w:tcMar>
              <w:top w:w="113" w:type="dxa"/>
              <w:left w:w="113" w:type="dxa"/>
              <w:bottom w:w="113" w:type="dxa"/>
              <w:right w:w="80" w:type="dxa"/>
            </w:tcMar>
          </w:tcPr>
          <w:p w14:paraId="6D57E41D" w14:textId="77777777" w:rsidR="000A5027" w:rsidRDefault="000A5027">
            <w:pPr>
              <w:pStyle w:val="Tabletextbold"/>
            </w:pPr>
            <w:r>
              <w:t>516A</w:t>
            </w:r>
          </w:p>
        </w:tc>
        <w:tc>
          <w:tcPr>
            <w:tcW w:w="4281" w:type="dxa"/>
            <w:tcBorders>
              <w:top w:val="single" w:sz="2" w:space="0" w:color="72725E"/>
              <w:left w:val="single" w:sz="6" w:space="0" w:color="000000"/>
              <w:bottom w:val="single" w:sz="2" w:space="0" w:color="72725E"/>
              <w:right w:val="single" w:sz="6" w:space="0" w:color="000000"/>
            </w:tcBorders>
            <w:shd w:val="solid" w:color="EAE8E2" w:fill="auto"/>
            <w:tcMar>
              <w:top w:w="113" w:type="dxa"/>
              <w:left w:w="113" w:type="dxa"/>
              <w:bottom w:w="113" w:type="dxa"/>
              <w:right w:w="80" w:type="dxa"/>
            </w:tcMar>
          </w:tcPr>
          <w:p w14:paraId="5FD722B2" w14:textId="77777777" w:rsidR="000A5027" w:rsidRDefault="000A5027">
            <w:pPr>
              <w:pStyle w:val="Tabletext"/>
            </w:pPr>
            <w:r>
              <w:t>Ecologically sustainable development and environmental performance</w:t>
            </w:r>
          </w:p>
        </w:tc>
        <w:tc>
          <w:tcPr>
            <w:tcW w:w="2126" w:type="dxa"/>
            <w:tcBorders>
              <w:top w:val="single" w:sz="2" w:space="0" w:color="72725E"/>
              <w:left w:val="single" w:sz="6" w:space="0" w:color="000000"/>
              <w:bottom w:val="single" w:sz="2" w:space="0" w:color="72725E"/>
              <w:right w:val="single" w:sz="6" w:space="0" w:color="FFFFFF"/>
            </w:tcBorders>
            <w:shd w:val="solid" w:color="EAE8E2" w:fill="auto"/>
            <w:tcMar>
              <w:top w:w="113" w:type="dxa"/>
              <w:left w:w="113" w:type="dxa"/>
              <w:bottom w:w="113" w:type="dxa"/>
              <w:right w:w="80" w:type="dxa"/>
            </w:tcMar>
          </w:tcPr>
          <w:p w14:paraId="5B5AF1BC" w14:textId="77777777" w:rsidR="000A5027" w:rsidRDefault="000A5027">
            <w:pPr>
              <w:pStyle w:val="Tabletext"/>
            </w:pPr>
            <w:r>
              <w:t>Ecological and sustainable development</w:t>
            </w:r>
          </w:p>
        </w:tc>
        <w:tc>
          <w:tcPr>
            <w:tcW w:w="694" w:type="dxa"/>
            <w:tcBorders>
              <w:top w:val="single" w:sz="2" w:space="0" w:color="72725E"/>
              <w:left w:val="single" w:sz="6" w:space="0" w:color="FFFFFF"/>
              <w:bottom w:val="single" w:sz="2" w:space="0" w:color="72725E"/>
              <w:right w:val="single" w:sz="6" w:space="0" w:color="000000"/>
            </w:tcBorders>
            <w:shd w:val="solid" w:color="EAE8E2" w:fill="auto"/>
            <w:tcMar>
              <w:top w:w="113" w:type="dxa"/>
              <w:left w:w="113" w:type="dxa"/>
              <w:bottom w:w="113" w:type="dxa"/>
              <w:right w:w="80" w:type="dxa"/>
            </w:tcMar>
          </w:tcPr>
          <w:p w14:paraId="4AF8A8CA" w14:textId="77777777" w:rsidR="000A5027" w:rsidRDefault="000A5027">
            <w:pPr>
              <w:pStyle w:val="Tabletext"/>
            </w:pPr>
            <w:r>
              <w:t>136-137</w:t>
            </w:r>
          </w:p>
        </w:tc>
      </w:tr>
    </w:tbl>
    <w:p w14:paraId="2B3B74C2" w14:textId="77777777" w:rsidR="000A5027" w:rsidRDefault="000A5027" w:rsidP="000A5027">
      <w:pPr>
        <w:pStyle w:val="BodyCopy"/>
        <w:rPr>
          <w:sz w:val="30"/>
          <w:szCs w:val="30"/>
        </w:rPr>
      </w:pPr>
    </w:p>
    <w:p w14:paraId="22FAFDE3" w14:textId="77777777" w:rsidR="000A5027" w:rsidRDefault="000A5027" w:rsidP="00977ED6">
      <w:pPr>
        <w:pStyle w:val="Heading3Tables"/>
      </w:pPr>
      <w:bookmarkStart w:id="616" w:name="_Toc464481240"/>
      <w:r>
        <w:t>Table 19: Freedom of Information Act 1982</w:t>
      </w:r>
      <w:bookmarkEnd w:id="616"/>
    </w:p>
    <w:tbl>
      <w:tblPr>
        <w:tblW w:w="0" w:type="auto"/>
        <w:tblInd w:w="-8" w:type="dxa"/>
        <w:tblLayout w:type="fixed"/>
        <w:tblCellMar>
          <w:left w:w="0" w:type="dxa"/>
          <w:right w:w="0" w:type="dxa"/>
        </w:tblCellMar>
        <w:tblLook w:val="0000" w:firstRow="0" w:lastRow="0" w:firstColumn="0" w:lastColumn="0" w:noHBand="0" w:noVBand="0"/>
      </w:tblPr>
      <w:tblGrid>
        <w:gridCol w:w="1176"/>
        <w:gridCol w:w="4281"/>
        <w:gridCol w:w="2126"/>
        <w:gridCol w:w="694"/>
      </w:tblGrid>
      <w:tr w:rsidR="000A5027" w14:paraId="359500C0" w14:textId="77777777">
        <w:trPr>
          <w:trHeight w:val="60"/>
          <w:tblHeader/>
        </w:trPr>
        <w:tc>
          <w:tcPr>
            <w:tcW w:w="1176" w:type="dxa"/>
            <w:tcBorders>
              <w:top w:val="single" w:sz="6" w:space="0" w:color="FFFFFF"/>
              <w:left w:val="single" w:sz="6" w:space="0" w:color="FFFFFF"/>
              <w:bottom w:val="single" w:sz="6" w:space="0" w:color="72725E"/>
              <w:right w:val="single" w:sz="6" w:space="0" w:color="FFFFFF"/>
            </w:tcBorders>
            <w:shd w:val="solid" w:color="000000" w:fill="auto"/>
            <w:tcMar>
              <w:top w:w="113" w:type="dxa"/>
              <w:left w:w="113" w:type="dxa"/>
              <w:bottom w:w="113" w:type="dxa"/>
              <w:right w:w="80" w:type="dxa"/>
            </w:tcMar>
          </w:tcPr>
          <w:p w14:paraId="11EAA4EA" w14:textId="77777777" w:rsidR="000A5027" w:rsidRDefault="000A5027">
            <w:pPr>
              <w:pStyle w:val="Tableheader"/>
            </w:pPr>
            <w:bookmarkStart w:id="617" w:name="Title_Table19" w:colFirst="0" w:colLast="0"/>
            <w:r>
              <w:t>Reference</w:t>
            </w:r>
          </w:p>
        </w:tc>
        <w:tc>
          <w:tcPr>
            <w:tcW w:w="4281" w:type="dxa"/>
            <w:tcBorders>
              <w:top w:val="single" w:sz="6" w:space="0" w:color="FFFFFF"/>
              <w:left w:val="single" w:sz="6" w:space="0" w:color="FFFFFF"/>
              <w:bottom w:val="single" w:sz="6" w:space="0" w:color="72725E"/>
              <w:right w:val="single" w:sz="6" w:space="0" w:color="FFFFFF"/>
            </w:tcBorders>
            <w:shd w:val="solid" w:color="000000" w:fill="auto"/>
            <w:tcMar>
              <w:top w:w="113" w:type="dxa"/>
              <w:left w:w="113" w:type="dxa"/>
              <w:bottom w:w="113" w:type="dxa"/>
              <w:right w:w="80" w:type="dxa"/>
            </w:tcMar>
          </w:tcPr>
          <w:p w14:paraId="71C5685E" w14:textId="77777777" w:rsidR="000A5027" w:rsidRDefault="000A5027">
            <w:pPr>
              <w:pStyle w:val="Tableheader"/>
            </w:pPr>
            <w:r>
              <w:t>Requirement</w:t>
            </w:r>
          </w:p>
        </w:tc>
        <w:tc>
          <w:tcPr>
            <w:tcW w:w="2126" w:type="dxa"/>
            <w:tcBorders>
              <w:top w:val="single" w:sz="6" w:space="0" w:color="FFFFFF"/>
              <w:left w:val="single" w:sz="6" w:space="0" w:color="FFFFFF"/>
              <w:bottom w:val="single" w:sz="6" w:space="0" w:color="72725E"/>
              <w:right w:val="single" w:sz="6" w:space="0" w:color="FFFFFF"/>
            </w:tcBorders>
            <w:shd w:val="solid" w:color="000000" w:fill="auto"/>
            <w:tcMar>
              <w:top w:w="113" w:type="dxa"/>
              <w:left w:w="113" w:type="dxa"/>
              <w:bottom w:w="113" w:type="dxa"/>
              <w:right w:w="80" w:type="dxa"/>
            </w:tcMar>
          </w:tcPr>
          <w:p w14:paraId="3D41C34D" w14:textId="77777777" w:rsidR="000A5027" w:rsidRDefault="000A5027">
            <w:pPr>
              <w:pStyle w:val="Tableheader"/>
            </w:pPr>
            <w:r>
              <w:t>Detail and page location</w:t>
            </w:r>
          </w:p>
        </w:tc>
        <w:tc>
          <w:tcPr>
            <w:tcW w:w="694" w:type="dxa"/>
            <w:tcBorders>
              <w:top w:val="single" w:sz="6" w:space="0" w:color="FFFFFF"/>
              <w:left w:val="single" w:sz="6" w:space="0" w:color="FFFFFF"/>
              <w:bottom w:val="single" w:sz="6" w:space="0" w:color="72725E"/>
              <w:right w:val="single" w:sz="6" w:space="0" w:color="FFFFFF"/>
            </w:tcBorders>
            <w:shd w:val="solid" w:color="000000" w:fill="auto"/>
            <w:tcMar>
              <w:top w:w="113" w:type="dxa"/>
              <w:left w:w="113" w:type="dxa"/>
              <w:bottom w:w="113" w:type="dxa"/>
              <w:right w:w="80" w:type="dxa"/>
            </w:tcMar>
          </w:tcPr>
          <w:p w14:paraId="1EEE4335" w14:textId="77777777" w:rsidR="000A5027" w:rsidRDefault="000A5027">
            <w:pPr>
              <w:pStyle w:val="NoParagraphStyle"/>
              <w:spacing w:line="240" w:lineRule="auto"/>
              <w:textAlignment w:val="auto"/>
              <w:rPr>
                <w:rFonts w:ascii="FSMePro" w:hAnsi="FSMePro" w:cstheme="minorBidi"/>
                <w:color w:val="auto"/>
                <w:lang w:val="en-US"/>
              </w:rPr>
            </w:pPr>
          </w:p>
        </w:tc>
      </w:tr>
      <w:bookmarkEnd w:id="617"/>
      <w:tr w:rsidR="000A5027" w14:paraId="6803D7DB" w14:textId="77777777">
        <w:trPr>
          <w:trHeight w:val="60"/>
        </w:trPr>
        <w:tc>
          <w:tcPr>
            <w:tcW w:w="1176" w:type="dxa"/>
            <w:tcBorders>
              <w:top w:val="single" w:sz="2" w:space="0" w:color="72725E"/>
              <w:left w:val="single" w:sz="6" w:space="0" w:color="FFFFFF"/>
              <w:bottom w:val="single" w:sz="2" w:space="0" w:color="72725E"/>
              <w:right w:val="single" w:sz="6" w:space="0" w:color="000000"/>
            </w:tcBorders>
            <w:shd w:val="solid" w:color="EAE8E2" w:fill="auto"/>
            <w:tcMar>
              <w:top w:w="113" w:type="dxa"/>
              <w:left w:w="113" w:type="dxa"/>
              <w:bottom w:w="113" w:type="dxa"/>
              <w:right w:w="80" w:type="dxa"/>
            </w:tcMar>
          </w:tcPr>
          <w:p w14:paraId="304A9DF1" w14:textId="77777777" w:rsidR="000A5027" w:rsidRDefault="000A5027">
            <w:pPr>
              <w:pStyle w:val="Tabletextbold"/>
            </w:pPr>
            <w:r>
              <w:t>8</w:t>
            </w:r>
          </w:p>
        </w:tc>
        <w:tc>
          <w:tcPr>
            <w:tcW w:w="4281" w:type="dxa"/>
            <w:tcBorders>
              <w:top w:val="single" w:sz="2" w:space="0" w:color="72725E"/>
              <w:left w:val="single" w:sz="6" w:space="0" w:color="000000"/>
              <w:bottom w:val="single" w:sz="2" w:space="0" w:color="72725E"/>
              <w:right w:val="single" w:sz="6" w:space="0" w:color="000000"/>
            </w:tcBorders>
            <w:shd w:val="solid" w:color="EAE8E2" w:fill="auto"/>
            <w:tcMar>
              <w:top w:w="113" w:type="dxa"/>
              <w:left w:w="113" w:type="dxa"/>
              <w:bottom w:w="113" w:type="dxa"/>
              <w:right w:w="80" w:type="dxa"/>
            </w:tcMar>
          </w:tcPr>
          <w:p w14:paraId="3999F860" w14:textId="77777777" w:rsidR="000A5027" w:rsidRDefault="000A5027">
            <w:pPr>
              <w:pStyle w:val="Tabletext"/>
            </w:pPr>
            <w:r>
              <w:t>Information Publication Scheme Statement</w:t>
            </w:r>
          </w:p>
        </w:tc>
        <w:tc>
          <w:tcPr>
            <w:tcW w:w="2126" w:type="dxa"/>
            <w:tcBorders>
              <w:top w:val="single" w:sz="2" w:space="0" w:color="72725E"/>
              <w:left w:val="single" w:sz="6" w:space="0" w:color="000000"/>
              <w:bottom w:val="single" w:sz="2" w:space="0" w:color="72725E"/>
              <w:right w:val="single" w:sz="6" w:space="0" w:color="FFFFFF"/>
            </w:tcBorders>
            <w:shd w:val="solid" w:color="EAE8E2" w:fill="auto"/>
            <w:tcMar>
              <w:top w:w="113" w:type="dxa"/>
              <w:left w:w="113" w:type="dxa"/>
              <w:bottom w:w="113" w:type="dxa"/>
              <w:right w:w="80" w:type="dxa"/>
            </w:tcMar>
          </w:tcPr>
          <w:p w14:paraId="62DA3BD6" w14:textId="77777777" w:rsidR="000A5027" w:rsidRDefault="000A5027">
            <w:pPr>
              <w:pStyle w:val="Tabletext"/>
            </w:pPr>
            <w:r>
              <w:t>Freedom of Information</w:t>
            </w:r>
          </w:p>
        </w:tc>
        <w:tc>
          <w:tcPr>
            <w:tcW w:w="694" w:type="dxa"/>
            <w:tcBorders>
              <w:top w:val="single" w:sz="2" w:space="0" w:color="72725E"/>
              <w:left w:val="single" w:sz="6" w:space="0" w:color="FFFFFF"/>
              <w:bottom w:val="single" w:sz="2" w:space="0" w:color="72725E"/>
              <w:right w:val="single" w:sz="6" w:space="0" w:color="000000"/>
            </w:tcBorders>
            <w:shd w:val="solid" w:color="EAE8E2" w:fill="auto"/>
            <w:tcMar>
              <w:top w:w="113" w:type="dxa"/>
              <w:left w:w="113" w:type="dxa"/>
              <w:bottom w:w="113" w:type="dxa"/>
              <w:right w:w="80" w:type="dxa"/>
            </w:tcMar>
          </w:tcPr>
          <w:p w14:paraId="69366D16" w14:textId="77777777" w:rsidR="000A5027" w:rsidRDefault="000A5027">
            <w:pPr>
              <w:pStyle w:val="Tabletext"/>
            </w:pPr>
            <w:r>
              <w:t>134</w:t>
            </w:r>
          </w:p>
        </w:tc>
      </w:tr>
    </w:tbl>
    <w:p w14:paraId="767CD7DA" w14:textId="77777777" w:rsidR="000A5027" w:rsidRDefault="000A5027" w:rsidP="000A5027">
      <w:pPr>
        <w:pStyle w:val="BodyCopy"/>
        <w:rPr>
          <w:sz w:val="30"/>
          <w:szCs w:val="30"/>
        </w:rPr>
      </w:pPr>
    </w:p>
    <w:p w14:paraId="4F77AB38" w14:textId="77777777" w:rsidR="00481AAF" w:rsidRPr="00481AAF" w:rsidRDefault="00481AAF" w:rsidP="00481AAF"/>
    <w:sectPr w:rsidR="00481AAF" w:rsidRPr="00481AAF" w:rsidSect="0083526C">
      <w:headerReference w:type="default" r:id="rId34"/>
      <w:pgSz w:w="12240" w:h="15840"/>
      <w:pgMar w:top="720" w:right="720" w:bottom="720" w:left="72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519833" w14:textId="77777777" w:rsidR="00610EF5" w:rsidRDefault="00610EF5" w:rsidP="004E7E65">
      <w:pPr>
        <w:spacing w:before="0" w:after="0" w:line="240" w:lineRule="auto"/>
      </w:pPr>
      <w:r>
        <w:separator/>
      </w:r>
    </w:p>
  </w:endnote>
  <w:endnote w:type="continuationSeparator" w:id="0">
    <w:p w14:paraId="7829A7A1" w14:textId="77777777" w:rsidR="00610EF5" w:rsidRDefault="00610EF5" w:rsidP="004E7E6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Arial Bold">
    <w:altName w:val="Arial"/>
    <w:charset w:val="00"/>
    <w:family w:val="auto"/>
    <w:pitch w:val="variable"/>
    <w:sig w:usb0="E0002AFF" w:usb1="C0007843" w:usb2="00000009" w:usb3="00000000" w:csb0="000001FF" w:csb1="00000000"/>
  </w:font>
  <w:font w:name="MinionPro-Regular">
    <w:altName w:val="Minion Pro"/>
    <w:charset w:val="00"/>
    <w:family w:val="auto"/>
    <w:pitch w:val="variable"/>
    <w:sig w:usb0="60000287" w:usb1="00000001" w:usb2="00000000" w:usb3="00000000" w:csb0="0000019F" w:csb1="00000000"/>
  </w:font>
  <w:font w:name="FSMePro-Bold">
    <w:altName w:val="FS Me Pro"/>
    <w:charset w:val="00"/>
    <w:family w:val="auto"/>
    <w:pitch w:val="variable"/>
    <w:sig w:usb0="A00002EF" w:usb1="4000606A" w:usb2="00000000" w:usb3="00000000" w:csb0="0000009F" w:csb1="00000000"/>
  </w:font>
  <w:font w:name="FSMePro-LightItalic">
    <w:altName w:val="FS Me Pro Light"/>
    <w:charset w:val="00"/>
    <w:family w:val="auto"/>
    <w:pitch w:val="variable"/>
    <w:sig w:usb0="A00002EF" w:usb1="4000606A" w:usb2="00000000" w:usb3="00000000" w:csb0="0000009F" w:csb1="00000000"/>
  </w:font>
  <w:font w:name="FSMePro-Light">
    <w:charset w:val="00"/>
    <w:family w:val="auto"/>
    <w:pitch w:val="variable"/>
    <w:sig w:usb0="A00002EF" w:usb1="4000606A" w:usb2="00000000" w:usb3="00000000" w:csb0="0000009F" w:csb1="00000000"/>
  </w:font>
  <w:font w:name="FSMePro-BoldItalic">
    <w:altName w:val="FS Me Pro"/>
    <w:charset w:val="00"/>
    <w:family w:val="auto"/>
    <w:pitch w:val="variable"/>
    <w:sig w:usb0="A00002EF" w:usb1="4000606A" w:usb2="00000000" w:usb3="00000000" w:csb0="0000009F" w:csb1="00000000"/>
  </w:font>
  <w:font w:name="FSMePro">
    <w:altName w:val="FS Me Pro"/>
    <w:charset w:val="00"/>
    <w:family w:val="auto"/>
    <w:pitch w:val="variable"/>
    <w:sig w:usb0="A00002EF" w:usb1="4000606A" w:usb2="00000000" w:usb3="00000000" w:csb0="0000009F" w:csb1="00000000"/>
  </w:font>
  <w:font w:name="Tahoma">
    <w:panose1 w:val="020B0604030504040204"/>
    <w:charset w:val="00"/>
    <w:family w:val="auto"/>
    <w:pitch w:val="variable"/>
    <w:sig w:usb0="E1002EFF" w:usb1="C000605B" w:usb2="00000029" w:usb3="00000000" w:csb0="000101FF" w:csb1="00000000"/>
  </w:font>
  <w:font w:name="Calisto MT">
    <w:panose1 w:val="02040603050505030304"/>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MS Mincho">
    <w:panose1 w:val="02020609040205080304"/>
    <w:charset w:val="80"/>
    <w:family w:val="auto"/>
    <w:pitch w:val="variable"/>
    <w:sig w:usb0="E00002FF" w:usb1="6AC7FDFB" w:usb2="08000012" w:usb3="00000000" w:csb0="0002009F" w:csb1="00000000"/>
  </w:font>
  <w:font w:name="FSMePro-Italic">
    <w:altName w:val="FS Me Pro"/>
    <w:charset w:val="00"/>
    <w:family w:val="auto"/>
    <w:pitch w:val="variable"/>
    <w:sig w:usb0="A00002EF" w:usb1="4000606A" w:usb2="00000000" w:usb3="00000000" w:csb0="0000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5393290"/>
      <w:docPartObj>
        <w:docPartGallery w:val="Page Numbers (Bottom of Page)"/>
        <w:docPartUnique/>
      </w:docPartObj>
    </w:sdtPr>
    <w:sdtEndPr>
      <w:rPr>
        <w:noProof/>
      </w:rPr>
    </w:sdtEndPr>
    <w:sdtContent>
      <w:p w14:paraId="55A7A676" w14:textId="7310B48E" w:rsidR="005730B4" w:rsidRDefault="005730B4" w:rsidP="0026214C">
        <w:pPr>
          <w:pStyle w:val="Footer"/>
          <w:jc w:val="right"/>
        </w:pPr>
        <w:r w:rsidRPr="000677D3">
          <w:rPr>
            <w:rFonts w:ascii="Arial" w:hAnsi="Arial" w:cs="Arial"/>
            <w:sz w:val="18"/>
            <w:szCs w:val="18"/>
          </w:rPr>
          <w:fldChar w:fldCharType="begin"/>
        </w:r>
        <w:r w:rsidRPr="000677D3">
          <w:rPr>
            <w:rFonts w:ascii="Arial" w:hAnsi="Arial" w:cs="Arial"/>
            <w:sz w:val="18"/>
            <w:szCs w:val="18"/>
          </w:rPr>
          <w:instrText xml:space="preserve"> PAGE   \* MERGEFORMAT </w:instrText>
        </w:r>
        <w:r w:rsidRPr="000677D3">
          <w:rPr>
            <w:rFonts w:ascii="Arial" w:hAnsi="Arial" w:cs="Arial"/>
            <w:sz w:val="18"/>
            <w:szCs w:val="18"/>
          </w:rPr>
          <w:fldChar w:fldCharType="separate"/>
        </w:r>
        <w:r w:rsidR="001F425B">
          <w:rPr>
            <w:rFonts w:ascii="Arial" w:hAnsi="Arial" w:cs="Arial"/>
            <w:noProof/>
            <w:sz w:val="18"/>
            <w:szCs w:val="18"/>
          </w:rPr>
          <w:t>141</w:t>
        </w:r>
        <w:r w:rsidRPr="000677D3">
          <w:rPr>
            <w:rFonts w:ascii="Arial" w:hAnsi="Arial" w:cs="Arial"/>
            <w:noProof/>
            <w:sz w:val="18"/>
            <w:szCs w:val="18"/>
          </w:rPr>
          <w:fldChar w:fldCharType="end"/>
        </w:r>
      </w:p>
    </w:sdtContent>
  </w:sdt>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1686372"/>
      <w:docPartObj>
        <w:docPartGallery w:val="Page Numbers (Bottom of Page)"/>
        <w:docPartUnique/>
      </w:docPartObj>
    </w:sdtPr>
    <w:sdtEndPr>
      <w:rPr>
        <w:noProof/>
      </w:rPr>
    </w:sdtEndPr>
    <w:sdtContent>
      <w:p w14:paraId="048C8FEA" w14:textId="77777777" w:rsidR="00521622" w:rsidRDefault="00521622">
        <w:pPr>
          <w:pStyle w:val="Footer"/>
          <w:jc w:val="right"/>
        </w:pPr>
        <w:r w:rsidRPr="000677D3">
          <w:rPr>
            <w:rFonts w:ascii="Arial" w:hAnsi="Arial" w:cs="Arial"/>
            <w:sz w:val="18"/>
            <w:szCs w:val="18"/>
          </w:rPr>
          <w:fldChar w:fldCharType="begin"/>
        </w:r>
        <w:r w:rsidRPr="000677D3">
          <w:rPr>
            <w:rFonts w:ascii="Arial" w:hAnsi="Arial" w:cs="Arial"/>
            <w:sz w:val="18"/>
            <w:szCs w:val="18"/>
          </w:rPr>
          <w:instrText xml:space="preserve"> PAGE   \* MERGEFORMAT </w:instrText>
        </w:r>
        <w:r w:rsidRPr="000677D3">
          <w:rPr>
            <w:rFonts w:ascii="Arial" w:hAnsi="Arial" w:cs="Arial"/>
            <w:sz w:val="18"/>
            <w:szCs w:val="18"/>
          </w:rPr>
          <w:fldChar w:fldCharType="separate"/>
        </w:r>
        <w:r w:rsidR="001F425B">
          <w:rPr>
            <w:rFonts w:ascii="Arial" w:hAnsi="Arial" w:cs="Arial"/>
            <w:noProof/>
            <w:sz w:val="18"/>
            <w:szCs w:val="18"/>
          </w:rPr>
          <w:t>219</w:t>
        </w:r>
        <w:r w:rsidRPr="000677D3">
          <w:rPr>
            <w:rFonts w:ascii="Arial" w:hAnsi="Arial" w:cs="Arial"/>
            <w:noProof/>
            <w:sz w:val="18"/>
            <w:szCs w:val="18"/>
          </w:rPr>
          <w:fldChar w:fldCharType="end"/>
        </w:r>
      </w:p>
    </w:sdtContent>
  </w:sdt>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2D3AFC" w14:textId="77777777" w:rsidR="00610EF5" w:rsidRDefault="00610EF5" w:rsidP="004E7E65">
      <w:pPr>
        <w:spacing w:before="0" w:after="0" w:line="240" w:lineRule="auto"/>
      </w:pPr>
      <w:r>
        <w:separator/>
      </w:r>
    </w:p>
  </w:footnote>
  <w:footnote w:type="continuationSeparator" w:id="0">
    <w:p w14:paraId="6A3ED2E4" w14:textId="77777777" w:rsidR="00610EF5" w:rsidRDefault="00610EF5" w:rsidP="004E7E65">
      <w:pPr>
        <w:spacing w:before="0" w:after="0" w:line="240" w:lineRule="auto"/>
      </w:pPr>
      <w:r>
        <w:continuationSeparator/>
      </w:r>
    </w:p>
  </w:footnote>
  <w:footnote w:id="1">
    <w:p w14:paraId="781E667A" w14:textId="0C77D3FB" w:rsidR="00C665F1" w:rsidRDefault="00C665F1">
      <w:pPr>
        <w:pStyle w:val="FootnoteText"/>
      </w:pPr>
      <w:r>
        <w:rPr>
          <w:rStyle w:val="FootnoteReference"/>
        </w:rPr>
        <w:footnoteRef/>
      </w:r>
      <w:r>
        <w:t xml:space="preserve"> </w:t>
      </w:r>
      <w:r>
        <w:t>www.ndis.gov.au</w:t>
      </w:r>
    </w:p>
  </w:footnote>
  <w:footnote w:id="2">
    <w:p w14:paraId="147D3B06" w14:textId="77777777" w:rsidR="00521622" w:rsidRDefault="00521622" w:rsidP="004E7E65">
      <w:pPr>
        <w:pStyle w:val="Footnote"/>
      </w:pPr>
      <w:r>
        <w:rPr>
          <w:vertAlign w:val="superscript"/>
        </w:rPr>
        <w:footnoteRef/>
      </w:r>
      <w:r>
        <w:t xml:space="preserve"> |</w:t>
      </w:r>
      <w:r>
        <w:tab/>
        <w:t>Excludes special assessment setup and worn-hearing devices in the hearing equipment category. Figures based on NDIA actuarial team data on participants and plans, as at April 30 2015</w:t>
      </w:r>
    </w:p>
    <w:p w14:paraId="234E165F" w14:textId="77777777" w:rsidR="00521622" w:rsidRDefault="00521622" w:rsidP="004E7E65">
      <w:pPr>
        <w:pStyle w:val="Footnote"/>
      </w:pPr>
    </w:p>
  </w:footnote>
  <w:footnote w:id="3">
    <w:p w14:paraId="349DC7EB" w14:textId="3FE5DFD7" w:rsidR="00B05BED" w:rsidRDefault="00B05BED">
      <w:pPr>
        <w:pStyle w:val="FootnoteText"/>
      </w:pPr>
      <w:r>
        <w:rPr>
          <w:rStyle w:val="FootnoteReference"/>
        </w:rPr>
        <w:footnoteRef/>
      </w:r>
      <w:r>
        <w:t xml:space="preserve"> </w:t>
      </w:r>
      <w:r w:rsidRPr="00B05BED">
        <w:t>www.ndis.gov.au</w:t>
      </w:r>
    </w:p>
  </w:footnote>
  <w:footnote w:id="4">
    <w:p w14:paraId="1A057E68" w14:textId="398EA5C9" w:rsidR="004260CC" w:rsidRDefault="004260CC">
      <w:pPr>
        <w:pStyle w:val="FootnoteText"/>
      </w:pPr>
      <w:r>
        <w:rPr>
          <w:rStyle w:val="FootnoteReference"/>
        </w:rPr>
        <w:footnoteRef/>
      </w:r>
      <w:r>
        <w:t xml:space="preserve"> </w:t>
      </w:r>
      <w:r>
        <w:t>www.aph.gov.au</w:t>
      </w:r>
    </w:p>
  </w:footnote>
  <w:footnote w:id="5">
    <w:p w14:paraId="30FAE835" w14:textId="7382F728" w:rsidR="003D4273" w:rsidRDefault="003D4273">
      <w:pPr>
        <w:pStyle w:val="FootnoteText"/>
      </w:pPr>
      <w:r>
        <w:rPr>
          <w:rStyle w:val="FootnoteReference"/>
        </w:rPr>
        <w:footnoteRef/>
      </w:r>
      <w:r>
        <w:t xml:space="preserve"> </w:t>
      </w:r>
      <w:r>
        <w:t>www.finance.gov.au/procurement/statistics-oncommonwealth-purchasing-contracts</w:t>
      </w:r>
    </w:p>
  </w:footnote>
  <w:footnote w:id="6">
    <w:p w14:paraId="71BB2E05" w14:textId="7FDAAD64" w:rsidR="001F425B" w:rsidRDefault="001F425B">
      <w:pPr>
        <w:pStyle w:val="FootnoteText"/>
      </w:pPr>
      <w:r>
        <w:rPr>
          <w:rStyle w:val="FootnoteReference"/>
        </w:rPr>
        <w:footnoteRef/>
      </w:r>
      <w:r>
        <w:t xml:space="preserve"> </w:t>
      </w:r>
      <w:r>
        <w:t>www.treasury.gov.au</w:t>
      </w:r>
      <w:bookmarkStart w:id="86" w:name="_GoBack"/>
      <w:bookmarkEnd w:id="86"/>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758B0E" w14:textId="77777777" w:rsidR="00521622" w:rsidRDefault="00521622">
    <w:pPr>
      <w:pStyle w:val="Header"/>
    </w:pPr>
  </w:p>
</w:hdr>
</file>

<file path=word/header10.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480588" w14:textId="77777777" w:rsidR="00521622" w:rsidRDefault="00521622">
    <w:pPr>
      <w:pStyle w:val="Header"/>
    </w:pPr>
  </w:p>
</w:hdr>
</file>

<file path=word/header1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1E2579" w14:textId="77777777" w:rsidR="00521622" w:rsidRPr="00990DB5" w:rsidRDefault="00521622" w:rsidP="007211E3">
    <w:pPr>
      <w:pStyle w:val="StatementHeading"/>
      <w:rPr>
        <w:szCs w:val="24"/>
      </w:rPr>
    </w:pPr>
    <w:fldSimple w:instr=" DOCPROPERTY  longName  \* MERGEFORMAT ">
      <w:r w:rsidRPr="00F337D2">
        <w:rPr>
          <w:szCs w:val="24"/>
        </w:rPr>
        <w:t>National Disability Insurance Scheme</w:t>
      </w:r>
      <w:r>
        <w:t xml:space="preserve"> Launch Transition Agency</w:t>
      </w:r>
    </w:fldSimple>
  </w:p>
  <w:p w14:paraId="059060F6" w14:textId="77777777" w:rsidR="00521622" w:rsidRPr="00990DB5" w:rsidRDefault="00521622" w:rsidP="007211E3">
    <w:pPr>
      <w:pStyle w:val="StatementHeading"/>
      <w:rPr>
        <w:szCs w:val="24"/>
      </w:rPr>
    </w:pPr>
    <w:r>
      <w:rPr>
        <w:szCs w:val="24"/>
      </w:rPr>
      <w:t>STATEMENT OF CHANGES IN EQUITY</w:t>
    </w:r>
    <w:r w:rsidRPr="00990DB5">
      <w:rPr>
        <w:szCs w:val="24"/>
      </w:rPr>
      <w:t xml:space="preserve"> </w:t>
    </w:r>
  </w:p>
  <w:p w14:paraId="0EE47438" w14:textId="77777777" w:rsidR="00521622" w:rsidRDefault="00521622" w:rsidP="007211E3">
    <w:pPr>
      <w:pStyle w:val="StatementDateHeader"/>
    </w:pPr>
    <w:r w:rsidRPr="00245204">
      <w:rPr>
        <w:rFonts w:cs="Arial"/>
        <w:szCs w:val="24"/>
      </w:rPr>
      <w:t xml:space="preserve">for the </w:t>
    </w:r>
    <w:r>
      <w:rPr>
        <w:rFonts w:cs="Arial"/>
        <w:szCs w:val="24"/>
      </w:rPr>
      <w:t xml:space="preserve">period ended </w:t>
    </w:r>
    <w:fldSimple w:instr=" DOCPROPERTY  pEnd  \* MERGEFORMAT ">
      <w:r>
        <w:t>30 June</w:t>
      </w:r>
    </w:fldSimple>
    <w:r>
      <w:t xml:space="preserve"> </w:t>
    </w:r>
    <w:fldSimple w:instr=" DOCPROPERTY  crYear  \* MERGEFORMAT ">
      <w:r w:rsidRPr="00F337D2">
        <w:rPr>
          <w:rFonts w:cs="Arial"/>
          <w:szCs w:val="24"/>
        </w:rPr>
        <w:t>2016</w:t>
      </w:r>
    </w:fldSimple>
  </w:p>
  <w:p w14:paraId="6D4B3A52" w14:textId="77777777" w:rsidR="00521622" w:rsidRPr="00245204" w:rsidRDefault="00521622" w:rsidP="007211E3">
    <w:pPr>
      <w:rPr>
        <w:rFonts w:ascii="Arial" w:hAnsi="Arial" w:cs="Arial"/>
        <w:i/>
        <w:sz w:val="24"/>
      </w:rPr>
    </w:pPr>
  </w:p>
</w:hdr>
</file>

<file path=word/header1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3E4918" w14:textId="77777777" w:rsidR="00521622" w:rsidRDefault="00521622">
    <w:pPr>
      <w:pStyle w:val="Header"/>
    </w:pPr>
  </w:p>
</w:hdr>
</file>

<file path=word/header1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10836B" w14:textId="77777777" w:rsidR="00521622" w:rsidRDefault="00521622">
    <w:pPr>
      <w:pStyle w:val="Header"/>
    </w:pPr>
  </w:p>
</w:hdr>
</file>

<file path=word/header1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CF7B9B" w14:textId="77777777" w:rsidR="00521622" w:rsidRPr="00990DB5" w:rsidRDefault="00521622" w:rsidP="007211E3">
    <w:pPr>
      <w:pStyle w:val="StatementHeading"/>
      <w:rPr>
        <w:szCs w:val="24"/>
      </w:rPr>
    </w:pPr>
    <w:fldSimple w:instr=" DOCPROPERTY  longName  \* MERGEFORMAT ">
      <w:r w:rsidRPr="00F337D2">
        <w:rPr>
          <w:szCs w:val="24"/>
        </w:rPr>
        <w:t>National Disability Insurance Scheme</w:t>
      </w:r>
      <w:r>
        <w:t xml:space="preserve"> Launch Transition Agency</w:t>
      </w:r>
    </w:fldSimple>
  </w:p>
  <w:p w14:paraId="4DC5BE5A" w14:textId="77777777" w:rsidR="00521622" w:rsidRDefault="00521622" w:rsidP="007211E3">
    <w:pPr>
      <w:pStyle w:val="StatementHeading"/>
      <w:rPr>
        <w:rFonts w:cs="Arial"/>
        <w:szCs w:val="24"/>
      </w:rPr>
    </w:pPr>
    <w:r>
      <w:rPr>
        <w:szCs w:val="24"/>
      </w:rPr>
      <w:t>CASH FLOW STATEMENT</w:t>
    </w:r>
  </w:p>
  <w:p w14:paraId="362462C1" w14:textId="77777777" w:rsidR="00521622" w:rsidRPr="00990DB5" w:rsidRDefault="00521622" w:rsidP="007211E3">
    <w:pPr>
      <w:pStyle w:val="StatementDateHeader"/>
    </w:pPr>
    <w:r>
      <w:rPr>
        <w:szCs w:val="24"/>
      </w:rPr>
      <w:t>For the period ended</w:t>
    </w:r>
    <w:r w:rsidRPr="00990DB5">
      <w:rPr>
        <w:szCs w:val="24"/>
      </w:rPr>
      <w:t xml:space="preserve"> </w:t>
    </w:r>
    <w:fldSimple w:instr=" DOCPROPERTY  pEnd  \* MERGEFORMAT ">
      <w:r>
        <w:t>30 June</w:t>
      </w:r>
    </w:fldSimple>
    <w:r w:rsidRPr="00990DB5">
      <w:rPr>
        <w:szCs w:val="24"/>
      </w:rPr>
      <w:t xml:space="preserve"> </w:t>
    </w:r>
    <w:fldSimple w:instr=" DOCPROPERTY  crYear  \* MERGEFORMAT ">
      <w:r w:rsidRPr="00F337D2">
        <w:rPr>
          <w:szCs w:val="24"/>
        </w:rPr>
        <w:t>2016</w:t>
      </w:r>
    </w:fldSimple>
  </w:p>
  <w:p w14:paraId="2CED5AB5" w14:textId="77777777" w:rsidR="00521622" w:rsidRPr="00C97330" w:rsidRDefault="00521622" w:rsidP="007211E3">
    <w:pPr>
      <w:rPr>
        <w:rFonts w:ascii="Arial" w:hAnsi="Arial" w:cs="Arial"/>
        <w:b/>
        <w:sz w:val="24"/>
      </w:rPr>
    </w:pPr>
  </w:p>
</w:hdr>
</file>

<file path=word/header1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D7131C" w14:textId="77777777" w:rsidR="00521622" w:rsidRDefault="00521622">
    <w:pPr>
      <w:pStyle w:val="Header"/>
    </w:pPr>
  </w:p>
</w:hdr>
</file>

<file path=word/header1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3FED12" w14:textId="77777777" w:rsidR="00521622" w:rsidRDefault="00521622">
    <w:pPr>
      <w:pStyle w:val="Header"/>
    </w:pPr>
  </w:p>
</w:hdr>
</file>

<file path=word/header1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0F1C44" w14:textId="77777777" w:rsidR="00521622" w:rsidRPr="00990DB5" w:rsidRDefault="00521622" w:rsidP="007211E3">
    <w:pPr>
      <w:pStyle w:val="StatementHeading"/>
      <w:rPr>
        <w:szCs w:val="24"/>
      </w:rPr>
    </w:pPr>
    <w:fldSimple w:instr=" DOCPROPERTY  longName  \* MERGEFORMAT ">
      <w:r w:rsidRPr="00F337D2">
        <w:rPr>
          <w:szCs w:val="24"/>
        </w:rPr>
        <w:t>National Disability Insurance Scheme</w:t>
      </w:r>
      <w:r>
        <w:t xml:space="preserve"> Launch Transition Agency</w:t>
      </w:r>
    </w:fldSimple>
  </w:p>
  <w:p w14:paraId="51BC0FCE" w14:textId="77777777" w:rsidR="00521622" w:rsidRPr="00990DB5" w:rsidRDefault="00521622" w:rsidP="007211E3">
    <w:pPr>
      <w:pStyle w:val="StatementName"/>
    </w:pPr>
    <w:r w:rsidRPr="00990DB5">
      <w:t>NOTES TO AND FORMING PART OF THE FINANCIAL STATEMENTS</w:t>
    </w:r>
  </w:p>
  <w:p w14:paraId="36B72708" w14:textId="77777777" w:rsidR="00521622" w:rsidRPr="00F02C4F" w:rsidRDefault="00521622" w:rsidP="007211E3">
    <w:pPr>
      <w:rPr>
        <w:rFonts w:ascii="Arial" w:hAnsi="Arial" w:cs="Arial"/>
        <w:b/>
        <w:sz w:val="14"/>
        <w:szCs w:val="14"/>
      </w:rPr>
    </w:pPr>
  </w:p>
</w:hdr>
</file>

<file path=word/header18.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E9EB7C" w14:textId="77777777" w:rsidR="00521622" w:rsidRDefault="00521622">
    <w:pPr>
      <w:pStyle w:val="Header"/>
    </w:pPr>
  </w:p>
</w:hdr>
</file>

<file path=word/header19.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8C87D" w14:textId="4D0DD202" w:rsidR="00521622" w:rsidRPr="002C7749" w:rsidRDefault="00521622" w:rsidP="002C7749">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27F82B" w14:textId="77777777" w:rsidR="00521622" w:rsidRDefault="00521622" w:rsidP="007211E3">
    <w:pPr>
      <w:pStyle w:val="StatementHeading"/>
      <w:rPr>
        <w:rFonts w:cs="Arial"/>
        <w:szCs w:val="24"/>
      </w:rPr>
    </w:pPr>
    <w:fldSimple w:instr=" DOCPROPERTY  longName  \* MERGEFORMAT ">
      <w:r w:rsidRPr="00F337D2">
        <w:rPr>
          <w:rFonts w:cs="Arial"/>
          <w:szCs w:val="24"/>
        </w:rPr>
        <w:t>National Disability</w:t>
      </w:r>
      <w:r>
        <w:t xml:space="preserve"> </w:t>
      </w:r>
      <w:r w:rsidRPr="00F337D2">
        <w:rPr>
          <w:rFonts w:cs="Arial"/>
          <w:szCs w:val="24"/>
        </w:rPr>
        <w:t>Insurance Scheme</w:t>
      </w:r>
      <w:r>
        <w:t xml:space="preserve"> Launch Transition Agency</w:t>
      </w:r>
    </w:fldSimple>
  </w:p>
  <w:p w14:paraId="646858BE" w14:textId="77777777" w:rsidR="00521622" w:rsidRDefault="00521622" w:rsidP="007211E3">
    <w:pPr>
      <w:pStyle w:val="StatementHeading"/>
    </w:pPr>
    <w:r>
      <w:t>STATEMENT BY THE CHAIRMAN OF THE BOARD, CHIEF EXECUTIVE OFFICER, CHIEF FINANCIAL OFFICER AND CHAIRMAN OF THE AUDIT, RISK AND FINANCE COMMITTEE</w:t>
    </w:r>
  </w:p>
  <w:p w14:paraId="12216A09" w14:textId="77777777" w:rsidR="00521622" w:rsidRDefault="00521622"/>
</w:hdr>
</file>

<file path=word/header20.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F4E617" w14:textId="3D2BC4B1" w:rsidR="00521622" w:rsidRPr="002C7749" w:rsidRDefault="00521622">
    <w:pPr>
      <w:pStyle w:val="Header"/>
      <w:rPr>
        <w:lang w:val="en-AU"/>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8B48AF" w14:textId="77777777" w:rsidR="00521622" w:rsidRDefault="00521622">
    <w:pPr>
      <w:pStyle w:val="Header"/>
    </w:pP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BE848B" w14:textId="77777777" w:rsidR="00521622" w:rsidRDefault="00521622">
    <w:pPr>
      <w:pStyle w:val="Header"/>
    </w:pPr>
  </w:p>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3E6BD3" w14:textId="77777777" w:rsidR="00521622" w:rsidRDefault="00521622" w:rsidP="007211E3">
    <w:pPr>
      <w:pStyle w:val="StatementHeading"/>
      <w:rPr>
        <w:rFonts w:cs="Arial"/>
        <w:szCs w:val="24"/>
      </w:rPr>
    </w:pPr>
    <w:fldSimple w:instr=" DOCPROPERTY  longName  \* MERGEFORMAT ">
      <w:r w:rsidRPr="00F337D2">
        <w:rPr>
          <w:rFonts w:cs="Arial"/>
          <w:szCs w:val="24"/>
        </w:rPr>
        <w:t>National Disability</w:t>
      </w:r>
      <w:r>
        <w:t xml:space="preserve"> </w:t>
      </w:r>
      <w:r w:rsidRPr="00F337D2">
        <w:rPr>
          <w:rFonts w:cs="Arial"/>
          <w:szCs w:val="24"/>
        </w:rPr>
        <w:t>Insurance Scheme</w:t>
      </w:r>
      <w:r>
        <w:t xml:space="preserve"> Launch Transition Agency</w:t>
      </w:r>
    </w:fldSimple>
    <w:r>
      <w:tab/>
    </w:r>
  </w:p>
  <w:p w14:paraId="09BB3541" w14:textId="77777777" w:rsidR="00521622" w:rsidRDefault="00521622" w:rsidP="007211E3">
    <w:pPr>
      <w:pStyle w:val="StatementHeading"/>
      <w:rPr>
        <w:rFonts w:cs="Arial"/>
        <w:szCs w:val="24"/>
      </w:rPr>
    </w:pPr>
    <w:r>
      <w:rPr>
        <w:rFonts w:cs="Arial"/>
        <w:szCs w:val="24"/>
      </w:rPr>
      <w:t>STATEMENT OF COMPREHENSIVE INCOME</w:t>
    </w:r>
  </w:p>
  <w:p w14:paraId="6DF6A98B" w14:textId="77777777" w:rsidR="00521622" w:rsidRDefault="00521622" w:rsidP="007211E3">
    <w:pPr>
      <w:pStyle w:val="StatementDateHeader"/>
    </w:pPr>
    <w:r>
      <w:rPr>
        <w:rFonts w:cs="Arial"/>
        <w:szCs w:val="24"/>
      </w:rPr>
      <w:t xml:space="preserve">for the period ended </w:t>
    </w:r>
    <w:fldSimple w:instr=" DOCPROPERTY  pEnd  \* MERGEFORMAT ">
      <w:r>
        <w:t>30 June</w:t>
      </w:r>
    </w:fldSimple>
    <w:r>
      <w:t xml:space="preserve"> </w:t>
    </w:r>
    <w:fldSimple w:instr=" DOCPROPERTY  crYear  \* MERGEFORMAT ">
      <w:r w:rsidRPr="00F337D2">
        <w:rPr>
          <w:rFonts w:cs="Arial"/>
          <w:szCs w:val="24"/>
        </w:rPr>
        <w:t>2016</w:t>
      </w:r>
    </w:fldSimple>
  </w:p>
  <w:p w14:paraId="2AD33CC6" w14:textId="77777777" w:rsidR="00521622" w:rsidRPr="00245204" w:rsidRDefault="00521622" w:rsidP="007211E3">
    <w:pPr>
      <w:rPr>
        <w:rFonts w:ascii="Arial" w:hAnsi="Arial" w:cs="Arial"/>
        <w:i/>
        <w:sz w:val="24"/>
      </w:rPr>
    </w:pPr>
  </w:p>
</w:hdr>
</file>

<file path=word/header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19F6F0" w14:textId="77777777" w:rsidR="00521622" w:rsidRDefault="00521622">
    <w:pPr>
      <w:pStyle w:val="Header"/>
    </w:pPr>
  </w:p>
</w:hdr>
</file>

<file path=word/header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9FECF6" w14:textId="77777777" w:rsidR="00521622" w:rsidRDefault="00521622">
    <w:pPr>
      <w:pStyle w:val="Header"/>
    </w:pPr>
  </w:p>
</w:hdr>
</file>

<file path=word/header8.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A6E122" w14:textId="77777777" w:rsidR="00521622" w:rsidRDefault="00521622" w:rsidP="007211E3">
    <w:pPr>
      <w:pStyle w:val="StatementHeading"/>
      <w:rPr>
        <w:rFonts w:cs="Arial"/>
        <w:szCs w:val="24"/>
      </w:rPr>
    </w:pPr>
    <w:fldSimple w:instr=" DOCPROPERTY  longName  \* MERGEFORMAT ">
      <w:r w:rsidRPr="00F337D2">
        <w:rPr>
          <w:rFonts w:cs="Arial"/>
          <w:szCs w:val="24"/>
        </w:rPr>
        <w:t>National Disability</w:t>
      </w:r>
      <w:r>
        <w:t xml:space="preserve"> </w:t>
      </w:r>
      <w:r w:rsidRPr="00F337D2">
        <w:rPr>
          <w:rFonts w:cs="Arial"/>
          <w:szCs w:val="24"/>
        </w:rPr>
        <w:t>Insurance Scheme</w:t>
      </w:r>
      <w:r>
        <w:t xml:space="preserve"> Launch Transition Agency</w:t>
      </w:r>
    </w:fldSimple>
  </w:p>
  <w:p w14:paraId="1617B7CF" w14:textId="77777777" w:rsidR="00521622" w:rsidRDefault="00521622" w:rsidP="007211E3">
    <w:pPr>
      <w:pStyle w:val="StatementHeading"/>
      <w:rPr>
        <w:rFonts w:cs="Arial"/>
        <w:szCs w:val="24"/>
      </w:rPr>
    </w:pPr>
    <w:r>
      <w:rPr>
        <w:rFonts w:cs="Arial"/>
        <w:szCs w:val="24"/>
      </w:rPr>
      <w:t>STATEMENT OF FINANCIAL POSITION</w:t>
    </w:r>
  </w:p>
  <w:p w14:paraId="26F34D9A" w14:textId="77777777" w:rsidR="00521622" w:rsidRDefault="00521622" w:rsidP="007211E3">
    <w:pPr>
      <w:pStyle w:val="StatementDateHeader"/>
    </w:pPr>
    <w:r>
      <w:rPr>
        <w:rFonts w:cs="Arial"/>
        <w:szCs w:val="24"/>
      </w:rPr>
      <w:t xml:space="preserve">as at </w:t>
    </w:r>
    <w:fldSimple w:instr=" DOCPROPERTY  pEnd  \* MERGEFORMAT ">
      <w:r>
        <w:t>30 June</w:t>
      </w:r>
    </w:fldSimple>
    <w:r>
      <w:t xml:space="preserve"> </w:t>
    </w:r>
    <w:fldSimple w:instr=" DOCPROPERTY  crYear  \* MERGEFORMAT ">
      <w:r w:rsidRPr="00F337D2">
        <w:rPr>
          <w:rFonts w:cs="Arial"/>
          <w:szCs w:val="24"/>
        </w:rPr>
        <w:t>2016</w:t>
      </w:r>
    </w:fldSimple>
  </w:p>
  <w:p w14:paraId="5EF4D8C5" w14:textId="77777777" w:rsidR="00521622" w:rsidRPr="00245204" w:rsidRDefault="00521622" w:rsidP="007211E3">
    <w:pPr>
      <w:rPr>
        <w:rFonts w:ascii="Arial" w:hAnsi="Arial" w:cs="Arial"/>
        <w:i/>
        <w:sz w:val="24"/>
      </w:rPr>
    </w:pPr>
  </w:p>
</w:hdr>
</file>

<file path=word/header9.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07CC23" w14:textId="77777777" w:rsidR="00521622" w:rsidRDefault="00521622">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F4F85"/>
    <w:multiLevelType w:val="multilevel"/>
    <w:tmpl w:val="4A2C09A0"/>
    <w:styleLink w:val="CurrentList2"/>
    <w:lvl w:ilvl="0">
      <w:start w:val="2"/>
      <w:numFmt w:val="decimal"/>
      <w:lvlText w:val="Note %1: "/>
      <w:lvlJc w:val="left"/>
      <w:pPr>
        <w:tabs>
          <w:tab w:val="num" w:pos="1352"/>
        </w:tabs>
        <w:ind w:left="1352" w:hanging="99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Note %1%2: "/>
      <w:lvlJc w:val="left"/>
      <w:pPr>
        <w:tabs>
          <w:tab w:val="num" w:pos="1532"/>
        </w:tabs>
        <w:ind w:left="1532" w:hanging="992"/>
      </w:pPr>
      <w:rPr>
        <w:rFonts w:ascii="Times New Roman" w:hAnsi="Times New Roman" w:cs="Times New Roman" w:hint="default"/>
        <w:b/>
        <w:i w:val="0"/>
        <w:color w:val="auto"/>
        <w:sz w:val="20"/>
        <w:szCs w:val="20"/>
        <w:u w:val="none"/>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
    <w:nsid w:val="1AD87B2A"/>
    <w:multiLevelType w:val="multilevel"/>
    <w:tmpl w:val="B1768912"/>
    <w:lvl w:ilvl="0">
      <w:start w:val="1"/>
      <w:numFmt w:val="decimal"/>
      <w:lvlText w:val="%1."/>
      <w:lvlJc w:val="left"/>
      <w:pPr>
        <w:ind w:left="360" w:hanging="360"/>
      </w:pPr>
      <w:rPr>
        <w:rFonts w:hint="default"/>
      </w:rPr>
    </w:lvl>
    <w:lvl w:ilvl="1">
      <w:start w:val="1"/>
      <w:numFmt w:val="decimal"/>
      <w:pStyle w:val="SubHeading"/>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CD95887"/>
    <w:multiLevelType w:val="multilevel"/>
    <w:tmpl w:val="4A2C09A0"/>
    <w:styleLink w:val="Style2"/>
    <w:lvl w:ilvl="0">
      <w:start w:val="1"/>
      <w:numFmt w:val="decimal"/>
      <w:lvlText w:val="Note %1: "/>
      <w:lvlJc w:val="left"/>
      <w:pPr>
        <w:tabs>
          <w:tab w:val="num" w:pos="992"/>
        </w:tabs>
        <w:ind w:left="992" w:hanging="99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Note %1%2: "/>
      <w:lvlJc w:val="left"/>
      <w:pPr>
        <w:tabs>
          <w:tab w:val="num" w:pos="1532"/>
        </w:tabs>
        <w:ind w:left="1532" w:hanging="992"/>
      </w:pPr>
      <w:rPr>
        <w:rFonts w:ascii="Times New Roman" w:hAnsi="Times New Roman" w:cs="Times New Roman" w:hint="default"/>
        <w:b/>
        <w:i w:val="0"/>
        <w:color w:val="auto"/>
        <w:sz w:val="20"/>
        <w:szCs w:val="20"/>
        <w:u w:val="none"/>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
    <w:nsid w:val="23257BB1"/>
    <w:multiLevelType w:val="multilevel"/>
    <w:tmpl w:val="8126F3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5840141"/>
    <w:multiLevelType w:val="hybridMultilevel"/>
    <w:tmpl w:val="A0B4B79E"/>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5">
    <w:nsid w:val="320D4C11"/>
    <w:multiLevelType w:val="hybridMultilevel"/>
    <w:tmpl w:val="0E6E0DEC"/>
    <w:lvl w:ilvl="0" w:tplc="446430D6">
      <w:numFmt w:val="bullet"/>
      <w:lvlText w:val="-"/>
      <w:lvlJc w:val="left"/>
      <w:pPr>
        <w:ind w:left="360" w:hanging="360"/>
      </w:pPr>
      <w:rPr>
        <w:rFonts w:ascii="Arial" w:eastAsia="Times New Roman"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nsid w:val="35D43B4C"/>
    <w:multiLevelType w:val="hybridMultilevel"/>
    <w:tmpl w:val="CE74AC2C"/>
    <w:lvl w:ilvl="0" w:tplc="1FE8826C">
      <w:start w:val="1"/>
      <w:numFmt w:val="decimal"/>
      <w:pStyle w:val="BodyLargeNumberedList"/>
      <w:lvlText w:val="%1."/>
      <w:lvlJc w:val="left"/>
      <w:pPr>
        <w:ind w:left="70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C510AE4"/>
    <w:multiLevelType w:val="hybridMultilevel"/>
    <w:tmpl w:val="0C5EB2DE"/>
    <w:lvl w:ilvl="0" w:tplc="1DBABB80">
      <w:start w:val="1"/>
      <w:numFmt w:val="bullet"/>
      <w:pStyle w:val="Body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3053CB8"/>
    <w:multiLevelType w:val="multilevel"/>
    <w:tmpl w:val="01C64C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53134884"/>
    <w:multiLevelType w:val="multilevel"/>
    <w:tmpl w:val="D36A06DA"/>
    <w:lvl w:ilvl="0">
      <w:start w:val="1"/>
      <w:numFmt w:val="decimal"/>
      <w:pStyle w:val="SectionHeading"/>
      <w:suff w:val="space"/>
      <w:lvlText w:val="%1."/>
      <w:lvlJc w:val="left"/>
      <w:pPr>
        <w:ind w:left="360" w:hanging="360"/>
      </w:pPr>
      <w:rPr>
        <w:rFonts w:hint="default"/>
        <w:b w:val="0"/>
        <w:bCs w:val="0"/>
        <w:i w:val="0"/>
        <w:iCs w:val="0"/>
        <w:caps w:val="0"/>
        <w:smallCaps w:val="0"/>
        <w:strike w:val="0"/>
        <w:dstrike w:val="0"/>
        <w:noProof w:val="0"/>
        <w:vanish w:val="0"/>
        <w:color w:val="FFFFFF" w:themeColor="background1"/>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1."/>
      <w:lvlJc w:val="left"/>
      <w:pPr>
        <w:ind w:left="79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53AB1B68"/>
    <w:multiLevelType w:val="hybridMultilevel"/>
    <w:tmpl w:val="392825F0"/>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nsid w:val="53F11459"/>
    <w:multiLevelType w:val="hybridMultilevel"/>
    <w:tmpl w:val="8BBAF510"/>
    <w:lvl w:ilvl="0" w:tplc="2BDCFC7C">
      <w:start w:val="1"/>
      <w:numFmt w:val="bullet"/>
      <w:pStyle w:val="BodyBullets-la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85F6A5F"/>
    <w:multiLevelType w:val="multilevel"/>
    <w:tmpl w:val="4A2C09A0"/>
    <w:styleLink w:val="CurrentList1"/>
    <w:lvl w:ilvl="0">
      <w:start w:val="1"/>
      <w:numFmt w:val="decimal"/>
      <w:lvlText w:val="Note %1: "/>
      <w:lvlJc w:val="left"/>
      <w:pPr>
        <w:tabs>
          <w:tab w:val="num" w:pos="992"/>
        </w:tabs>
        <w:ind w:left="992" w:hanging="99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Note %1%2: "/>
      <w:lvlJc w:val="left"/>
      <w:pPr>
        <w:tabs>
          <w:tab w:val="num" w:pos="1532"/>
        </w:tabs>
        <w:ind w:left="1532" w:hanging="992"/>
      </w:pPr>
      <w:rPr>
        <w:rFonts w:ascii="Times New Roman" w:hAnsi="Times New Roman" w:cs="Times New Roman" w:hint="default"/>
        <w:b/>
        <w:i w:val="0"/>
        <w:color w:val="auto"/>
        <w:sz w:val="20"/>
        <w:szCs w:val="20"/>
        <w:u w:val="none"/>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3">
    <w:nsid w:val="64C82B88"/>
    <w:multiLevelType w:val="hybridMultilevel"/>
    <w:tmpl w:val="D8C6AFB8"/>
    <w:lvl w:ilvl="0" w:tplc="FF66AD38">
      <w:start w:val="1"/>
      <w:numFmt w:val="decimal"/>
      <w:pStyle w:val="Body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A01767D"/>
    <w:multiLevelType w:val="multilevel"/>
    <w:tmpl w:val="74427506"/>
    <w:lvl w:ilvl="0">
      <w:start w:val="1"/>
      <w:numFmt w:val="decimal"/>
      <w:lvlText w:val="%1"/>
      <w:lvlJc w:val="left"/>
      <w:pPr>
        <w:ind w:left="360" w:hanging="360"/>
      </w:pPr>
      <w:rPr>
        <w:rFonts w:hint="default"/>
      </w:rPr>
    </w:lvl>
    <w:lvl w:ilvl="1">
      <w:start w:val="1"/>
      <w:numFmt w:val="decimal"/>
      <w:pStyle w:val="StyleNotesHeaderLeftLeft-008cm"/>
      <w:lvlText w:val="%1.%2"/>
      <w:lvlJc w:val="left"/>
      <w:pPr>
        <w:ind w:left="360" w:hanging="360"/>
      </w:pPr>
      <w:rPr>
        <w:rFonts w:hint="default"/>
        <w:sz w:val="18"/>
        <w:szCs w:val="18"/>
      </w:rPr>
    </w:lvl>
    <w:lvl w:ilvl="2">
      <w:start w:val="1"/>
      <w:numFmt w:val="decimal"/>
      <w:lvlText w:val="%1.%2.%3"/>
      <w:lvlJc w:val="left"/>
      <w:pPr>
        <w:ind w:left="630" w:hanging="720"/>
      </w:pPr>
      <w:rPr>
        <w:rFonts w:hint="default"/>
      </w:rPr>
    </w:lvl>
    <w:lvl w:ilvl="3">
      <w:start w:val="1"/>
      <w:numFmt w:val="decimal"/>
      <w:lvlText w:val="%1.%2.%3.%4"/>
      <w:lvlJc w:val="left"/>
      <w:pPr>
        <w:ind w:left="585" w:hanging="720"/>
      </w:pPr>
      <w:rPr>
        <w:rFonts w:hint="default"/>
      </w:rPr>
    </w:lvl>
    <w:lvl w:ilvl="4">
      <w:start w:val="1"/>
      <w:numFmt w:val="decimal"/>
      <w:lvlText w:val="%1.%2.%3.%4.%5"/>
      <w:lvlJc w:val="left"/>
      <w:pPr>
        <w:ind w:left="540" w:hanging="720"/>
      </w:pPr>
      <w:rPr>
        <w:rFonts w:hint="default"/>
      </w:rPr>
    </w:lvl>
    <w:lvl w:ilvl="5">
      <w:start w:val="1"/>
      <w:numFmt w:val="decimal"/>
      <w:lvlText w:val="%1.%2.%3.%4.%5.%6"/>
      <w:lvlJc w:val="left"/>
      <w:pPr>
        <w:ind w:left="855" w:hanging="1080"/>
      </w:pPr>
      <w:rPr>
        <w:rFonts w:hint="default"/>
      </w:rPr>
    </w:lvl>
    <w:lvl w:ilvl="6">
      <w:start w:val="1"/>
      <w:numFmt w:val="decimal"/>
      <w:lvlText w:val="%1.%2.%3.%4.%5.%6.%7"/>
      <w:lvlJc w:val="left"/>
      <w:pPr>
        <w:ind w:left="810" w:hanging="1080"/>
      </w:pPr>
      <w:rPr>
        <w:rFonts w:hint="default"/>
      </w:rPr>
    </w:lvl>
    <w:lvl w:ilvl="7">
      <w:start w:val="1"/>
      <w:numFmt w:val="decimal"/>
      <w:lvlText w:val="%1.%2.%3.%4.%5.%6.%7.%8"/>
      <w:lvlJc w:val="left"/>
      <w:pPr>
        <w:ind w:left="1125" w:hanging="1440"/>
      </w:pPr>
      <w:rPr>
        <w:rFonts w:hint="default"/>
      </w:rPr>
    </w:lvl>
    <w:lvl w:ilvl="8">
      <w:start w:val="1"/>
      <w:numFmt w:val="decimal"/>
      <w:lvlText w:val="%1.%2.%3.%4.%5.%6.%7.%8.%9"/>
      <w:lvlJc w:val="left"/>
      <w:pPr>
        <w:ind w:left="1080" w:hanging="1440"/>
      </w:pPr>
      <w:rPr>
        <w:rFonts w:hint="default"/>
      </w:rPr>
    </w:lvl>
  </w:abstractNum>
  <w:abstractNum w:abstractNumId="15">
    <w:nsid w:val="72E921FA"/>
    <w:multiLevelType w:val="multilevel"/>
    <w:tmpl w:val="D7FEEA16"/>
    <w:lvl w:ilvl="0">
      <w:start w:val="1"/>
      <w:numFmt w:val="decimal"/>
      <w:pStyle w:val="NotesHeading-Level1"/>
      <w:lvlText w:val="Note %1: "/>
      <w:lvlJc w:val="left"/>
      <w:pPr>
        <w:tabs>
          <w:tab w:val="num" w:pos="10491"/>
        </w:tabs>
        <w:ind w:left="10774" w:hanging="1134"/>
      </w:pPr>
      <w:rPr>
        <w:rFonts w:ascii="Arial Bold" w:hAnsi="Arial Bold" w:cs="Times New Roman" w:hint="default"/>
        <w:b/>
        <w:bCs w:val="0"/>
        <w:i w:val="0"/>
        <w:iCs w:val="0"/>
        <w:caps w:val="0"/>
        <w:smallCaps w:val="0"/>
        <w:strike w:val="0"/>
        <w:dstrike w:val="0"/>
        <w:noProof w:val="0"/>
        <w:vanish w:val="0"/>
        <w:color w:val="auto"/>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NotesHeading-Level2"/>
      <w:lvlText w:val="Note %1%2: "/>
      <w:lvlJc w:val="left"/>
      <w:pPr>
        <w:tabs>
          <w:tab w:val="num" w:pos="851"/>
        </w:tabs>
        <w:ind w:left="1532" w:hanging="1532"/>
      </w:pPr>
      <w:rPr>
        <w:rFonts w:ascii="Times New Roman" w:hAnsi="Times New Roman" w:cs="Times New Roman" w:hint="default"/>
        <w:b/>
        <w:i w:val="0"/>
        <w:color w:val="auto"/>
        <w:sz w:val="20"/>
        <w:szCs w:val="20"/>
        <w:u w:val="single"/>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6">
    <w:nsid w:val="7B6A605A"/>
    <w:multiLevelType w:val="hybridMultilevel"/>
    <w:tmpl w:val="6F2669A2"/>
    <w:lvl w:ilvl="0" w:tplc="2DB60414">
      <w:start w:val="1"/>
      <w:numFmt w:val="bullet"/>
      <w:pStyle w:val="BodyBulletscopy"/>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7"/>
  </w:num>
  <w:num w:numId="4">
    <w:abstractNumId w:val="11"/>
  </w:num>
  <w:num w:numId="5">
    <w:abstractNumId w:val="16"/>
  </w:num>
  <w:num w:numId="6">
    <w:abstractNumId w:val="13"/>
  </w:num>
  <w:num w:numId="7">
    <w:abstractNumId w:val="3"/>
  </w:num>
  <w:num w:numId="8">
    <w:abstractNumId w:val="15"/>
  </w:num>
  <w:num w:numId="9">
    <w:abstractNumId w:val="12"/>
  </w:num>
  <w:num w:numId="10">
    <w:abstractNumId w:val="2"/>
  </w:num>
  <w:num w:numId="11">
    <w:abstractNumId w:val="0"/>
  </w:num>
  <w:num w:numId="12">
    <w:abstractNumId w:val="14"/>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1"/>
  </w:num>
  <w:num w:numId="16">
    <w:abstractNumId w:val="1"/>
    <w:lvlOverride w:ilvl="0">
      <w:startOverride w:val="2"/>
    </w:lvlOverride>
    <w:lvlOverride w:ilvl="1">
      <w:startOverride w:val="1"/>
    </w:lvlOverride>
  </w:num>
  <w:num w:numId="17">
    <w:abstractNumId w:val="10"/>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747"/>
    <w:rsid w:val="00013870"/>
    <w:rsid w:val="0001452B"/>
    <w:rsid w:val="000147CF"/>
    <w:rsid w:val="00021945"/>
    <w:rsid w:val="00026C78"/>
    <w:rsid w:val="00050283"/>
    <w:rsid w:val="0006286E"/>
    <w:rsid w:val="00064D50"/>
    <w:rsid w:val="00070851"/>
    <w:rsid w:val="00072189"/>
    <w:rsid w:val="00076942"/>
    <w:rsid w:val="00090081"/>
    <w:rsid w:val="000907A8"/>
    <w:rsid w:val="000A5027"/>
    <w:rsid w:val="000A7A48"/>
    <w:rsid w:val="000B3ADC"/>
    <w:rsid w:val="000C0A37"/>
    <w:rsid w:val="000C439A"/>
    <w:rsid w:val="000C5E97"/>
    <w:rsid w:val="000C7E7B"/>
    <w:rsid w:val="000D4B94"/>
    <w:rsid w:val="000E72A2"/>
    <w:rsid w:val="000F0148"/>
    <w:rsid w:val="00107D29"/>
    <w:rsid w:val="00126252"/>
    <w:rsid w:val="0012666B"/>
    <w:rsid w:val="00126ADE"/>
    <w:rsid w:val="00127E8C"/>
    <w:rsid w:val="00132FA8"/>
    <w:rsid w:val="0013380E"/>
    <w:rsid w:val="00142B89"/>
    <w:rsid w:val="001468AA"/>
    <w:rsid w:val="00147F02"/>
    <w:rsid w:val="00152951"/>
    <w:rsid w:val="0015465B"/>
    <w:rsid w:val="00154EDD"/>
    <w:rsid w:val="00165190"/>
    <w:rsid w:val="00170B57"/>
    <w:rsid w:val="00183079"/>
    <w:rsid w:val="001918E5"/>
    <w:rsid w:val="00196B4F"/>
    <w:rsid w:val="001B3EAF"/>
    <w:rsid w:val="001B44BC"/>
    <w:rsid w:val="001C2DF8"/>
    <w:rsid w:val="001C6C66"/>
    <w:rsid w:val="001C7345"/>
    <w:rsid w:val="001D01C3"/>
    <w:rsid w:val="001D07FB"/>
    <w:rsid w:val="001E2BF3"/>
    <w:rsid w:val="001E3EFF"/>
    <w:rsid w:val="001F425B"/>
    <w:rsid w:val="00201499"/>
    <w:rsid w:val="00216669"/>
    <w:rsid w:val="00217AA8"/>
    <w:rsid w:val="00225AF2"/>
    <w:rsid w:val="00236FEE"/>
    <w:rsid w:val="00240F3E"/>
    <w:rsid w:val="0025647C"/>
    <w:rsid w:val="0026214C"/>
    <w:rsid w:val="00263B3E"/>
    <w:rsid w:val="00270BB5"/>
    <w:rsid w:val="0028010A"/>
    <w:rsid w:val="00285138"/>
    <w:rsid w:val="002917C6"/>
    <w:rsid w:val="002932D3"/>
    <w:rsid w:val="002A3D3A"/>
    <w:rsid w:val="002B3692"/>
    <w:rsid w:val="002B4AAB"/>
    <w:rsid w:val="002C10CC"/>
    <w:rsid w:val="002C7749"/>
    <w:rsid w:val="002D2E36"/>
    <w:rsid w:val="002D348F"/>
    <w:rsid w:val="002D5D50"/>
    <w:rsid w:val="002E313A"/>
    <w:rsid w:val="002F1E97"/>
    <w:rsid w:val="003070FE"/>
    <w:rsid w:val="003076FF"/>
    <w:rsid w:val="00313EAC"/>
    <w:rsid w:val="0031437B"/>
    <w:rsid w:val="00324C7B"/>
    <w:rsid w:val="003346B6"/>
    <w:rsid w:val="003379B4"/>
    <w:rsid w:val="003513C2"/>
    <w:rsid w:val="003666E3"/>
    <w:rsid w:val="003764D1"/>
    <w:rsid w:val="003956D6"/>
    <w:rsid w:val="003C2E1B"/>
    <w:rsid w:val="003D4273"/>
    <w:rsid w:val="003D449C"/>
    <w:rsid w:val="003E2119"/>
    <w:rsid w:val="003E61B5"/>
    <w:rsid w:val="00401AB2"/>
    <w:rsid w:val="004053A4"/>
    <w:rsid w:val="004124C9"/>
    <w:rsid w:val="00415A86"/>
    <w:rsid w:val="004260CC"/>
    <w:rsid w:val="0045527E"/>
    <w:rsid w:val="00471B40"/>
    <w:rsid w:val="00474FAB"/>
    <w:rsid w:val="00477E55"/>
    <w:rsid w:val="00481AAF"/>
    <w:rsid w:val="0048456F"/>
    <w:rsid w:val="00490E83"/>
    <w:rsid w:val="004A6277"/>
    <w:rsid w:val="004D645B"/>
    <w:rsid w:val="004E0D86"/>
    <w:rsid w:val="004E6614"/>
    <w:rsid w:val="004E7E65"/>
    <w:rsid w:val="00503437"/>
    <w:rsid w:val="005056C1"/>
    <w:rsid w:val="00505BF7"/>
    <w:rsid w:val="00516CF3"/>
    <w:rsid w:val="00521622"/>
    <w:rsid w:val="00521939"/>
    <w:rsid w:val="00552258"/>
    <w:rsid w:val="005569A0"/>
    <w:rsid w:val="005620BF"/>
    <w:rsid w:val="00563778"/>
    <w:rsid w:val="005730B4"/>
    <w:rsid w:val="00575182"/>
    <w:rsid w:val="00576EDE"/>
    <w:rsid w:val="00586116"/>
    <w:rsid w:val="00590765"/>
    <w:rsid w:val="005955DB"/>
    <w:rsid w:val="005A0F0F"/>
    <w:rsid w:val="005B4447"/>
    <w:rsid w:val="005C0214"/>
    <w:rsid w:val="005C24D6"/>
    <w:rsid w:val="005D3385"/>
    <w:rsid w:val="005E6BC3"/>
    <w:rsid w:val="00610EF5"/>
    <w:rsid w:val="00620E3D"/>
    <w:rsid w:val="00622043"/>
    <w:rsid w:val="0065074B"/>
    <w:rsid w:val="006507E1"/>
    <w:rsid w:val="00653118"/>
    <w:rsid w:val="00654ECE"/>
    <w:rsid w:val="0065577E"/>
    <w:rsid w:val="00661D65"/>
    <w:rsid w:val="00663B62"/>
    <w:rsid w:val="00666C7E"/>
    <w:rsid w:val="00671078"/>
    <w:rsid w:val="00673537"/>
    <w:rsid w:val="00674457"/>
    <w:rsid w:val="00693B1D"/>
    <w:rsid w:val="006B1BAD"/>
    <w:rsid w:val="006B5067"/>
    <w:rsid w:val="006C6338"/>
    <w:rsid w:val="006D1BCE"/>
    <w:rsid w:val="006D3A6A"/>
    <w:rsid w:val="006D4CA0"/>
    <w:rsid w:val="006E0324"/>
    <w:rsid w:val="006E074A"/>
    <w:rsid w:val="006F1300"/>
    <w:rsid w:val="006F4FA1"/>
    <w:rsid w:val="006F7236"/>
    <w:rsid w:val="00710C0E"/>
    <w:rsid w:val="007211E3"/>
    <w:rsid w:val="007303A7"/>
    <w:rsid w:val="00735BF9"/>
    <w:rsid w:val="00740E66"/>
    <w:rsid w:val="0075379F"/>
    <w:rsid w:val="007563B3"/>
    <w:rsid w:val="00756AB9"/>
    <w:rsid w:val="0076094F"/>
    <w:rsid w:val="00762DF7"/>
    <w:rsid w:val="00767FC4"/>
    <w:rsid w:val="007A52EB"/>
    <w:rsid w:val="007A5F1A"/>
    <w:rsid w:val="007A68D6"/>
    <w:rsid w:val="007C3EEE"/>
    <w:rsid w:val="007C4FA6"/>
    <w:rsid w:val="007D0E0F"/>
    <w:rsid w:val="007E5755"/>
    <w:rsid w:val="007E640D"/>
    <w:rsid w:val="007F65A5"/>
    <w:rsid w:val="008068EC"/>
    <w:rsid w:val="00812A3D"/>
    <w:rsid w:val="008167BE"/>
    <w:rsid w:val="00820012"/>
    <w:rsid w:val="00821F75"/>
    <w:rsid w:val="00830AEC"/>
    <w:rsid w:val="0083526C"/>
    <w:rsid w:val="008403EB"/>
    <w:rsid w:val="00840B1E"/>
    <w:rsid w:val="0084256E"/>
    <w:rsid w:val="00844A75"/>
    <w:rsid w:val="00857811"/>
    <w:rsid w:val="00866A98"/>
    <w:rsid w:val="0089139C"/>
    <w:rsid w:val="008A032F"/>
    <w:rsid w:val="008B2A45"/>
    <w:rsid w:val="008B3D38"/>
    <w:rsid w:val="008B5A07"/>
    <w:rsid w:val="008C29AA"/>
    <w:rsid w:val="008D475E"/>
    <w:rsid w:val="008D76BA"/>
    <w:rsid w:val="008E5D69"/>
    <w:rsid w:val="009008C1"/>
    <w:rsid w:val="009055E4"/>
    <w:rsid w:val="00910F5D"/>
    <w:rsid w:val="0091446E"/>
    <w:rsid w:val="009208B3"/>
    <w:rsid w:val="009402D7"/>
    <w:rsid w:val="00950C92"/>
    <w:rsid w:val="009551AF"/>
    <w:rsid w:val="00957070"/>
    <w:rsid w:val="00975444"/>
    <w:rsid w:val="00977ED6"/>
    <w:rsid w:val="00981F99"/>
    <w:rsid w:val="00984D9F"/>
    <w:rsid w:val="00985025"/>
    <w:rsid w:val="00991B86"/>
    <w:rsid w:val="0099633C"/>
    <w:rsid w:val="009A2F9E"/>
    <w:rsid w:val="009B1055"/>
    <w:rsid w:val="009B311C"/>
    <w:rsid w:val="009B3CCB"/>
    <w:rsid w:val="009B627E"/>
    <w:rsid w:val="009C6F01"/>
    <w:rsid w:val="009D1A92"/>
    <w:rsid w:val="009E0298"/>
    <w:rsid w:val="009E6494"/>
    <w:rsid w:val="009F178E"/>
    <w:rsid w:val="00A0445B"/>
    <w:rsid w:val="00A13E65"/>
    <w:rsid w:val="00A347D3"/>
    <w:rsid w:val="00A43992"/>
    <w:rsid w:val="00A62DF2"/>
    <w:rsid w:val="00A65E7C"/>
    <w:rsid w:val="00A74816"/>
    <w:rsid w:val="00A829FD"/>
    <w:rsid w:val="00A83ADF"/>
    <w:rsid w:val="00A85D3F"/>
    <w:rsid w:val="00A90CF1"/>
    <w:rsid w:val="00A91517"/>
    <w:rsid w:val="00A94340"/>
    <w:rsid w:val="00A94686"/>
    <w:rsid w:val="00A94B30"/>
    <w:rsid w:val="00AB1543"/>
    <w:rsid w:val="00AB6B37"/>
    <w:rsid w:val="00AC758F"/>
    <w:rsid w:val="00AD07DC"/>
    <w:rsid w:val="00AD615C"/>
    <w:rsid w:val="00AE1FCF"/>
    <w:rsid w:val="00AE4EAF"/>
    <w:rsid w:val="00AF004E"/>
    <w:rsid w:val="00AF05B2"/>
    <w:rsid w:val="00AF2A14"/>
    <w:rsid w:val="00AF2CAF"/>
    <w:rsid w:val="00AF35F9"/>
    <w:rsid w:val="00B00284"/>
    <w:rsid w:val="00B05BED"/>
    <w:rsid w:val="00B208E1"/>
    <w:rsid w:val="00B20B38"/>
    <w:rsid w:val="00B227DA"/>
    <w:rsid w:val="00B26DB7"/>
    <w:rsid w:val="00B33222"/>
    <w:rsid w:val="00B372AF"/>
    <w:rsid w:val="00B42971"/>
    <w:rsid w:val="00B50762"/>
    <w:rsid w:val="00B526DE"/>
    <w:rsid w:val="00B54935"/>
    <w:rsid w:val="00B64713"/>
    <w:rsid w:val="00B65D5A"/>
    <w:rsid w:val="00B72228"/>
    <w:rsid w:val="00B80D00"/>
    <w:rsid w:val="00B868A9"/>
    <w:rsid w:val="00BA0270"/>
    <w:rsid w:val="00BA43AD"/>
    <w:rsid w:val="00BB0C99"/>
    <w:rsid w:val="00BB4EB9"/>
    <w:rsid w:val="00BB72F8"/>
    <w:rsid w:val="00BC2490"/>
    <w:rsid w:val="00BC4986"/>
    <w:rsid w:val="00BD2A51"/>
    <w:rsid w:val="00BE25DA"/>
    <w:rsid w:val="00BE62E4"/>
    <w:rsid w:val="00BF0BAC"/>
    <w:rsid w:val="00BF179B"/>
    <w:rsid w:val="00BF2269"/>
    <w:rsid w:val="00BF78FB"/>
    <w:rsid w:val="00C03F4C"/>
    <w:rsid w:val="00C14882"/>
    <w:rsid w:val="00C23950"/>
    <w:rsid w:val="00C33E78"/>
    <w:rsid w:val="00C440B7"/>
    <w:rsid w:val="00C61FD7"/>
    <w:rsid w:val="00C628AE"/>
    <w:rsid w:val="00C665F1"/>
    <w:rsid w:val="00C70875"/>
    <w:rsid w:val="00C7623F"/>
    <w:rsid w:val="00CA1003"/>
    <w:rsid w:val="00CC160B"/>
    <w:rsid w:val="00CD0969"/>
    <w:rsid w:val="00CE0F70"/>
    <w:rsid w:val="00CF3063"/>
    <w:rsid w:val="00CF7B07"/>
    <w:rsid w:val="00D01B40"/>
    <w:rsid w:val="00D03E10"/>
    <w:rsid w:val="00D044BC"/>
    <w:rsid w:val="00D12C50"/>
    <w:rsid w:val="00D1460C"/>
    <w:rsid w:val="00D1726C"/>
    <w:rsid w:val="00D227B3"/>
    <w:rsid w:val="00D303ED"/>
    <w:rsid w:val="00D42055"/>
    <w:rsid w:val="00D5075F"/>
    <w:rsid w:val="00D50EB0"/>
    <w:rsid w:val="00D60D1E"/>
    <w:rsid w:val="00D64A09"/>
    <w:rsid w:val="00D65DAE"/>
    <w:rsid w:val="00D66C28"/>
    <w:rsid w:val="00D76AA4"/>
    <w:rsid w:val="00D85FF4"/>
    <w:rsid w:val="00D934D9"/>
    <w:rsid w:val="00D96E64"/>
    <w:rsid w:val="00DA0172"/>
    <w:rsid w:val="00DA2590"/>
    <w:rsid w:val="00DA499E"/>
    <w:rsid w:val="00DB7BE9"/>
    <w:rsid w:val="00DC3482"/>
    <w:rsid w:val="00DE21F7"/>
    <w:rsid w:val="00DE26E2"/>
    <w:rsid w:val="00DF722E"/>
    <w:rsid w:val="00E106BB"/>
    <w:rsid w:val="00E20D07"/>
    <w:rsid w:val="00E276BD"/>
    <w:rsid w:val="00E30527"/>
    <w:rsid w:val="00E3194D"/>
    <w:rsid w:val="00E34283"/>
    <w:rsid w:val="00E43EDF"/>
    <w:rsid w:val="00E47CED"/>
    <w:rsid w:val="00E52480"/>
    <w:rsid w:val="00E54D29"/>
    <w:rsid w:val="00E57A9F"/>
    <w:rsid w:val="00E60EF1"/>
    <w:rsid w:val="00E72267"/>
    <w:rsid w:val="00E770F9"/>
    <w:rsid w:val="00E92366"/>
    <w:rsid w:val="00EB5E9D"/>
    <w:rsid w:val="00EC3E6D"/>
    <w:rsid w:val="00ED26D2"/>
    <w:rsid w:val="00EE1B7B"/>
    <w:rsid w:val="00F04D24"/>
    <w:rsid w:val="00F0736F"/>
    <w:rsid w:val="00F12F3A"/>
    <w:rsid w:val="00F23846"/>
    <w:rsid w:val="00F337D2"/>
    <w:rsid w:val="00F351C7"/>
    <w:rsid w:val="00F52D8B"/>
    <w:rsid w:val="00F54E0E"/>
    <w:rsid w:val="00F55EFB"/>
    <w:rsid w:val="00F63F90"/>
    <w:rsid w:val="00F65182"/>
    <w:rsid w:val="00F733FA"/>
    <w:rsid w:val="00F91EF4"/>
    <w:rsid w:val="00FB134B"/>
    <w:rsid w:val="00FB61D4"/>
    <w:rsid w:val="00FC25AE"/>
    <w:rsid w:val="00FC5747"/>
    <w:rsid w:val="00FD291C"/>
    <w:rsid w:val="00FF0982"/>
    <w:rsid w:val="00FF26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862A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196B4F"/>
    <w:pPr>
      <w:spacing w:before="120" w:after="120" w:line="288" w:lineRule="auto"/>
    </w:pPr>
    <w:rPr>
      <w:sz w:val="20"/>
    </w:rPr>
  </w:style>
  <w:style w:type="paragraph" w:styleId="Heading1">
    <w:name w:val="heading 1"/>
    <w:basedOn w:val="Normal"/>
    <w:next w:val="Normal"/>
    <w:link w:val="Heading1Char"/>
    <w:qFormat/>
    <w:rsid w:val="000E72A2"/>
    <w:pPr>
      <w:keepNext/>
      <w:keepLines/>
      <w:pageBreakBefore/>
      <w:spacing w:before="240"/>
      <w:outlineLvl w:val="0"/>
    </w:pPr>
    <w:rPr>
      <w:rFonts w:asciiTheme="majorHAnsi" w:eastAsiaTheme="majorEastAsia" w:hAnsiTheme="majorHAnsi" w:cstheme="majorBidi"/>
      <w:b/>
      <w:color w:val="6B2976" w:themeColor="text2"/>
      <w:sz w:val="56"/>
      <w:szCs w:val="32"/>
    </w:rPr>
  </w:style>
  <w:style w:type="paragraph" w:styleId="Heading2">
    <w:name w:val="heading 2"/>
    <w:basedOn w:val="Normal"/>
    <w:link w:val="Heading2Char"/>
    <w:qFormat/>
    <w:rsid w:val="00BF179B"/>
    <w:pPr>
      <w:pageBreakBefore/>
      <w:spacing w:before="240"/>
      <w:outlineLvl w:val="1"/>
    </w:pPr>
    <w:rPr>
      <w:b/>
      <w:color w:val="000000" w:themeColor="text1"/>
      <w:sz w:val="48"/>
    </w:rPr>
  </w:style>
  <w:style w:type="paragraph" w:styleId="Heading3">
    <w:name w:val="heading 3"/>
    <w:basedOn w:val="Normal"/>
    <w:next w:val="Normal"/>
    <w:link w:val="Heading3Char"/>
    <w:unhideWhenUsed/>
    <w:qFormat/>
    <w:rsid w:val="00D1460C"/>
    <w:pPr>
      <w:keepNext/>
      <w:spacing w:before="480"/>
      <w:outlineLvl w:val="2"/>
    </w:pPr>
    <w:rPr>
      <w:b/>
      <w:sz w:val="24"/>
    </w:rPr>
  </w:style>
  <w:style w:type="paragraph" w:styleId="Heading4">
    <w:name w:val="heading 4"/>
    <w:basedOn w:val="Heading3"/>
    <w:next w:val="Normal"/>
    <w:link w:val="Heading4Char"/>
    <w:unhideWhenUsed/>
    <w:qFormat/>
    <w:rsid w:val="00D1726C"/>
    <w:pPr>
      <w:spacing w:before="240"/>
      <w:outlineLvl w:val="3"/>
    </w:pPr>
    <w:rPr>
      <w:sz w:val="20"/>
    </w:rPr>
  </w:style>
  <w:style w:type="paragraph" w:styleId="Heading5">
    <w:name w:val="heading 5"/>
    <w:basedOn w:val="Normal"/>
    <w:next w:val="Normal"/>
    <w:link w:val="Heading5Char"/>
    <w:unhideWhenUsed/>
    <w:qFormat/>
    <w:rsid w:val="00622043"/>
    <w:pPr>
      <w:outlineLvl w:val="4"/>
    </w:pPr>
    <w:rPr>
      <w:i/>
    </w:rPr>
  </w:style>
  <w:style w:type="paragraph" w:styleId="Heading6">
    <w:name w:val="heading 6"/>
    <w:basedOn w:val="Normal"/>
    <w:next w:val="Normal"/>
    <w:link w:val="Heading6Char"/>
    <w:rsid w:val="00A43992"/>
    <w:pPr>
      <w:spacing w:before="0" w:after="0" w:line="260" w:lineRule="atLeast"/>
      <w:outlineLvl w:val="5"/>
    </w:pPr>
    <w:rPr>
      <w:rFonts w:ascii="Times New Roman" w:eastAsia="Times New Roman" w:hAnsi="Times New Roman" w:cs="Times New Roman"/>
      <w:sz w:val="22"/>
      <w:szCs w:val="20"/>
      <w:lang w:val="en-AU"/>
    </w:rPr>
  </w:style>
  <w:style w:type="paragraph" w:styleId="Heading7">
    <w:name w:val="heading 7"/>
    <w:aliases w:val="Section Sub-Heading 4"/>
    <w:basedOn w:val="Normal"/>
    <w:next w:val="Normal"/>
    <w:link w:val="Heading7Char"/>
    <w:rsid w:val="00A43992"/>
    <w:pPr>
      <w:spacing w:before="0" w:after="0" w:line="260" w:lineRule="atLeast"/>
      <w:outlineLvl w:val="6"/>
    </w:pPr>
    <w:rPr>
      <w:rFonts w:ascii="Times New Roman" w:eastAsia="Times New Roman" w:hAnsi="Times New Roman" w:cs="Times New Roman"/>
      <w:sz w:val="22"/>
      <w:szCs w:val="20"/>
      <w:lang w:val="en-AU"/>
    </w:rPr>
  </w:style>
  <w:style w:type="paragraph" w:styleId="Heading8">
    <w:name w:val="heading 8"/>
    <w:basedOn w:val="Normal"/>
    <w:next w:val="Normal"/>
    <w:link w:val="Heading8Char"/>
    <w:rsid w:val="00A43992"/>
    <w:pPr>
      <w:spacing w:before="0" w:after="0" w:line="260" w:lineRule="atLeast"/>
      <w:outlineLvl w:val="7"/>
    </w:pPr>
    <w:rPr>
      <w:rFonts w:ascii="Times New Roman" w:eastAsia="Times New Roman" w:hAnsi="Times New Roman" w:cs="Times New Roman"/>
      <w:sz w:val="22"/>
      <w:szCs w:val="20"/>
      <w:lang w:val="en-AU"/>
    </w:rPr>
  </w:style>
  <w:style w:type="paragraph" w:styleId="Heading9">
    <w:name w:val="heading 9"/>
    <w:basedOn w:val="Normal"/>
    <w:next w:val="Normal"/>
    <w:link w:val="Heading9Char"/>
    <w:rsid w:val="00A43992"/>
    <w:pPr>
      <w:spacing w:before="0" w:after="0" w:line="260" w:lineRule="atLeast"/>
      <w:outlineLvl w:val="8"/>
    </w:pPr>
    <w:rPr>
      <w:rFonts w:ascii="Times New Roman" w:eastAsia="Times New Roman" w:hAnsi="Times New Roman" w:cs="Times New Roman"/>
      <w:sz w:val="22"/>
      <w:szCs w:val="20"/>
      <w:lang w:val="en-A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FC5747"/>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character" w:customStyle="1" w:styleId="Heading2Char">
    <w:name w:val="Heading 2 Char"/>
    <w:basedOn w:val="DefaultParagraphFont"/>
    <w:link w:val="Heading2"/>
    <w:uiPriority w:val="99"/>
    <w:rsid w:val="00BF179B"/>
    <w:rPr>
      <w:b/>
      <w:color w:val="000000" w:themeColor="text1"/>
      <w:sz w:val="48"/>
    </w:rPr>
  </w:style>
  <w:style w:type="character" w:customStyle="1" w:styleId="Bold">
    <w:name w:val="Bold"/>
    <w:uiPriority w:val="99"/>
    <w:rsid w:val="007A52EB"/>
    <w:rPr>
      <w:rFonts w:asciiTheme="minorHAnsi" w:hAnsiTheme="minorHAnsi" w:cs="FSMePro-Bold"/>
      <w:b/>
      <w:bCs/>
    </w:rPr>
  </w:style>
  <w:style w:type="character" w:customStyle="1" w:styleId="Italic">
    <w:name w:val="Italic"/>
    <w:uiPriority w:val="99"/>
    <w:rsid w:val="00263B3E"/>
    <w:rPr>
      <w:rFonts w:asciiTheme="minorHAnsi" w:hAnsiTheme="minorHAnsi" w:cs="FSMePro-LightItalic"/>
      <w:i/>
      <w:iCs/>
    </w:rPr>
  </w:style>
  <w:style w:type="paragraph" w:customStyle="1" w:styleId="SectionTitle">
    <w:name w:val="Section Title"/>
    <w:basedOn w:val="NoParagraphStyle"/>
    <w:uiPriority w:val="99"/>
    <w:rsid w:val="00FC5747"/>
    <w:pPr>
      <w:suppressAutoHyphens/>
      <w:spacing w:before="342" w:line="760" w:lineRule="atLeast"/>
      <w:jc w:val="center"/>
    </w:pPr>
    <w:rPr>
      <w:rFonts w:ascii="FSMePro-Bold" w:hAnsi="FSMePro-Bold" w:cs="FSMePro-Bold"/>
      <w:b/>
      <w:bCs/>
      <w:color w:val="282829"/>
      <w:sz w:val="76"/>
      <w:szCs w:val="76"/>
    </w:rPr>
  </w:style>
  <w:style w:type="character" w:customStyle="1" w:styleId="Heading1Char">
    <w:name w:val="Heading 1 Char"/>
    <w:basedOn w:val="DefaultParagraphFont"/>
    <w:link w:val="Heading1"/>
    <w:uiPriority w:val="99"/>
    <w:rsid w:val="000E72A2"/>
    <w:rPr>
      <w:rFonts w:asciiTheme="majorHAnsi" w:eastAsiaTheme="majorEastAsia" w:hAnsiTheme="majorHAnsi" w:cstheme="majorBidi"/>
      <w:b/>
      <w:color w:val="6B2976" w:themeColor="text2"/>
      <w:sz w:val="56"/>
      <w:szCs w:val="32"/>
    </w:rPr>
  </w:style>
  <w:style w:type="character" w:customStyle="1" w:styleId="Heading4Char">
    <w:name w:val="Heading 4 Char"/>
    <w:basedOn w:val="DefaultParagraphFont"/>
    <w:link w:val="Heading4"/>
    <w:uiPriority w:val="9"/>
    <w:rsid w:val="00D1726C"/>
    <w:rPr>
      <w:b/>
      <w:sz w:val="20"/>
    </w:rPr>
  </w:style>
  <w:style w:type="paragraph" w:customStyle="1" w:styleId="CalloutlargeCallouts">
    <w:name w:val="Callout large (Callouts)"/>
    <w:basedOn w:val="NoParagraphStyle"/>
    <w:uiPriority w:val="99"/>
    <w:rsid w:val="00154EDD"/>
    <w:pPr>
      <w:suppressAutoHyphens/>
      <w:spacing w:before="340" w:after="340"/>
    </w:pPr>
    <w:rPr>
      <w:rFonts w:asciiTheme="minorHAnsi" w:hAnsiTheme="minorHAnsi" w:cs="FSMePro-Bold"/>
      <w:b/>
      <w:bCs/>
      <w:color w:val="6B2976" w:themeColor="text2"/>
      <w:sz w:val="36"/>
      <w:szCs w:val="36"/>
    </w:rPr>
  </w:style>
  <w:style w:type="paragraph" w:customStyle="1" w:styleId="BodyBullets">
    <w:name w:val="Body Bullets"/>
    <w:basedOn w:val="Normal"/>
    <w:next w:val="Normal"/>
    <w:uiPriority w:val="99"/>
    <w:rsid w:val="00693B1D"/>
    <w:pPr>
      <w:numPr>
        <w:numId w:val="3"/>
      </w:numPr>
      <w:tabs>
        <w:tab w:val="left" w:pos="227"/>
        <w:tab w:val="left" w:pos="680"/>
      </w:tabs>
      <w:suppressAutoHyphens/>
      <w:spacing w:before="240"/>
    </w:pPr>
    <w:rPr>
      <w:rFonts w:cs="FSMePro-Light"/>
      <w:szCs w:val="18"/>
    </w:rPr>
  </w:style>
  <w:style w:type="paragraph" w:styleId="Title">
    <w:name w:val="Title"/>
    <w:basedOn w:val="Normal"/>
    <w:next w:val="Normal"/>
    <w:link w:val="TitleChar"/>
    <w:uiPriority w:val="10"/>
    <w:qFormat/>
    <w:rsid w:val="00735BF9"/>
    <w:pPr>
      <w:contextualSpacing/>
    </w:pPr>
    <w:rPr>
      <w:rFonts w:asciiTheme="majorHAnsi" w:eastAsiaTheme="majorEastAsia" w:hAnsiTheme="majorHAnsi" w:cstheme="majorBidi"/>
      <w:b/>
      <w:color w:val="000000" w:themeColor="text1"/>
      <w:spacing w:val="-10"/>
      <w:kern w:val="28"/>
      <w:sz w:val="56"/>
      <w:szCs w:val="56"/>
    </w:rPr>
  </w:style>
  <w:style w:type="character" w:customStyle="1" w:styleId="TitleChar">
    <w:name w:val="Title Char"/>
    <w:basedOn w:val="DefaultParagraphFont"/>
    <w:link w:val="Title"/>
    <w:uiPriority w:val="10"/>
    <w:rsid w:val="00735BF9"/>
    <w:rPr>
      <w:rFonts w:asciiTheme="majorHAnsi" w:eastAsiaTheme="majorEastAsia" w:hAnsiTheme="majorHAnsi" w:cstheme="majorBidi"/>
      <w:b/>
      <w:color w:val="000000" w:themeColor="text1"/>
      <w:spacing w:val="-10"/>
      <w:kern w:val="28"/>
      <w:sz w:val="56"/>
      <w:szCs w:val="56"/>
    </w:rPr>
  </w:style>
  <w:style w:type="paragraph" w:styleId="Subtitle">
    <w:name w:val="Subtitle"/>
    <w:basedOn w:val="Normal"/>
    <w:next w:val="Normal"/>
    <w:link w:val="SubtitleChar"/>
    <w:uiPriority w:val="11"/>
    <w:qFormat/>
    <w:rsid w:val="00735BF9"/>
    <w:pPr>
      <w:numPr>
        <w:ilvl w:val="1"/>
      </w:numPr>
      <w:spacing w:before="240" w:after="160"/>
    </w:pPr>
    <w:rPr>
      <w:rFonts w:eastAsiaTheme="minorEastAsia"/>
      <w:color w:val="6B2976" w:themeColor="text2"/>
      <w:sz w:val="22"/>
      <w:szCs w:val="22"/>
    </w:rPr>
  </w:style>
  <w:style w:type="character" w:customStyle="1" w:styleId="SubtitleChar">
    <w:name w:val="Subtitle Char"/>
    <w:basedOn w:val="DefaultParagraphFont"/>
    <w:link w:val="Subtitle"/>
    <w:uiPriority w:val="11"/>
    <w:rsid w:val="00735BF9"/>
    <w:rPr>
      <w:rFonts w:eastAsiaTheme="minorEastAsia"/>
      <w:color w:val="6B2976" w:themeColor="text2"/>
      <w:sz w:val="22"/>
      <w:szCs w:val="22"/>
    </w:rPr>
  </w:style>
  <w:style w:type="character" w:customStyle="1" w:styleId="Heading3Char">
    <w:name w:val="Heading 3 Char"/>
    <w:basedOn w:val="DefaultParagraphFont"/>
    <w:link w:val="Heading3"/>
    <w:uiPriority w:val="9"/>
    <w:rsid w:val="00D1460C"/>
    <w:rPr>
      <w:b/>
    </w:rPr>
  </w:style>
  <w:style w:type="paragraph" w:customStyle="1" w:styleId="BodyCopy">
    <w:name w:val="Body Copy"/>
    <w:basedOn w:val="Normal"/>
    <w:uiPriority w:val="99"/>
    <w:rsid w:val="003070FE"/>
  </w:style>
  <w:style w:type="character" w:customStyle="1" w:styleId="Bold-White">
    <w:name w:val="Bold - White"/>
    <w:uiPriority w:val="99"/>
    <w:rsid w:val="007D0E0F"/>
    <w:rPr>
      <w:rFonts w:asciiTheme="minorHAnsi" w:hAnsiTheme="minorHAnsi" w:cs="FSMePro-Bold"/>
      <w:b/>
      <w:bCs/>
      <w:outline/>
      <w:color w:val="000000" w:themeColor="text1"/>
    </w:rPr>
  </w:style>
  <w:style w:type="paragraph" w:customStyle="1" w:styleId="BodyCopyREV">
    <w:name w:val="Body Copy – REV"/>
    <w:basedOn w:val="BodyCopy"/>
    <w:uiPriority w:val="99"/>
    <w:rsid w:val="003070FE"/>
  </w:style>
  <w:style w:type="paragraph" w:customStyle="1" w:styleId="IntroPara">
    <w:name w:val="Intro Para"/>
    <w:basedOn w:val="BodyCopy"/>
    <w:uiPriority w:val="99"/>
    <w:rsid w:val="00DE21F7"/>
    <w:pPr>
      <w:spacing w:before="240"/>
    </w:pPr>
    <w:rPr>
      <w:color w:val="6A2875"/>
      <w:sz w:val="24"/>
    </w:rPr>
  </w:style>
  <w:style w:type="paragraph" w:customStyle="1" w:styleId="BodyBullets-last">
    <w:name w:val="Body Bullets - last"/>
    <w:basedOn w:val="BodyBullets"/>
    <w:uiPriority w:val="99"/>
    <w:rsid w:val="00820012"/>
    <w:pPr>
      <w:numPr>
        <w:numId w:val="4"/>
      </w:numPr>
      <w:spacing w:after="360"/>
    </w:pPr>
  </w:style>
  <w:style w:type="paragraph" w:customStyle="1" w:styleId="BodyBulletscopy">
    <w:name w:val="Body Bullets copy"/>
    <w:basedOn w:val="BodyBullets"/>
    <w:uiPriority w:val="99"/>
    <w:rsid w:val="003070FE"/>
    <w:pPr>
      <w:numPr>
        <w:numId w:val="5"/>
      </w:numPr>
    </w:pPr>
  </w:style>
  <w:style w:type="paragraph" w:customStyle="1" w:styleId="BudyBullets-subbullets">
    <w:name w:val="Budy Bullets - sub bullets"/>
    <w:basedOn w:val="BodyBullets"/>
    <w:uiPriority w:val="99"/>
    <w:rsid w:val="002C10CC"/>
    <w:pPr>
      <w:widowControl w:val="0"/>
      <w:numPr>
        <w:numId w:val="0"/>
      </w:numPr>
      <w:tabs>
        <w:tab w:val="clear" w:pos="227"/>
        <w:tab w:val="left" w:pos="340"/>
      </w:tabs>
      <w:autoSpaceDE w:val="0"/>
      <w:autoSpaceDN w:val="0"/>
      <w:adjustRightInd w:val="0"/>
      <w:spacing w:before="57" w:after="57" w:line="240" w:lineRule="atLeast"/>
      <w:ind w:left="340" w:hanging="170"/>
      <w:textAlignment w:val="center"/>
    </w:pPr>
    <w:rPr>
      <w:rFonts w:ascii="FSMePro-Light" w:hAnsi="FSMePro-Light"/>
      <w:color w:val="000000"/>
      <w:spacing w:val="-2"/>
      <w:sz w:val="18"/>
      <w:lang w:val="en-GB"/>
    </w:rPr>
  </w:style>
  <w:style w:type="paragraph" w:customStyle="1" w:styleId="BudyBullets-subbullets-last">
    <w:name w:val="Budy Bullets - sub bullets - last"/>
    <w:basedOn w:val="BudyBullets-subbullets"/>
    <w:uiPriority w:val="99"/>
    <w:rsid w:val="002C10CC"/>
    <w:pPr>
      <w:spacing w:after="113"/>
    </w:pPr>
  </w:style>
  <w:style w:type="character" w:customStyle="1" w:styleId="Lightitalic">
    <w:name w:val="Light italic"/>
    <w:uiPriority w:val="99"/>
    <w:rsid w:val="00AF05B2"/>
    <w:rPr>
      <w:rFonts w:asciiTheme="minorHAnsi" w:hAnsiTheme="minorHAnsi" w:cs="FSMePro-LightItalic"/>
      <w:i/>
      <w:iCs/>
    </w:rPr>
  </w:style>
  <w:style w:type="paragraph" w:styleId="TOCHeading">
    <w:name w:val="TOC Heading"/>
    <w:basedOn w:val="Heading1"/>
    <w:next w:val="Normal"/>
    <w:uiPriority w:val="39"/>
    <w:unhideWhenUsed/>
    <w:qFormat/>
    <w:rsid w:val="00B208E1"/>
    <w:pPr>
      <w:spacing w:before="480" w:after="0" w:line="276" w:lineRule="auto"/>
      <w:outlineLvl w:val="9"/>
    </w:pPr>
    <w:rPr>
      <w:bCs/>
      <w:color w:val="67962D" w:themeColor="accent1" w:themeShade="BF"/>
      <w:sz w:val="28"/>
      <w:szCs w:val="28"/>
    </w:rPr>
  </w:style>
  <w:style w:type="paragraph" w:styleId="TOC3">
    <w:name w:val="toc 3"/>
    <w:basedOn w:val="Normal"/>
    <w:next w:val="Normal"/>
    <w:autoRedefine/>
    <w:uiPriority w:val="39"/>
    <w:unhideWhenUsed/>
    <w:rsid w:val="00B208E1"/>
    <w:pPr>
      <w:spacing w:before="0" w:after="0"/>
      <w:ind w:left="400"/>
    </w:pPr>
    <w:rPr>
      <w:rFonts w:cstheme="minorHAnsi"/>
      <w:sz w:val="22"/>
      <w:szCs w:val="22"/>
    </w:rPr>
  </w:style>
  <w:style w:type="paragraph" w:styleId="TOC1">
    <w:name w:val="toc 1"/>
    <w:basedOn w:val="Normal"/>
    <w:next w:val="Normal"/>
    <w:autoRedefine/>
    <w:uiPriority w:val="39"/>
    <w:unhideWhenUsed/>
    <w:rsid w:val="00126ADE"/>
    <w:pPr>
      <w:tabs>
        <w:tab w:val="right" w:pos="8505"/>
      </w:tabs>
      <w:spacing w:after="0"/>
    </w:pPr>
    <w:rPr>
      <w:rFonts w:cstheme="minorHAnsi"/>
      <w:b/>
      <w:bCs/>
      <w:sz w:val="24"/>
    </w:rPr>
  </w:style>
  <w:style w:type="paragraph" w:styleId="TOC2">
    <w:name w:val="toc 2"/>
    <w:basedOn w:val="Normal"/>
    <w:next w:val="Normal"/>
    <w:autoRedefine/>
    <w:uiPriority w:val="39"/>
    <w:unhideWhenUsed/>
    <w:rsid w:val="00126ADE"/>
    <w:pPr>
      <w:tabs>
        <w:tab w:val="left" w:pos="1134"/>
        <w:tab w:val="right" w:pos="8505"/>
      </w:tabs>
      <w:spacing w:before="0" w:after="0"/>
      <w:ind w:left="200"/>
    </w:pPr>
    <w:rPr>
      <w:rFonts w:cstheme="minorHAnsi"/>
      <w:b/>
      <w:bCs/>
      <w:sz w:val="22"/>
      <w:szCs w:val="22"/>
    </w:rPr>
  </w:style>
  <w:style w:type="character" w:styleId="Hyperlink">
    <w:name w:val="Hyperlink"/>
    <w:basedOn w:val="DefaultParagraphFont"/>
    <w:uiPriority w:val="99"/>
    <w:unhideWhenUsed/>
    <w:rsid w:val="00B208E1"/>
    <w:rPr>
      <w:color w:val="6B2976" w:themeColor="hyperlink"/>
      <w:u w:val="single"/>
    </w:rPr>
  </w:style>
  <w:style w:type="paragraph" w:styleId="TOC4">
    <w:name w:val="toc 4"/>
    <w:basedOn w:val="Normal"/>
    <w:next w:val="Normal"/>
    <w:autoRedefine/>
    <w:uiPriority w:val="39"/>
    <w:unhideWhenUsed/>
    <w:rsid w:val="00B208E1"/>
    <w:pPr>
      <w:spacing w:before="0" w:after="0"/>
      <w:ind w:left="600"/>
    </w:pPr>
    <w:rPr>
      <w:rFonts w:cstheme="minorHAnsi"/>
      <w:szCs w:val="20"/>
    </w:rPr>
  </w:style>
  <w:style w:type="paragraph" w:styleId="TOC5">
    <w:name w:val="toc 5"/>
    <w:basedOn w:val="Normal"/>
    <w:next w:val="Normal"/>
    <w:autoRedefine/>
    <w:uiPriority w:val="39"/>
    <w:unhideWhenUsed/>
    <w:rsid w:val="00B208E1"/>
    <w:pPr>
      <w:spacing w:before="0" w:after="0"/>
      <w:ind w:left="800"/>
    </w:pPr>
    <w:rPr>
      <w:rFonts w:cstheme="minorHAnsi"/>
      <w:szCs w:val="20"/>
    </w:rPr>
  </w:style>
  <w:style w:type="paragraph" w:styleId="TOC6">
    <w:name w:val="toc 6"/>
    <w:basedOn w:val="Normal"/>
    <w:next w:val="Normal"/>
    <w:autoRedefine/>
    <w:uiPriority w:val="39"/>
    <w:unhideWhenUsed/>
    <w:rsid w:val="00B208E1"/>
    <w:pPr>
      <w:spacing w:before="0" w:after="0"/>
      <w:ind w:left="1000"/>
    </w:pPr>
    <w:rPr>
      <w:rFonts w:cstheme="minorHAnsi"/>
      <w:szCs w:val="20"/>
    </w:rPr>
  </w:style>
  <w:style w:type="paragraph" w:styleId="TOC7">
    <w:name w:val="toc 7"/>
    <w:basedOn w:val="Normal"/>
    <w:next w:val="Normal"/>
    <w:autoRedefine/>
    <w:uiPriority w:val="39"/>
    <w:unhideWhenUsed/>
    <w:rsid w:val="00B208E1"/>
    <w:pPr>
      <w:spacing w:before="0" w:after="0"/>
      <w:ind w:left="1200"/>
    </w:pPr>
    <w:rPr>
      <w:rFonts w:cstheme="minorHAnsi"/>
      <w:szCs w:val="20"/>
    </w:rPr>
  </w:style>
  <w:style w:type="paragraph" w:styleId="TOC8">
    <w:name w:val="toc 8"/>
    <w:basedOn w:val="Normal"/>
    <w:next w:val="Normal"/>
    <w:autoRedefine/>
    <w:uiPriority w:val="39"/>
    <w:unhideWhenUsed/>
    <w:rsid w:val="00B208E1"/>
    <w:pPr>
      <w:spacing w:before="0" w:after="0"/>
      <w:ind w:left="1400"/>
    </w:pPr>
    <w:rPr>
      <w:rFonts w:cstheme="minorHAnsi"/>
      <w:szCs w:val="20"/>
    </w:rPr>
  </w:style>
  <w:style w:type="paragraph" w:styleId="TOC9">
    <w:name w:val="toc 9"/>
    <w:basedOn w:val="Normal"/>
    <w:next w:val="Normal"/>
    <w:autoRedefine/>
    <w:uiPriority w:val="39"/>
    <w:unhideWhenUsed/>
    <w:rsid w:val="00B208E1"/>
    <w:pPr>
      <w:spacing w:before="0" w:after="0"/>
      <w:ind w:left="1600"/>
    </w:pPr>
    <w:rPr>
      <w:rFonts w:cstheme="minorHAnsi"/>
      <w:szCs w:val="20"/>
    </w:rPr>
  </w:style>
  <w:style w:type="paragraph" w:styleId="TableofFigures">
    <w:name w:val="table of figures"/>
    <w:basedOn w:val="Normal"/>
    <w:next w:val="Normal"/>
    <w:uiPriority w:val="99"/>
    <w:unhideWhenUsed/>
    <w:rsid w:val="00985025"/>
    <w:pPr>
      <w:ind w:left="400" w:hanging="400"/>
    </w:pPr>
  </w:style>
  <w:style w:type="character" w:customStyle="1" w:styleId="Sectionnumber">
    <w:name w:val="Section number"/>
    <w:uiPriority w:val="99"/>
    <w:rsid w:val="00EB5E9D"/>
    <w:rPr>
      <w:rFonts w:ascii="FSMePro-Light" w:hAnsi="FSMePro-Light" w:cs="FSMePro-Light"/>
      <w:position w:val="16"/>
      <w:sz w:val="68"/>
      <w:szCs w:val="68"/>
    </w:rPr>
  </w:style>
  <w:style w:type="paragraph" w:customStyle="1" w:styleId="CalloutmediumCallouts">
    <w:name w:val="Callout medium (Callouts)"/>
    <w:basedOn w:val="CalloutlargeCallouts"/>
    <w:uiPriority w:val="99"/>
    <w:rsid w:val="00154EDD"/>
    <w:pPr>
      <w:spacing w:line="360" w:lineRule="atLeast"/>
    </w:pPr>
    <w:rPr>
      <w:color w:val="6A2875"/>
      <w:sz w:val="28"/>
      <w:szCs w:val="28"/>
    </w:rPr>
  </w:style>
  <w:style w:type="character" w:customStyle="1" w:styleId="Bolditalic">
    <w:name w:val="Bold italic"/>
    <w:uiPriority w:val="99"/>
    <w:rsid w:val="000C5E97"/>
    <w:rPr>
      <w:rFonts w:asciiTheme="minorHAnsi" w:hAnsiTheme="minorHAnsi" w:cs="FSMePro-BoldItalic"/>
      <w:b/>
      <w:bCs/>
      <w:i/>
      <w:iCs/>
    </w:rPr>
  </w:style>
  <w:style w:type="paragraph" w:customStyle="1" w:styleId="DiagramHeading3DiagramsIllustrations">
    <w:name w:val="Diagram Heading 3 (Diagrams / Illustrations)"/>
    <w:basedOn w:val="NoParagraphStyle"/>
    <w:uiPriority w:val="99"/>
    <w:rsid w:val="007A68D6"/>
    <w:pPr>
      <w:suppressAutoHyphens/>
      <w:spacing w:before="136" w:line="240" w:lineRule="atLeast"/>
      <w:jc w:val="center"/>
    </w:pPr>
    <w:rPr>
      <w:rFonts w:ascii="FSMePro-Bold" w:hAnsi="FSMePro-Bold" w:cs="FSMePro-Bold"/>
      <w:b/>
      <w:bCs/>
      <w:color w:val="FFFFFF"/>
      <w:sz w:val="21"/>
      <w:szCs w:val="21"/>
    </w:rPr>
  </w:style>
  <w:style w:type="paragraph" w:customStyle="1" w:styleId="Sectionsubtext">
    <w:name w:val="Section subtext"/>
    <w:basedOn w:val="SectionTitle"/>
    <w:uiPriority w:val="99"/>
    <w:rsid w:val="006B1BAD"/>
    <w:pPr>
      <w:spacing w:before="113" w:line="640" w:lineRule="atLeast"/>
    </w:pPr>
    <w:rPr>
      <w:rFonts w:ascii="FSMePro-Light" w:hAnsi="FSMePro-Light" w:cs="FSMePro-Light"/>
      <w:sz w:val="50"/>
      <w:szCs w:val="50"/>
    </w:rPr>
  </w:style>
  <w:style w:type="paragraph" w:customStyle="1" w:styleId="BodyLarge">
    <w:name w:val="Body Large"/>
    <w:basedOn w:val="NoParagraphStyle"/>
    <w:uiPriority w:val="99"/>
    <w:rsid w:val="006B5067"/>
    <w:pPr>
      <w:suppressAutoHyphens/>
      <w:spacing w:before="170" w:line="280" w:lineRule="atLeast"/>
    </w:pPr>
    <w:rPr>
      <w:rFonts w:asciiTheme="minorHAnsi" w:hAnsiTheme="minorHAnsi" w:cs="FSMePro-Light"/>
      <w:szCs w:val="22"/>
    </w:rPr>
  </w:style>
  <w:style w:type="paragraph" w:customStyle="1" w:styleId="DiagramHeading4DiagramsIllustrations">
    <w:name w:val="Diagram Heading 4 (Diagrams / Illustrations)"/>
    <w:basedOn w:val="NoParagraphStyle"/>
    <w:uiPriority w:val="99"/>
    <w:rsid w:val="00B65D5A"/>
    <w:pPr>
      <w:suppressAutoHyphens/>
      <w:spacing w:before="136" w:line="220" w:lineRule="atLeast"/>
      <w:jc w:val="center"/>
    </w:pPr>
    <w:rPr>
      <w:rFonts w:ascii="FSMePro-Bold" w:hAnsi="FSMePro-Bold" w:cs="FSMePro-Bold"/>
      <w:b/>
      <w:bCs/>
      <w:color w:val="FFFFFF"/>
      <w:sz w:val="18"/>
      <w:szCs w:val="18"/>
    </w:rPr>
  </w:style>
  <w:style w:type="character" w:customStyle="1" w:styleId="White">
    <w:name w:val="White"/>
    <w:uiPriority w:val="99"/>
    <w:rsid w:val="008403EB"/>
    <w:rPr>
      <w:outline/>
    </w:rPr>
  </w:style>
  <w:style w:type="paragraph" w:customStyle="1" w:styleId="BodyLargeNumberedList">
    <w:name w:val="Body Large Numbered List"/>
    <w:basedOn w:val="BodyBullets-last"/>
    <w:uiPriority w:val="99"/>
    <w:rsid w:val="00693B1D"/>
    <w:pPr>
      <w:numPr>
        <w:numId w:val="1"/>
      </w:numPr>
    </w:pPr>
  </w:style>
  <w:style w:type="paragraph" w:customStyle="1" w:styleId="BodyLargeNumberedListlast">
    <w:name w:val="Body Large Numbered List – last"/>
    <w:basedOn w:val="BodyBullets"/>
    <w:uiPriority w:val="99"/>
    <w:rsid w:val="00693B1D"/>
    <w:pPr>
      <w:numPr>
        <w:numId w:val="0"/>
      </w:numPr>
    </w:pPr>
  </w:style>
  <w:style w:type="paragraph" w:customStyle="1" w:styleId="CalloutsmallCallouts">
    <w:name w:val="Callout small (Callouts)"/>
    <w:basedOn w:val="CalloutmediumCallouts"/>
    <w:uiPriority w:val="99"/>
    <w:rsid w:val="00E52480"/>
    <w:pPr>
      <w:spacing w:before="170" w:after="113" w:line="280" w:lineRule="atLeast"/>
    </w:pPr>
    <w:rPr>
      <w:rFonts w:ascii="FSMePro" w:hAnsi="FSMePro" w:cs="FSMePro"/>
      <w:color w:val="000000"/>
      <w:spacing w:val="-3"/>
      <w:sz w:val="22"/>
      <w:szCs w:val="22"/>
    </w:rPr>
  </w:style>
  <w:style w:type="paragraph" w:customStyle="1" w:styleId="Notes">
    <w:name w:val="Notes"/>
    <w:basedOn w:val="BodyCopy"/>
    <w:uiPriority w:val="99"/>
    <w:rsid w:val="00812A3D"/>
    <w:pPr>
      <w:widowControl w:val="0"/>
      <w:suppressAutoHyphens/>
      <w:autoSpaceDE w:val="0"/>
      <w:autoSpaceDN w:val="0"/>
      <w:adjustRightInd w:val="0"/>
      <w:spacing w:before="113" w:after="57" w:line="180" w:lineRule="atLeast"/>
      <w:textAlignment w:val="center"/>
    </w:pPr>
    <w:rPr>
      <w:rFonts w:cs="FSMePro-Light"/>
      <w:color w:val="000000"/>
      <w:spacing w:val="-1"/>
      <w:sz w:val="16"/>
      <w:szCs w:val="14"/>
      <w:lang w:val="en-GB"/>
    </w:rPr>
  </w:style>
  <w:style w:type="paragraph" w:customStyle="1" w:styleId="Footnote">
    <w:name w:val="Footnote"/>
    <w:basedOn w:val="BodyCopy"/>
    <w:uiPriority w:val="99"/>
    <w:rsid w:val="005569A0"/>
    <w:pPr>
      <w:widowControl w:val="0"/>
      <w:suppressAutoHyphens/>
      <w:autoSpaceDE w:val="0"/>
      <w:autoSpaceDN w:val="0"/>
      <w:adjustRightInd w:val="0"/>
      <w:spacing w:before="113" w:after="57" w:line="180" w:lineRule="atLeast"/>
      <w:ind w:left="283" w:hanging="283"/>
      <w:textAlignment w:val="center"/>
    </w:pPr>
    <w:rPr>
      <w:rFonts w:cs="FSMePro-Light"/>
      <w:color w:val="000000"/>
      <w:spacing w:val="-1"/>
      <w:sz w:val="16"/>
      <w:szCs w:val="14"/>
      <w:lang w:val="en-GB"/>
    </w:rPr>
  </w:style>
  <w:style w:type="character" w:customStyle="1" w:styleId="Heading5Char">
    <w:name w:val="Heading 5 Char"/>
    <w:basedOn w:val="DefaultParagraphFont"/>
    <w:link w:val="Heading5"/>
    <w:uiPriority w:val="9"/>
    <w:rsid w:val="00622043"/>
    <w:rPr>
      <w:i/>
      <w:sz w:val="20"/>
    </w:rPr>
  </w:style>
  <w:style w:type="paragraph" w:customStyle="1" w:styleId="Tableheader">
    <w:name w:val="Table header"/>
    <w:basedOn w:val="Normal"/>
    <w:uiPriority w:val="99"/>
    <w:rsid w:val="00D50EB0"/>
    <w:pPr>
      <w:widowControl w:val="0"/>
      <w:suppressAutoHyphens/>
      <w:autoSpaceDE w:val="0"/>
      <w:autoSpaceDN w:val="0"/>
      <w:adjustRightInd w:val="0"/>
      <w:spacing w:before="57" w:after="57"/>
      <w:textAlignment w:val="center"/>
    </w:pPr>
    <w:rPr>
      <w:rFonts w:cs="FSMePro-Bold"/>
      <w:b/>
      <w:bCs/>
      <w:color w:val="FFFFFF"/>
      <w:sz w:val="18"/>
      <w:szCs w:val="16"/>
      <w:lang w:val="en-GB"/>
    </w:rPr>
  </w:style>
  <w:style w:type="paragraph" w:customStyle="1" w:styleId="Graphtext">
    <w:name w:val="Graph text"/>
    <w:basedOn w:val="BodyCopy"/>
    <w:uiPriority w:val="99"/>
    <w:rsid w:val="00D50EB0"/>
    <w:pPr>
      <w:widowControl w:val="0"/>
      <w:suppressAutoHyphens/>
      <w:autoSpaceDE w:val="0"/>
      <w:autoSpaceDN w:val="0"/>
      <w:adjustRightInd w:val="0"/>
      <w:spacing w:before="57" w:after="57"/>
      <w:textAlignment w:val="center"/>
    </w:pPr>
    <w:rPr>
      <w:rFonts w:cs="FSMePro"/>
      <w:color w:val="000000"/>
      <w:szCs w:val="16"/>
      <w:lang w:val="en-GB"/>
    </w:rPr>
  </w:style>
  <w:style w:type="paragraph" w:customStyle="1" w:styleId="Heading3Tables">
    <w:name w:val="Heading 3 – Tables"/>
    <w:basedOn w:val="Heading3"/>
    <w:qFormat/>
    <w:rsid w:val="00076942"/>
  </w:style>
  <w:style w:type="paragraph" w:customStyle="1" w:styleId="Tabletext">
    <w:name w:val="Table text"/>
    <w:basedOn w:val="BodyCopy"/>
    <w:uiPriority w:val="99"/>
    <w:rsid w:val="007303A7"/>
    <w:pPr>
      <w:widowControl w:val="0"/>
      <w:suppressAutoHyphens/>
      <w:autoSpaceDE w:val="0"/>
      <w:autoSpaceDN w:val="0"/>
      <w:adjustRightInd w:val="0"/>
      <w:spacing w:before="57" w:after="57"/>
      <w:textAlignment w:val="center"/>
    </w:pPr>
    <w:rPr>
      <w:rFonts w:cs="FSMePro"/>
      <w:color w:val="000000"/>
      <w:sz w:val="18"/>
      <w:szCs w:val="16"/>
      <w:lang w:val="en-GB"/>
    </w:rPr>
  </w:style>
  <w:style w:type="paragraph" w:customStyle="1" w:styleId="Tabletextbold">
    <w:name w:val="Table text bold"/>
    <w:basedOn w:val="Tabletext"/>
    <w:uiPriority w:val="99"/>
    <w:rsid w:val="007303A7"/>
    <w:rPr>
      <w:rFonts w:cs="FSMePro-Bold"/>
      <w:b/>
      <w:bCs/>
    </w:rPr>
  </w:style>
  <w:style w:type="character" w:customStyle="1" w:styleId="Nobreak">
    <w:name w:val="No break"/>
    <w:uiPriority w:val="99"/>
    <w:rsid w:val="00AF2A14"/>
  </w:style>
  <w:style w:type="character" w:customStyle="1" w:styleId="Purpleregular">
    <w:name w:val="Purple regular"/>
    <w:uiPriority w:val="99"/>
    <w:rsid w:val="0099633C"/>
    <w:rPr>
      <w:rFonts w:ascii="FSMePro" w:hAnsi="FSMePro" w:cs="FSMePro"/>
      <w:color w:val="6A2875"/>
    </w:rPr>
  </w:style>
  <w:style w:type="paragraph" w:customStyle="1" w:styleId="BodyNumberedList">
    <w:name w:val="Body Numbered List"/>
    <w:basedOn w:val="BodyLargeNumberedList"/>
    <w:uiPriority w:val="99"/>
    <w:rsid w:val="005A0F0F"/>
    <w:pPr>
      <w:widowControl w:val="0"/>
      <w:numPr>
        <w:numId w:val="6"/>
      </w:numPr>
      <w:tabs>
        <w:tab w:val="clear" w:pos="227"/>
        <w:tab w:val="left" w:pos="283"/>
      </w:tabs>
      <w:autoSpaceDE w:val="0"/>
      <w:autoSpaceDN w:val="0"/>
      <w:adjustRightInd w:val="0"/>
      <w:spacing w:before="57" w:after="57" w:line="240" w:lineRule="atLeast"/>
      <w:textAlignment w:val="center"/>
    </w:pPr>
    <w:rPr>
      <w:color w:val="000000"/>
      <w:spacing w:val="-2"/>
      <w:lang w:val="en-GB"/>
    </w:rPr>
  </w:style>
  <w:style w:type="paragraph" w:customStyle="1" w:styleId="BodyNumberedListlast">
    <w:name w:val="Body Numbered List – last"/>
    <w:basedOn w:val="BodyNumberedList"/>
    <w:uiPriority w:val="99"/>
    <w:rsid w:val="00857811"/>
    <w:pPr>
      <w:spacing w:after="170"/>
    </w:pPr>
  </w:style>
  <w:style w:type="paragraph" w:customStyle="1" w:styleId="ContinuedContinuedContinued">
    <w:name w:val="Continued – Continued (Continued)"/>
    <w:basedOn w:val="Heading1"/>
    <w:uiPriority w:val="99"/>
    <w:rsid w:val="005D3385"/>
    <w:pPr>
      <w:keepNext w:val="0"/>
      <w:keepLines w:val="0"/>
      <w:pageBreakBefore w:val="0"/>
      <w:widowControl w:val="0"/>
      <w:suppressAutoHyphens/>
      <w:autoSpaceDE w:val="0"/>
      <w:autoSpaceDN w:val="0"/>
      <w:adjustRightInd w:val="0"/>
      <w:spacing w:before="113" w:after="113" w:line="280" w:lineRule="atLeast"/>
      <w:textAlignment w:val="center"/>
      <w:outlineLvl w:val="9"/>
    </w:pPr>
    <w:rPr>
      <w:rFonts w:ascii="FSMePro" w:eastAsiaTheme="minorHAnsi" w:hAnsi="FSMePro" w:cs="FSMePro"/>
      <w:bCs/>
      <w:color w:val="3D00BC"/>
      <w:sz w:val="24"/>
      <w:szCs w:val="24"/>
      <w:lang w:val="en-GB"/>
    </w:rPr>
  </w:style>
  <w:style w:type="paragraph" w:styleId="Header">
    <w:name w:val="header"/>
    <w:basedOn w:val="Normal"/>
    <w:link w:val="HeaderChar"/>
    <w:uiPriority w:val="99"/>
    <w:unhideWhenUsed/>
    <w:rsid w:val="002C7749"/>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2C7749"/>
    <w:rPr>
      <w:sz w:val="20"/>
    </w:rPr>
  </w:style>
  <w:style w:type="paragraph" w:styleId="Footer">
    <w:name w:val="footer"/>
    <w:basedOn w:val="Normal"/>
    <w:link w:val="FooterChar"/>
    <w:uiPriority w:val="99"/>
    <w:unhideWhenUsed/>
    <w:rsid w:val="002C7749"/>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2C7749"/>
    <w:rPr>
      <w:sz w:val="20"/>
    </w:rPr>
  </w:style>
  <w:style w:type="paragraph" w:customStyle="1" w:styleId="StatementHeading">
    <w:name w:val="Statement Heading"/>
    <w:basedOn w:val="Normal"/>
    <w:rsid w:val="002C7749"/>
    <w:pPr>
      <w:spacing w:before="0" w:after="0" w:line="260" w:lineRule="atLeast"/>
    </w:pPr>
    <w:rPr>
      <w:rFonts w:ascii="Arial" w:eastAsia="Times New Roman" w:hAnsi="Arial" w:cs="Times New Roman"/>
      <w:b/>
      <w:sz w:val="24"/>
      <w:szCs w:val="20"/>
      <w:lang w:val="en-AU"/>
    </w:rPr>
  </w:style>
  <w:style w:type="character" w:customStyle="1" w:styleId="Heading6Char">
    <w:name w:val="Heading 6 Char"/>
    <w:basedOn w:val="DefaultParagraphFont"/>
    <w:link w:val="Heading6"/>
    <w:rsid w:val="00A43992"/>
    <w:rPr>
      <w:rFonts w:ascii="Times New Roman" w:eastAsia="Times New Roman" w:hAnsi="Times New Roman" w:cs="Times New Roman"/>
      <w:sz w:val="22"/>
      <w:szCs w:val="20"/>
      <w:lang w:val="en-AU"/>
    </w:rPr>
  </w:style>
  <w:style w:type="character" w:customStyle="1" w:styleId="Heading7Char">
    <w:name w:val="Heading 7 Char"/>
    <w:aliases w:val="Section Sub-Heading 4 Char"/>
    <w:basedOn w:val="DefaultParagraphFont"/>
    <w:link w:val="Heading7"/>
    <w:rsid w:val="00A43992"/>
    <w:rPr>
      <w:rFonts w:ascii="Times New Roman" w:eastAsia="Times New Roman" w:hAnsi="Times New Roman" w:cs="Times New Roman"/>
      <w:sz w:val="22"/>
      <w:szCs w:val="20"/>
      <w:lang w:val="en-AU"/>
    </w:rPr>
  </w:style>
  <w:style w:type="character" w:customStyle="1" w:styleId="Heading8Char">
    <w:name w:val="Heading 8 Char"/>
    <w:basedOn w:val="DefaultParagraphFont"/>
    <w:link w:val="Heading8"/>
    <w:rsid w:val="00A43992"/>
    <w:rPr>
      <w:rFonts w:ascii="Times New Roman" w:eastAsia="Times New Roman" w:hAnsi="Times New Roman" w:cs="Times New Roman"/>
      <w:sz w:val="22"/>
      <w:szCs w:val="20"/>
      <w:lang w:val="en-AU"/>
    </w:rPr>
  </w:style>
  <w:style w:type="character" w:customStyle="1" w:styleId="Heading9Char">
    <w:name w:val="Heading 9 Char"/>
    <w:basedOn w:val="DefaultParagraphFont"/>
    <w:link w:val="Heading9"/>
    <w:rsid w:val="00A43992"/>
    <w:rPr>
      <w:rFonts w:ascii="Times New Roman" w:eastAsia="Times New Roman" w:hAnsi="Times New Roman" w:cs="Times New Roman"/>
      <w:sz w:val="22"/>
      <w:szCs w:val="20"/>
      <w:lang w:val="en-AU"/>
    </w:rPr>
  </w:style>
  <w:style w:type="paragraph" w:customStyle="1" w:styleId="StatementName">
    <w:name w:val="Statement Name"/>
    <w:basedOn w:val="Normal"/>
    <w:next w:val="Normal"/>
    <w:link w:val="StatementNameChar"/>
    <w:autoRedefine/>
    <w:rsid w:val="00A43992"/>
    <w:pPr>
      <w:pBdr>
        <w:bottom w:val="single" w:sz="4" w:space="1" w:color="auto"/>
      </w:pBdr>
      <w:spacing w:before="0" w:after="0" w:line="260" w:lineRule="atLeast"/>
    </w:pPr>
    <w:rPr>
      <w:rFonts w:ascii="Arial" w:eastAsia="Times New Roman" w:hAnsi="Arial" w:cs="Arial"/>
      <w:b/>
      <w:sz w:val="24"/>
      <w:lang w:val="en-AU"/>
    </w:rPr>
  </w:style>
  <w:style w:type="paragraph" w:customStyle="1" w:styleId="StatementDateHeader">
    <w:name w:val="Statement Date Header"/>
    <w:basedOn w:val="Normal"/>
    <w:next w:val="Normal"/>
    <w:rsid w:val="00A43992"/>
    <w:pPr>
      <w:pBdr>
        <w:bottom w:val="single" w:sz="4" w:space="1" w:color="auto"/>
      </w:pBdr>
      <w:spacing w:before="0" w:after="0" w:line="260" w:lineRule="atLeast"/>
    </w:pPr>
    <w:rPr>
      <w:rFonts w:ascii="Arial" w:eastAsia="Times New Roman" w:hAnsi="Arial" w:cs="Times New Roman"/>
      <w:i/>
      <w:sz w:val="24"/>
      <w:szCs w:val="20"/>
      <w:lang w:val="en-AU"/>
    </w:rPr>
  </w:style>
  <w:style w:type="paragraph" w:customStyle="1" w:styleId="StatementTextLevel3">
    <w:name w:val="Statement Text Level 3"/>
    <w:basedOn w:val="Normal"/>
    <w:next w:val="Normal"/>
    <w:rsid w:val="00A43992"/>
    <w:pPr>
      <w:spacing w:before="0" w:after="0" w:line="260" w:lineRule="atLeast"/>
    </w:pPr>
    <w:rPr>
      <w:rFonts w:ascii="Arial" w:eastAsia="Times New Roman" w:hAnsi="Arial" w:cs="Times New Roman"/>
      <w:sz w:val="18"/>
      <w:szCs w:val="20"/>
      <w:lang w:val="en-AU"/>
    </w:rPr>
  </w:style>
  <w:style w:type="paragraph" w:customStyle="1" w:styleId="ContinuedNotesHeading-Level1">
    <w:name w:val="Continued Notes Heading - Level 1"/>
    <w:basedOn w:val="NotesHeading-Level1"/>
    <w:qFormat/>
    <w:rsid w:val="00A43992"/>
    <w:pPr>
      <w:numPr>
        <w:numId w:val="0"/>
      </w:numPr>
      <w:spacing w:line="240" w:lineRule="auto"/>
      <w:outlineLvl w:val="9"/>
    </w:pPr>
  </w:style>
  <w:style w:type="paragraph" w:customStyle="1" w:styleId="TableHeaderLevel1">
    <w:name w:val="Table Header Level 1"/>
    <w:basedOn w:val="Normal"/>
    <w:semiHidden/>
    <w:rsid w:val="00A43992"/>
    <w:pPr>
      <w:spacing w:before="0" w:after="0" w:line="260" w:lineRule="atLeast"/>
      <w:jc w:val="center"/>
    </w:pPr>
    <w:rPr>
      <w:rFonts w:ascii="Arial" w:eastAsia="Times New Roman" w:hAnsi="Arial" w:cs="Times New Roman"/>
      <w:b/>
      <w:sz w:val="18"/>
      <w:szCs w:val="18"/>
      <w:lang w:val="en-AU"/>
    </w:rPr>
  </w:style>
  <w:style w:type="paragraph" w:styleId="CommentText">
    <w:name w:val="annotation text"/>
    <w:basedOn w:val="Normal"/>
    <w:link w:val="CommentTextChar"/>
    <w:semiHidden/>
    <w:rsid w:val="00A43992"/>
    <w:pPr>
      <w:spacing w:before="0" w:after="0" w:line="260" w:lineRule="atLeast"/>
    </w:pPr>
    <w:rPr>
      <w:rFonts w:ascii="Times New Roman" w:eastAsia="Times New Roman" w:hAnsi="Times New Roman" w:cs="Times New Roman"/>
      <w:szCs w:val="20"/>
      <w:lang w:val="en-AU"/>
    </w:rPr>
  </w:style>
  <w:style w:type="character" w:customStyle="1" w:styleId="CommentTextChar">
    <w:name w:val="Comment Text Char"/>
    <w:basedOn w:val="DefaultParagraphFont"/>
    <w:link w:val="CommentText"/>
    <w:semiHidden/>
    <w:rsid w:val="00A43992"/>
    <w:rPr>
      <w:rFonts w:ascii="Times New Roman" w:eastAsia="Times New Roman" w:hAnsi="Times New Roman" w:cs="Times New Roman"/>
      <w:sz w:val="20"/>
      <w:szCs w:val="20"/>
      <w:lang w:val="en-AU"/>
    </w:rPr>
  </w:style>
  <w:style w:type="character" w:styleId="CommentReference">
    <w:name w:val="annotation reference"/>
    <w:basedOn w:val="DefaultParagraphFont"/>
    <w:semiHidden/>
    <w:rsid w:val="00A43992"/>
    <w:rPr>
      <w:sz w:val="16"/>
      <w:szCs w:val="16"/>
    </w:rPr>
  </w:style>
  <w:style w:type="paragraph" w:styleId="CommentSubject">
    <w:name w:val="annotation subject"/>
    <w:basedOn w:val="CommentText"/>
    <w:next w:val="CommentText"/>
    <w:link w:val="CommentSubjectChar"/>
    <w:semiHidden/>
    <w:rsid w:val="00A43992"/>
    <w:rPr>
      <w:b/>
      <w:bCs/>
    </w:rPr>
  </w:style>
  <w:style w:type="character" w:customStyle="1" w:styleId="CommentSubjectChar">
    <w:name w:val="Comment Subject Char"/>
    <w:basedOn w:val="CommentTextChar"/>
    <w:link w:val="CommentSubject"/>
    <w:semiHidden/>
    <w:rsid w:val="00A43992"/>
    <w:rPr>
      <w:rFonts w:ascii="Times New Roman" w:eastAsia="Times New Roman" w:hAnsi="Times New Roman" w:cs="Times New Roman"/>
      <w:b/>
      <w:bCs/>
      <w:sz w:val="20"/>
      <w:szCs w:val="20"/>
      <w:lang w:val="en-AU"/>
    </w:rPr>
  </w:style>
  <w:style w:type="paragraph" w:styleId="BalloonText">
    <w:name w:val="Balloon Text"/>
    <w:basedOn w:val="Normal"/>
    <w:link w:val="BalloonTextChar"/>
    <w:semiHidden/>
    <w:rsid w:val="00A43992"/>
    <w:pPr>
      <w:spacing w:before="0" w:after="0" w:line="260" w:lineRule="atLeast"/>
    </w:pPr>
    <w:rPr>
      <w:rFonts w:ascii="Tahoma" w:eastAsia="Times New Roman" w:hAnsi="Tahoma" w:cs="Tahoma"/>
      <w:sz w:val="16"/>
      <w:szCs w:val="16"/>
      <w:lang w:val="en-AU"/>
    </w:rPr>
  </w:style>
  <w:style w:type="character" w:customStyle="1" w:styleId="BalloonTextChar">
    <w:name w:val="Balloon Text Char"/>
    <w:basedOn w:val="DefaultParagraphFont"/>
    <w:link w:val="BalloonText"/>
    <w:semiHidden/>
    <w:rsid w:val="00A43992"/>
    <w:rPr>
      <w:rFonts w:ascii="Tahoma" w:eastAsia="Times New Roman" w:hAnsi="Tahoma" w:cs="Tahoma"/>
      <w:sz w:val="16"/>
      <w:szCs w:val="16"/>
      <w:lang w:val="en-AU"/>
    </w:rPr>
  </w:style>
  <w:style w:type="table" w:styleId="TableGrid">
    <w:name w:val="Table Grid"/>
    <w:basedOn w:val="TableNormal"/>
    <w:uiPriority w:val="59"/>
    <w:rsid w:val="00A43992"/>
    <w:pPr>
      <w:spacing w:line="260" w:lineRule="atLeast"/>
    </w:pPr>
    <w:rPr>
      <w:rFonts w:ascii="Times New Roman" w:eastAsia="Times New Roman" w:hAnsi="Times New Roman" w:cs="Times New Roman"/>
      <w:sz w:val="20"/>
      <w:szCs w:val="20"/>
      <w:lang w:val="en-AU"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tementTextLevel1bItalic">
    <w:name w:val="Statement Text Level 1(b) + Italic"/>
    <w:basedOn w:val="Normal"/>
    <w:rsid w:val="00A43992"/>
    <w:pPr>
      <w:spacing w:before="0" w:after="0" w:line="260" w:lineRule="atLeast"/>
    </w:pPr>
    <w:rPr>
      <w:rFonts w:ascii="Arial" w:eastAsia="Times New Roman" w:hAnsi="Arial" w:cs="Times New Roman"/>
      <w:b/>
      <w:bCs/>
      <w:i/>
      <w:iCs/>
      <w:sz w:val="18"/>
      <w:szCs w:val="18"/>
      <w:lang w:val="en-AU"/>
    </w:rPr>
  </w:style>
  <w:style w:type="paragraph" w:styleId="FootnoteText">
    <w:name w:val="footnote text"/>
    <w:basedOn w:val="Normal"/>
    <w:link w:val="FootnoteTextChar"/>
    <w:semiHidden/>
    <w:rsid w:val="00B05BED"/>
    <w:pPr>
      <w:spacing w:before="0" w:after="0" w:line="260" w:lineRule="atLeast"/>
    </w:pPr>
    <w:rPr>
      <w:rFonts w:eastAsia="Times New Roman" w:cs="Times New Roman"/>
      <w:szCs w:val="20"/>
      <w:lang w:val="en-AU"/>
    </w:rPr>
  </w:style>
  <w:style w:type="character" w:customStyle="1" w:styleId="FootnoteTextChar">
    <w:name w:val="Footnote Text Char"/>
    <w:basedOn w:val="DefaultParagraphFont"/>
    <w:link w:val="FootnoteText"/>
    <w:semiHidden/>
    <w:rsid w:val="00B05BED"/>
    <w:rPr>
      <w:rFonts w:eastAsia="Times New Roman" w:cs="Times New Roman"/>
      <w:sz w:val="20"/>
      <w:szCs w:val="20"/>
      <w:lang w:val="en-AU"/>
    </w:rPr>
  </w:style>
  <w:style w:type="character" w:styleId="FootnoteReference">
    <w:name w:val="footnote reference"/>
    <w:basedOn w:val="DefaultParagraphFont"/>
    <w:semiHidden/>
    <w:rsid w:val="00A43992"/>
    <w:rPr>
      <w:vertAlign w:val="superscript"/>
    </w:rPr>
  </w:style>
  <w:style w:type="paragraph" w:customStyle="1" w:styleId="Graphic">
    <w:name w:val="Graphic"/>
    <w:basedOn w:val="Signature"/>
    <w:rsid w:val="00A43992"/>
    <w:pPr>
      <w:pBdr>
        <w:top w:val="single" w:sz="4" w:space="1" w:color="auto"/>
        <w:left w:val="single" w:sz="4" w:space="1" w:color="auto"/>
        <w:bottom w:val="single" w:sz="4" w:space="1" w:color="auto"/>
        <w:right w:val="single" w:sz="4" w:space="1" w:color="auto"/>
      </w:pBdr>
      <w:jc w:val="center"/>
    </w:pPr>
  </w:style>
  <w:style w:type="paragraph" w:styleId="Signature">
    <w:name w:val="Signature"/>
    <w:basedOn w:val="Normal"/>
    <w:link w:val="SignatureChar"/>
    <w:rsid w:val="00A43992"/>
    <w:pPr>
      <w:spacing w:before="0" w:after="0" w:line="240" w:lineRule="auto"/>
    </w:pPr>
    <w:rPr>
      <w:rFonts w:ascii="Times New Roman" w:eastAsia="Times New Roman" w:hAnsi="Times New Roman" w:cs="Times New Roman"/>
      <w:sz w:val="22"/>
      <w:szCs w:val="20"/>
      <w:lang w:val="en-AU"/>
    </w:rPr>
  </w:style>
  <w:style w:type="character" w:customStyle="1" w:styleId="SignatureChar">
    <w:name w:val="Signature Char"/>
    <w:basedOn w:val="DefaultParagraphFont"/>
    <w:link w:val="Signature"/>
    <w:rsid w:val="00A43992"/>
    <w:rPr>
      <w:rFonts w:ascii="Times New Roman" w:eastAsia="Times New Roman" w:hAnsi="Times New Roman" w:cs="Times New Roman"/>
      <w:sz w:val="22"/>
      <w:szCs w:val="20"/>
      <w:lang w:val="en-AU"/>
    </w:rPr>
  </w:style>
  <w:style w:type="paragraph" w:styleId="MacroText">
    <w:name w:val="macro"/>
    <w:link w:val="MacroTextChar"/>
    <w:semiHidden/>
    <w:rsid w:val="00A43992"/>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eastAsia="Times New Roman" w:hAnsi="Courier New" w:cs="Courier New"/>
      <w:sz w:val="18"/>
      <w:szCs w:val="20"/>
      <w:lang w:val="en-GB"/>
    </w:rPr>
  </w:style>
  <w:style w:type="character" w:customStyle="1" w:styleId="MacroTextChar">
    <w:name w:val="Macro Text Char"/>
    <w:basedOn w:val="DefaultParagraphFont"/>
    <w:link w:val="MacroText"/>
    <w:semiHidden/>
    <w:rsid w:val="00A43992"/>
    <w:rPr>
      <w:rFonts w:ascii="Courier New" w:eastAsia="Times New Roman" w:hAnsi="Courier New" w:cs="Courier New"/>
      <w:sz w:val="18"/>
      <w:szCs w:val="20"/>
      <w:lang w:val="en-GB"/>
    </w:rPr>
  </w:style>
  <w:style w:type="paragraph" w:customStyle="1" w:styleId="NotesTotal">
    <w:name w:val="Notes Total"/>
    <w:basedOn w:val="Normal"/>
    <w:autoRedefine/>
    <w:rsid w:val="00A43992"/>
    <w:pPr>
      <w:spacing w:before="0" w:after="0" w:line="260" w:lineRule="atLeast"/>
      <w:ind w:left="139" w:right="57"/>
    </w:pPr>
    <w:rPr>
      <w:rFonts w:ascii="Times New Roman" w:eastAsia="Times New Roman" w:hAnsi="Times New Roman" w:cs="Times New Roman"/>
      <w:b/>
      <w:iCs/>
      <w:szCs w:val="20"/>
      <w:lang w:val="en-AU"/>
    </w:rPr>
  </w:style>
  <w:style w:type="paragraph" w:customStyle="1" w:styleId="TitlePage">
    <w:name w:val="Title Page"/>
    <w:basedOn w:val="Normal"/>
    <w:autoRedefine/>
    <w:rsid w:val="00A43992"/>
    <w:pPr>
      <w:spacing w:before="1200" w:after="1200" w:line="260" w:lineRule="atLeast"/>
      <w:ind w:left="57" w:right="57"/>
      <w:jc w:val="right"/>
    </w:pPr>
    <w:rPr>
      <w:rFonts w:ascii="Times New Roman" w:eastAsia="Times New Roman" w:hAnsi="Times New Roman" w:cs="Times New Roman"/>
      <w:b/>
      <w:bCs/>
      <w:sz w:val="48"/>
      <w:szCs w:val="20"/>
      <w:lang w:val="en-AU"/>
    </w:rPr>
  </w:style>
  <w:style w:type="paragraph" w:customStyle="1" w:styleId="zcontents">
    <w:name w:val="zcontents"/>
    <w:basedOn w:val="Normal"/>
    <w:semiHidden/>
    <w:rsid w:val="00A43992"/>
    <w:pPr>
      <w:spacing w:before="0" w:after="260" w:line="240" w:lineRule="auto"/>
    </w:pPr>
    <w:rPr>
      <w:rFonts w:ascii="Times New Roman" w:eastAsia="Times New Roman" w:hAnsi="Times New Roman" w:cs="Times New Roman"/>
      <w:b/>
      <w:sz w:val="32"/>
      <w:szCs w:val="20"/>
      <w:lang w:val="en-AU"/>
    </w:rPr>
  </w:style>
  <w:style w:type="paragraph" w:customStyle="1" w:styleId="Normal10pt">
    <w:name w:val="Normal + 10 pt"/>
    <w:aliases w:val="Line spacing:  single"/>
    <w:basedOn w:val="Normal"/>
    <w:rsid w:val="00A43992"/>
    <w:pPr>
      <w:spacing w:before="130" w:after="130" w:line="260" w:lineRule="atLeast"/>
    </w:pPr>
    <w:rPr>
      <w:rFonts w:ascii="Times New Roman" w:eastAsia="Times New Roman" w:hAnsi="Times New Roman" w:cs="Times New Roman"/>
      <w:b/>
      <w:szCs w:val="20"/>
      <w:lang w:val="en-AU"/>
    </w:rPr>
  </w:style>
  <w:style w:type="paragraph" w:styleId="z-BottomofForm">
    <w:name w:val="HTML Bottom of Form"/>
    <w:basedOn w:val="Normal"/>
    <w:next w:val="Normal"/>
    <w:link w:val="z-BottomofFormChar"/>
    <w:hidden/>
    <w:rsid w:val="00A43992"/>
    <w:pPr>
      <w:pBdr>
        <w:top w:val="single" w:sz="6" w:space="1" w:color="auto"/>
      </w:pBdr>
      <w:spacing w:before="0" w:after="0" w:line="260" w:lineRule="atLeast"/>
      <w:jc w:val="center"/>
    </w:pPr>
    <w:rPr>
      <w:rFonts w:ascii="Arial" w:eastAsia="Times New Roman" w:hAnsi="Arial" w:cs="Arial"/>
      <w:vanish/>
      <w:sz w:val="16"/>
      <w:szCs w:val="16"/>
      <w:lang w:val="en-AU"/>
    </w:rPr>
  </w:style>
  <w:style w:type="character" w:customStyle="1" w:styleId="z-BottomofFormChar">
    <w:name w:val="z-Bottom of Form Char"/>
    <w:basedOn w:val="DefaultParagraphFont"/>
    <w:link w:val="z-BottomofForm"/>
    <w:rsid w:val="00A43992"/>
    <w:rPr>
      <w:rFonts w:ascii="Arial" w:eastAsia="Times New Roman" w:hAnsi="Arial" w:cs="Arial"/>
      <w:vanish/>
      <w:sz w:val="16"/>
      <w:szCs w:val="16"/>
      <w:lang w:val="en-AU"/>
    </w:rPr>
  </w:style>
  <w:style w:type="paragraph" w:styleId="z-TopofForm">
    <w:name w:val="HTML Top of Form"/>
    <w:basedOn w:val="Normal"/>
    <w:next w:val="Normal"/>
    <w:link w:val="z-TopofFormChar"/>
    <w:hidden/>
    <w:rsid w:val="00A43992"/>
    <w:pPr>
      <w:pBdr>
        <w:bottom w:val="single" w:sz="6" w:space="1" w:color="auto"/>
      </w:pBdr>
      <w:spacing w:before="0" w:after="0" w:line="260" w:lineRule="atLeast"/>
      <w:jc w:val="center"/>
    </w:pPr>
    <w:rPr>
      <w:rFonts w:ascii="Arial" w:eastAsia="Times New Roman" w:hAnsi="Arial" w:cs="Arial"/>
      <w:vanish/>
      <w:sz w:val="16"/>
      <w:szCs w:val="16"/>
      <w:lang w:val="en-AU"/>
    </w:rPr>
  </w:style>
  <w:style w:type="character" w:customStyle="1" w:styleId="z-TopofFormChar">
    <w:name w:val="z-Top of Form Char"/>
    <w:basedOn w:val="DefaultParagraphFont"/>
    <w:link w:val="z-TopofForm"/>
    <w:rsid w:val="00A43992"/>
    <w:rPr>
      <w:rFonts w:ascii="Arial" w:eastAsia="Times New Roman" w:hAnsi="Arial" w:cs="Arial"/>
      <w:vanish/>
      <w:sz w:val="16"/>
      <w:szCs w:val="16"/>
      <w:lang w:val="en-AU"/>
    </w:rPr>
  </w:style>
  <w:style w:type="paragraph" w:styleId="DocumentMap">
    <w:name w:val="Document Map"/>
    <w:basedOn w:val="Normal"/>
    <w:link w:val="DocumentMapChar"/>
    <w:semiHidden/>
    <w:rsid w:val="00A43992"/>
    <w:pPr>
      <w:shd w:val="clear" w:color="auto" w:fill="000080"/>
      <w:spacing w:before="0" w:after="0" w:line="240" w:lineRule="auto"/>
    </w:pPr>
    <w:rPr>
      <w:rFonts w:ascii="Tahoma" w:eastAsia="Times New Roman" w:hAnsi="Tahoma" w:cs="Times New Roman"/>
      <w:szCs w:val="20"/>
      <w:lang w:val="en-AU" w:eastAsia="en-AU"/>
    </w:rPr>
  </w:style>
  <w:style w:type="character" w:customStyle="1" w:styleId="DocumentMapChar">
    <w:name w:val="Document Map Char"/>
    <w:basedOn w:val="DefaultParagraphFont"/>
    <w:link w:val="DocumentMap"/>
    <w:semiHidden/>
    <w:rsid w:val="00A43992"/>
    <w:rPr>
      <w:rFonts w:ascii="Tahoma" w:eastAsia="Times New Roman" w:hAnsi="Tahoma" w:cs="Times New Roman"/>
      <w:sz w:val="20"/>
      <w:szCs w:val="20"/>
      <w:shd w:val="clear" w:color="auto" w:fill="000080"/>
      <w:lang w:val="en-AU" w:eastAsia="en-AU"/>
    </w:rPr>
  </w:style>
  <w:style w:type="numbering" w:customStyle="1" w:styleId="NoList1">
    <w:name w:val="No List1"/>
    <w:next w:val="NoList"/>
    <w:semiHidden/>
    <w:rsid w:val="00A43992"/>
  </w:style>
  <w:style w:type="paragraph" w:customStyle="1" w:styleId="Normal8pt">
    <w:name w:val="Normal + 8 pt"/>
    <w:basedOn w:val="Normal"/>
    <w:rsid w:val="00A43992"/>
    <w:pPr>
      <w:widowControl w:val="0"/>
      <w:autoSpaceDE w:val="0"/>
      <w:autoSpaceDN w:val="0"/>
      <w:spacing w:before="0" w:after="0" w:line="240" w:lineRule="auto"/>
    </w:pPr>
    <w:rPr>
      <w:rFonts w:ascii="Times New Roman" w:eastAsia="Times New Roman" w:hAnsi="Times New Roman" w:cs="Times New Roman"/>
      <w:bCs/>
      <w:iCs/>
      <w:spacing w:val="-6"/>
      <w:sz w:val="16"/>
      <w:szCs w:val="16"/>
    </w:rPr>
  </w:style>
  <w:style w:type="paragraph" w:customStyle="1" w:styleId="NormalCalistoMT">
    <w:name w:val="Normal + Calisto MT"/>
    <w:aliases w:val="8 pt,Right"/>
    <w:basedOn w:val="Normal"/>
    <w:rsid w:val="00A43992"/>
    <w:pPr>
      <w:framePr w:hSpace="180" w:wrap="around" w:vAnchor="text" w:hAnchor="margin" w:y="1"/>
      <w:spacing w:before="0" w:after="0" w:line="260" w:lineRule="atLeast"/>
      <w:ind w:right="212"/>
      <w:suppressOverlap/>
      <w:jc w:val="right"/>
    </w:pPr>
    <w:rPr>
      <w:rFonts w:ascii="Calisto MT" w:eastAsia="Times New Roman" w:hAnsi="Calisto MT" w:cs="Times New Roman"/>
      <w:sz w:val="16"/>
      <w:szCs w:val="20"/>
      <w:lang w:val="en-AU"/>
    </w:rPr>
  </w:style>
  <w:style w:type="paragraph" w:customStyle="1" w:styleId="ReferenceText">
    <w:name w:val="Reference Text"/>
    <w:basedOn w:val="Normal"/>
    <w:link w:val="ReferenceTextChar"/>
    <w:autoRedefine/>
    <w:qFormat/>
    <w:rsid w:val="00A43992"/>
    <w:pPr>
      <w:spacing w:before="0" w:after="80" w:line="260" w:lineRule="atLeast"/>
      <w:ind w:left="142"/>
    </w:pPr>
    <w:rPr>
      <w:rFonts w:ascii="Arial" w:eastAsia="Times New Roman" w:hAnsi="Arial" w:cs="Times New Roman"/>
      <w:sz w:val="18"/>
      <w:szCs w:val="20"/>
      <w:lang w:val="en-AU" w:eastAsia="en-AU"/>
    </w:rPr>
  </w:style>
  <w:style w:type="paragraph" w:customStyle="1" w:styleId="NotesHeading-Level1">
    <w:name w:val="Notes Heading - Level 1"/>
    <w:basedOn w:val="Normal"/>
    <w:qFormat/>
    <w:rsid w:val="00A43992"/>
    <w:pPr>
      <w:numPr>
        <w:numId w:val="8"/>
      </w:numPr>
      <w:tabs>
        <w:tab w:val="clear" w:pos="10491"/>
        <w:tab w:val="num" w:pos="851"/>
      </w:tabs>
      <w:spacing w:before="0" w:after="0" w:line="260" w:lineRule="atLeast"/>
      <w:ind w:left="1134" w:right="607"/>
      <w:outlineLvl w:val="0"/>
    </w:pPr>
    <w:rPr>
      <w:rFonts w:ascii="Arial" w:eastAsia="Times New Roman" w:hAnsi="Arial" w:cs="Times New Roman"/>
      <w:b/>
      <w:szCs w:val="20"/>
      <w:lang w:val="en-AU"/>
    </w:rPr>
  </w:style>
  <w:style w:type="paragraph" w:customStyle="1" w:styleId="NotesHeading-Level2">
    <w:name w:val="Notes Heading - Level 2"/>
    <w:basedOn w:val="NotesHeading-Level1"/>
    <w:rsid w:val="00A43992"/>
    <w:pPr>
      <w:framePr w:hSpace="180" w:wrap="around" w:vAnchor="text" w:hAnchor="margin" w:y="1"/>
      <w:numPr>
        <w:ilvl w:val="1"/>
      </w:numPr>
      <w:suppressOverlap/>
    </w:pPr>
    <w:rPr>
      <w:sz w:val="18"/>
    </w:rPr>
  </w:style>
  <w:style w:type="character" w:customStyle="1" w:styleId="StatementNameChar">
    <w:name w:val="Statement Name Char"/>
    <w:basedOn w:val="DefaultParagraphFont"/>
    <w:link w:val="StatementName"/>
    <w:rsid w:val="00A43992"/>
    <w:rPr>
      <w:rFonts w:ascii="Arial" w:eastAsia="Times New Roman" w:hAnsi="Arial" w:cs="Arial"/>
      <w:b/>
      <w:lang w:val="en-AU"/>
    </w:rPr>
  </w:style>
  <w:style w:type="numbering" w:customStyle="1" w:styleId="CurrentList1">
    <w:name w:val="Current List1"/>
    <w:rsid w:val="00A43992"/>
    <w:pPr>
      <w:numPr>
        <w:numId w:val="9"/>
      </w:numPr>
    </w:pPr>
  </w:style>
  <w:style w:type="numbering" w:customStyle="1" w:styleId="Style2">
    <w:name w:val="Style2"/>
    <w:rsid w:val="00A43992"/>
    <w:pPr>
      <w:numPr>
        <w:numId w:val="10"/>
      </w:numPr>
    </w:pPr>
  </w:style>
  <w:style w:type="numbering" w:customStyle="1" w:styleId="CurrentList2">
    <w:name w:val="Current List2"/>
    <w:rsid w:val="00A43992"/>
    <w:pPr>
      <w:numPr>
        <w:numId w:val="11"/>
      </w:numPr>
    </w:pPr>
  </w:style>
  <w:style w:type="character" w:customStyle="1" w:styleId="ReferenceTextChar">
    <w:name w:val="Reference Text Char"/>
    <w:basedOn w:val="DefaultParagraphFont"/>
    <w:link w:val="ReferenceText"/>
    <w:rsid w:val="00A43992"/>
    <w:rPr>
      <w:rFonts w:ascii="Arial" w:eastAsia="Times New Roman" w:hAnsi="Arial" w:cs="Times New Roman"/>
      <w:sz w:val="18"/>
      <w:szCs w:val="20"/>
      <w:lang w:val="en-AU" w:eastAsia="en-AU"/>
    </w:rPr>
  </w:style>
  <w:style w:type="table" w:customStyle="1" w:styleId="TableGrid1">
    <w:name w:val="Table Grid1"/>
    <w:basedOn w:val="TableNormal"/>
    <w:next w:val="TableGrid"/>
    <w:rsid w:val="00A43992"/>
    <w:rPr>
      <w:rFonts w:ascii="Times New Roman" w:eastAsia="Times New Roman" w:hAnsi="Times New Roman" w:cs="Times New Roman"/>
      <w:sz w:val="20"/>
      <w:szCs w:val="20"/>
      <w:lang w:val="en-AU"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GreyShadeTableBreak">
    <w:name w:val="Grey Shade Table Break"/>
    <w:basedOn w:val="Normal"/>
    <w:qFormat/>
    <w:rsid w:val="00A43992"/>
    <w:pPr>
      <w:shd w:val="clear" w:color="auto" w:fill="D9D9D9" w:themeFill="background1" w:themeFillShade="D9"/>
      <w:tabs>
        <w:tab w:val="left" w:pos="9214"/>
      </w:tabs>
      <w:spacing w:before="0" w:after="0" w:line="260" w:lineRule="atLeast"/>
      <w:ind w:right="607"/>
    </w:pPr>
    <w:rPr>
      <w:rFonts w:ascii="Times New Roman" w:eastAsia="Times New Roman" w:hAnsi="Times New Roman" w:cs="Times New Roman"/>
      <w:sz w:val="22"/>
      <w:szCs w:val="20"/>
      <w:lang w:val="en-AU"/>
    </w:rPr>
  </w:style>
  <w:style w:type="paragraph" w:customStyle="1" w:styleId="GreyShadeTableBreaknon-Standard">
    <w:name w:val="Grey Shade Table Break non-Standard"/>
    <w:qFormat/>
    <w:rsid w:val="00A43992"/>
    <w:pPr>
      <w:shd w:val="clear" w:color="auto" w:fill="D9D9D9" w:themeFill="background1" w:themeFillShade="D9"/>
      <w:ind w:right="57"/>
    </w:pPr>
    <w:rPr>
      <w:rFonts w:ascii="Times New Roman" w:eastAsia="Times New Roman" w:hAnsi="Times New Roman" w:cs="Times New Roman"/>
      <w:sz w:val="22"/>
      <w:szCs w:val="20"/>
      <w:lang w:val="en-AU"/>
    </w:rPr>
  </w:style>
  <w:style w:type="paragraph" w:customStyle="1" w:styleId="ReferenceTextLetter">
    <w:name w:val="Reference Text Letter"/>
    <w:basedOn w:val="ReferenceText"/>
    <w:rsid w:val="00A43992"/>
    <w:pPr>
      <w:spacing w:line="240" w:lineRule="auto"/>
      <w:ind w:left="567" w:right="567"/>
    </w:pPr>
    <w:rPr>
      <w:rFonts w:cs="Arial"/>
      <w:szCs w:val="18"/>
    </w:rPr>
  </w:style>
  <w:style w:type="paragraph" w:customStyle="1" w:styleId="StyleNotesHeaderLeftLeft-008cm">
    <w:name w:val="Style Notes Header + Left Left:  -0.08 cm"/>
    <w:basedOn w:val="Normal"/>
    <w:rsid w:val="00A43992"/>
    <w:pPr>
      <w:numPr>
        <w:ilvl w:val="1"/>
        <w:numId w:val="12"/>
      </w:numPr>
      <w:spacing w:before="180" w:after="60" w:line="240" w:lineRule="auto"/>
    </w:pPr>
    <w:rPr>
      <w:rFonts w:ascii="Arial" w:eastAsia="Times New Roman" w:hAnsi="Arial" w:cs="Times New Roman"/>
      <w:b/>
      <w:bCs/>
      <w:sz w:val="18"/>
      <w:szCs w:val="20"/>
      <w:lang w:val="en-AU"/>
    </w:rPr>
  </w:style>
  <w:style w:type="paragraph" w:customStyle="1" w:styleId="NotesText">
    <w:name w:val="Notes Text"/>
    <w:basedOn w:val="ReferenceText"/>
    <w:rsid w:val="00A43992"/>
    <w:pPr>
      <w:spacing w:before="100" w:after="100" w:line="240" w:lineRule="auto"/>
    </w:pPr>
  </w:style>
  <w:style w:type="paragraph" w:styleId="ListParagraph">
    <w:name w:val="List Paragraph"/>
    <w:basedOn w:val="Normal"/>
    <w:uiPriority w:val="34"/>
    <w:qFormat/>
    <w:rsid w:val="00A43992"/>
    <w:pPr>
      <w:spacing w:before="0" w:after="200" w:line="276" w:lineRule="auto"/>
      <w:ind w:left="720"/>
      <w:contextualSpacing/>
    </w:pPr>
    <w:rPr>
      <w:rFonts w:ascii="Arial" w:hAnsi="Arial"/>
      <w:sz w:val="22"/>
      <w:szCs w:val="22"/>
      <w:lang w:val="en-AU"/>
    </w:rPr>
  </w:style>
  <w:style w:type="paragraph" w:customStyle="1" w:styleId="Default">
    <w:name w:val="Default"/>
    <w:rsid w:val="00A43992"/>
    <w:pPr>
      <w:autoSpaceDE w:val="0"/>
      <w:autoSpaceDN w:val="0"/>
      <w:adjustRightInd w:val="0"/>
    </w:pPr>
    <w:rPr>
      <w:rFonts w:ascii="Times New Roman" w:hAnsi="Times New Roman" w:cs="Times New Roman"/>
      <w:color w:val="000000"/>
      <w:lang w:val="en-AU"/>
    </w:rPr>
  </w:style>
  <w:style w:type="table" w:customStyle="1" w:styleId="LightShading1">
    <w:name w:val="Light Shading1"/>
    <w:basedOn w:val="TableNormal"/>
    <w:uiPriority w:val="60"/>
    <w:rsid w:val="00A43992"/>
    <w:rPr>
      <w:color w:val="000000" w:themeColor="text1" w:themeShade="BF"/>
      <w:sz w:val="22"/>
      <w:szCs w:val="22"/>
      <w:lang w:val="en-AU"/>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2">
    <w:name w:val="Table Grid2"/>
    <w:basedOn w:val="TableNormal"/>
    <w:next w:val="TableGrid"/>
    <w:uiPriority w:val="59"/>
    <w:rsid w:val="00A43992"/>
    <w:rPr>
      <w:rFonts w:eastAsiaTheme="minorEastAsia"/>
      <w:sz w:val="22"/>
      <w:szCs w:val="22"/>
      <w:lang w:val="en-AU"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BookTitle">
    <w:name w:val="Book Title"/>
    <w:uiPriority w:val="33"/>
    <w:qFormat/>
    <w:rsid w:val="00A43992"/>
    <w:rPr>
      <w:i/>
      <w:iCs/>
      <w:smallCaps/>
      <w:spacing w:val="5"/>
    </w:rPr>
  </w:style>
  <w:style w:type="paragraph" w:styleId="Revision">
    <w:name w:val="Revision"/>
    <w:hidden/>
    <w:uiPriority w:val="99"/>
    <w:semiHidden/>
    <w:rsid w:val="00A43992"/>
    <w:rPr>
      <w:rFonts w:ascii="Times New Roman" w:eastAsia="Times New Roman" w:hAnsi="Times New Roman" w:cs="Times New Roman"/>
      <w:sz w:val="22"/>
      <w:szCs w:val="20"/>
      <w:lang w:val="en-AU"/>
    </w:rPr>
  </w:style>
  <w:style w:type="paragraph" w:styleId="NormalWeb">
    <w:name w:val="Normal (Web)"/>
    <w:basedOn w:val="Normal"/>
    <w:uiPriority w:val="99"/>
    <w:unhideWhenUsed/>
    <w:rsid w:val="00A43992"/>
    <w:pPr>
      <w:spacing w:before="100" w:beforeAutospacing="1" w:after="100" w:afterAutospacing="1" w:line="240" w:lineRule="auto"/>
    </w:pPr>
    <w:rPr>
      <w:rFonts w:ascii="Times New Roman" w:eastAsiaTheme="minorEastAsia" w:hAnsi="Times New Roman" w:cs="Times New Roman"/>
      <w:sz w:val="24"/>
      <w:lang w:val="en-AU" w:eastAsia="en-AU"/>
    </w:rPr>
  </w:style>
  <w:style w:type="paragraph" w:customStyle="1" w:styleId="PolicytextDept">
    <w:name w:val="Policy text Dept"/>
    <w:basedOn w:val="Normal"/>
    <w:link w:val="PolicytextDeptChar"/>
    <w:qFormat/>
    <w:rsid w:val="00A43992"/>
    <w:pPr>
      <w:pBdr>
        <w:top w:val="single" w:sz="4" w:space="1" w:color="6B2976"/>
        <w:left w:val="single" w:sz="4" w:space="0" w:color="6B2976"/>
        <w:bottom w:val="single" w:sz="4" w:space="1" w:color="6B2976"/>
        <w:right w:val="single" w:sz="4" w:space="0" w:color="6B2976"/>
      </w:pBdr>
      <w:spacing w:before="0" w:line="120" w:lineRule="atLeast"/>
    </w:pPr>
    <w:rPr>
      <w:rFonts w:ascii="Arial" w:eastAsia="Times New Roman" w:hAnsi="Arial" w:cs="Arial"/>
      <w:bCs/>
      <w:sz w:val="18"/>
      <w:szCs w:val="18"/>
      <w:lang w:val="en-AU"/>
    </w:rPr>
  </w:style>
  <w:style w:type="character" w:customStyle="1" w:styleId="PolicytextDeptChar">
    <w:name w:val="Policy text Dept Char"/>
    <w:basedOn w:val="DefaultParagraphFont"/>
    <w:link w:val="PolicytextDept"/>
    <w:rsid w:val="00A43992"/>
    <w:rPr>
      <w:rFonts w:ascii="Arial" w:eastAsia="Times New Roman" w:hAnsi="Arial" w:cs="Arial"/>
      <w:bCs/>
      <w:sz w:val="18"/>
      <w:szCs w:val="18"/>
      <w:lang w:val="en-AU"/>
    </w:rPr>
  </w:style>
  <w:style w:type="paragraph" w:customStyle="1" w:styleId="PolicyheadingDept">
    <w:name w:val="Policy heading Dept"/>
    <w:basedOn w:val="PolicytextDept"/>
    <w:qFormat/>
    <w:rsid w:val="00A43992"/>
    <w:rPr>
      <w:b/>
    </w:rPr>
  </w:style>
  <w:style w:type="paragraph" w:customStyle="1" w:styleId="SectionHeading">
    <w:name w:val="Section Heading"/>
    <w:basedOn w:val="Normal"/>
    <w:link w:val="SectionHeadingChar"/>
    <w:qFormat/>
    <w:rsid w:val="00A43992"/>
    <w:pPr>
      <w:numPr>
        <w:numId w:val="14"/>
      </w:numPr>
      <w:shd w:val="clear" w:color="00CC99" w:fill="6B2976"/>
      <w:spacing w:before="0" w:after="0" w:line="260" w:lineRule="atLeast"/>
      <w:outlineLvl w:val="0"/>
    </w:pPr>
    <w:rPr>
      <w:rFonts w:ascii="Arial Bold" w:eastAsia="Times New Roman" w:hAnsi="Arial Bold" w:cs="Times New Roman"/>
      <w:b/>
      <w:color w:val="FFFFFF" w:themeColor="background1"/>
      <w:sz w:val="24"/>
      <w:szCs w:val="20"/>
      <w:lang w:val="en-AU"/>
    </w:rPr>
  </w:style>
  <w:style w:type="character" w:customStyle="1" w:styleId="SectionHeadingChar">
    <w:name w:val="Section Heading Char"/>
    <w:basedOn w:val="DefaultParagraphFont"/>
    <w:link w:val="SectionHeading"/>
    <w:rsid w:val="00A43992"/>
    <w:rPr>
      <w:rFonts w:ascii="Arial Bold" w:eastAsia="Times New Roman" w:hAnsi="Arial Bold" w:cs="Times New Roman"/>
      <w:b/>
      <w:color w:val="FFFFFF" w:themeColor="background1"/>
      <w:szCs w:val="20"/>
      <w:shd w:val="clear" w:color="00CC99" w:fill="6B2976"/>
      <w:lang w:val="en-AU"/>
    </w:rPr>
  </w:style>
  <w:style w:type="paragraph" w:customStyle="1" w:styleId="SubHeading">
    <w:name w:val="Sub Heading"/>
    <w:basedOn w:val="SectionHeading"/>
    <w:link w:val="SubHeadingChar"/>
    <w:qFormat/>
    <w:rsid w:val="00A43992"/>
    <w:pPr>
      <w:numPr>
        <w:ilvl w:val="1"/>
        <w:numId w:val="15"/>
      </w:numPr>
      <w:shd w:val="clear" w:color="auto" w:fill="000000" w:themeFill="text1"/>
      <w:ind w:left="360"/>
      <w:outlineLvl w:val="1"/>
    </w:pPr>
    <w:rPr>
      <w:rFonts w:ascii="Arial" w:hAnsi="Arial" w:cs="Arial"/>
      <w:sz w:val="20"/>
    </w:rPr>
  </w:style>
  <w:style w:type="paragraph" w:customStyle="1" w:styleId="SectionHeadingDescription">
    <w:name w:val="Section Heading Description"/>
    <w:basedOn w:val="SectionHeading"/>
    <w:next w:val="SubHeading"/>
    <w:qFormat/>
    <w:rsid w:val="00A43992"/>
    <w:pPr>
      <w:numPr>
        <w:numId w:val="0"/>
      </w:numPr>
      <w:outlineLvl w:val="9"/>
    </w:pPr>
    <w:rPr>
      <w:rFonts w:ascii="Arial" w:hAnsi="Arial"/>
      <w:b w:val="0"/>
      <w:sz w:val="18"/>
      <w:szCs w:val="18"/>
    </w:rPr>
  </w:style>
  <w:style w:type="character" w:customStyle="1" w:styleId="SubHeadingChar">
    <w:name w:val="Sub Heading Char"/>
    <w:basedOn w:val="DefaultParagraphFont"/>
    <w:link w:val="SubHeading"/>
    <w:rsid w:val="00A43992"/>
    <w:rPr>
      <w:rFonts w:ascii="Arial" w:eastAsia="Times New Roman" w:hAnsi="Arial" w:cs="Arial"/>
      <w:b/>
      <w:color w:val="FFFFFF" w:themeColor="background1"/>
      <w:sz w:val="20"/>
      <w:szCs w:val="20"/>
      <w:shd w:val="clear" w:color="auto" w:fill="000000" w:themeFill="text1"/>
      <w:lang w:val="en-AU"/>
    </w:rPr>
  </w:style>
  <w:style w:type="paragraph" w:customStyle="1" w:styleId="AccountingPolicy-Departmental">
    <w:name w:val="Accounting Policy - Departmental"/>
    <w:basedOn w:val="Normal"/>
    <w:qFormat/>
    <w:rsid w:val="00A43992"/>
    <w:pPr>
      <w:pBdr>
        <w:top w:val="single" w:sz="4" w:space="1" w:color="6B2976"/>
        <w:left w:val="single" w:sz="4" w:space="4" w:color="6B2976"/>
        <w:bottom w:val="single" w:sz="4" w:space="1" w:color="6B2976"/>
        <w:right w:val="single" w:sz="4" w:space="4" w:color="6B2976"/>
      </w:pBdr>
      <w:spacing w:before="0" w:after="20" w:line="260" w:lineRule="atLeast"/>
      <w:ind w:left="85" w:right="142"/>
      <w:outlineLvl w:val="0"/>
    </w:pPr>
    <w:rPr>
      <w:rFonts w:ascii="Arial" w:eastAsia="Times New Roman" w:hAnsi="Arial" w:cs="Helvetica"/>
      <w:sz w:val="18"/>
      <w:szCs w:val="18"/>
      <w:lang w:val="en-AU"/>
    </w:rPr>
  </w:style>
  <w:style w:type="character" w:styleId="FollowedHyperlink">
    <w:name w:val="FollowedHyperlink"/>
    <w:basedOn w:val="DefaultParagraphFont"/>
    <w:uiPriority w:val="99"/>
    <w:semiHidden/>
    <w:unhideWhenUsed/>
    <w:rsid w:val="00A43992"/>
    <w:rPr>
      <w:color w:val="6B2976"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20" Type="http://schemas.openxmlformats.org/officeDocument/2006/relationships/header" Target="header6.xml"/><Relationship Id="rId21" Type="http://schemas.openxmlformats.org/officeDocument/2006/relationships/header" Target="header7.xml"/><Relationship Id="rId22" Type="http://schemas.openxmlformats.org/officeDocument/2006/relationships/header" Target="header8.xml"/><Relationship Id="rId23" Type="http://schemas.openxmlformats.org/officeDocument/2006/relationships/header" Target="header9.xml"/><Relationship Id="rId24" Type="http://schemas.openxmlformats.org/officeDocument/2006/relationships/header" Target="header10.xml"/><Relationship Id="rId25" Type="http://schemas.openxmlformats.org/officeDocument/2006/relationships/header" Target="header11.xml"/><Relationship Id="rId26" Type="http://schemas.openxmlformats.org/officeDocument/2006/relationships/header" Target="header12.xml"/><Relationship Id="rId27" Type="http://schemas.openxmlformats.org/officeDocument/2006/relationships/header" Target="header13.xml"/><Relationship Id="rId28" Type="http://schemas.openxmlformats.org/officeDocument/2006/relationships/header" Target="header14.xml"/><Relationship Id="rId29" Type="http://schemas.openxmlformats.org/officeDocument/2006/relationships/header" Target="header15.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header" Target="header16.xml"/><Relationship Id="rId31" Type="http://schemas.openxmlformats.org/officeDocument/2006/relationships/header" Target="header17.xml"/><Relationship Id="rId32" Type="http://schemas.openxmlformats.org/officeDocument/2006/relationships/header" Target="header18.xml"/><Relationship Id="rId9" Type="http://schemas.openxmlformats.org/officeDocument/2006/relationships/hyperlink" Target="http://www.ndis.gov.au/" TargetMode="Externa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ndis.gov.au/" TargetMode="External"/><Relationship Id="rId33" Type="http://schemas.openxmlformats.org/officeDocument/2006/relationships/header" Target="header19.xml"/><Relationship Id="rId34" Type="http://schemas.openxmlformats.org/officeDocument/2006/relationships/header" Target="header20.xml"/><Relationship Id="rId35" Type="http://schemas.openxmlformats.org/officeDocument/2006/relationships/fontTable" Target="fontTable.xml"/><Relationship Id="rId36" Type="http://schemas.openxmlformats.org/officeDocument/2006/relationships/theme" Target="theme/theme1.xml"/><Relationship Id="rId10" Type="http://schemas.openxmlformats.org/officeDocument/2006/relationships/hyperlink" Target="http://www.aph.gov.au/" TargetMode="External"/><Relationship Id="rId11" Type="http://schemas.openxmlformats.org/officeDocument/2006/relationships/hyperlink" Target="http://www.finance.gov.au/procurement/statistics-oncommonwealth-purchasing-contracts" TargetMode="External"/><Relationship Id="rId12" Type="http://schemas.openxmlformats.org/officeDocument/2006/relationships/hyperlink" Target="http://www.treasury.gov.au/" TargetMode="External"/><Relationship Id="rId13" Type="http://schemas.openxmlformats.org/officeDocument/2006/relationships/footer" Target="footer1.xml"/><Relationship Id="rId14" Type="http://schemas.openxmlformats.org/officeDocument/2006/relationships/header" Target="header1.xml"/><Relationship Id="rId15" Type="http://schemas.openxmlformats.org/officeDocument/2006/relationships/header" Target="header2.xml"/><Relationship Id="rId16" Type="http://schemas.openxmlformats.org/officeDocument/2006/relationships/footer" Target="footer2.xml"/><Relationship Id="rId17" Type="http://schemas.openxmlformats.org/officeDocument/2006/relationships/header" Target="header3.xml"/><Relationship Id="rId18" Type="http://schemas.openxmlformats.org/officeDocument/2006/relationships/header" Target="header4.xml"/><Relationship Id="rId19" Type="http://schemas.openxmlformats.org/officeDocument/2006/relationships/header" Target="header5.xml"/></Relationships>
</file>

<file path=word/theme/theme1.xml><?xml version="1.0" encoding="utf-8"?>
<a:theme xmlns:a="http://schemas.openxmlformats.org/drawingml/2006/main" name="Office Theme">
  <a:themeElements>
    <a:clrScheme name="NDIS">
      <a:dk1>
        <a:srgbClr val="000000"/>
      </a:dk1>
      <a:lt1>
        <a:srgbClr val="FFFFFF"/>
      </a:lt1>
      <a:dk2>
        <a:srgbClr val="6B2976"/>
      </a:dk2>
      <a:lt2>
        <a:srgbClr val="EBE8E2"/>
      </a:lt2>
      <a:accent1>
        <a:srgbClr val="8AC640"/>
      </a:accent1>
      <a:accent2>
        <a:srgbClr val="FAA21B"/>
      </a:accent2>
      <a:accent3>
        <a:srgbClr val="AC1F2D"/>
      </a:accent3>
      <a:accent4>
        <a:srgbClr val="F36C23"/>
      </a:accent4>
      <a:accent5>
        <a:srgbClr val="005950"/>
      </a:accent5>
      <a:accent6>
        <a:srgbClr val="00964C"/>
      </a:accent6>
      <a:hlink>
        <a:srgbClr val="6B2976"/>
      </a:hlink>
      <a:folHlink>
        <a:srgbClr val="6B297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812B7D3-F058-2940-8B0F-A713BAE93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219</Pages>
  <Words>57486</Words>
  <Characters>321925</Characters>
  <Application>Microsoft Macintosh Word</Application>
  <DocSecurity>0</DocSecurity>
  <Lines>9197</Lines>
  <Paragraphs>5420</Paragraphs>
  <ScaleCrop>false</ScaleCrop>
  <HeadingPairs>
    <vt:vector size="2" baseType="variant">
      <vt:variant>
        <vt:lpstr>Title</vt:lpstr>
      </vt:variant>
      <vt:variant>
        <vt:i4>1</vt:i4>
      </vt:variant>
    </vt:vector>
  </HeadingPairs>
  <TitlesOfParts>
    <vt:vector size="1" baseType="lpstr">
      <vt:lpstr>Annual Report 2015-16</vt:lpstr>
    </vt:vector>
  </TitlesOfParts>
  <Manager/>
  <Company/>
  <LinksUpToDate>false</LinksUpToDate>
  <CharactersWithSpaces>373991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Report 2015-16</dc:title>
  <dc:subject/>
  <dc:creator>NDIS</dc:creator>
  <cp:keywords/>
  <dc:description/>
  <cp:lastModifiedBy>Matt Sabet Collins</cp:lastModifiedBy>
  <cp:revision>50</cp:revision>
  <cp:lastPrinted>2016-10-17T04:23:00Z</cp:lastPrinted>
  <dcterms:created xsi:type="dcterms:W3CDTF">2016-10-17T03:36:00Z</dcterms:created>
  <dcterms:modified xsi:type="dcterms:W3CDTF">2016-10-27T00:47:00Z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ongName">
    <vt:lpwstr>National Disability Insurance Scheme Launch Transition Agency</vt:lpwstr>
  </property>
  <property fmtid="{D5CDD505-2E9C-101B-9397-08002B2CF9AE}" pid="3" name="crYear">
    <vt:lpwstr>2016</vt:lpwstr>
  </property>
  <property fmtid="{D5CDD505-2E9C-101B-9397-08002B2CF9AE}" pid="4" name="prYear">
    <vt:lpwstr>2015</vt:lpwstr>
  </property>
  <property fmtid="{D5CDD505-2E9C-101B-9397-08002B2CF9AE}" pid="5" name="pEnd">
    <vt:lpwstr>30 June</vt:lpwstr>
  </property>
  <property fmtid="{D5CDD505-2E9C-101B-9397-08002B2CF9AE}" pid="6" name="shortName">
    <vt:lpwstr>NDIA</vt:lpwstr>
  </property>
  <property fmtid="{D5CDD505-2E9C-101B-9397-08002B2CF9AE}" pid="7" name="pStart">
    <vt:lpwstr>1 July</vt:lpwstr>
  </property>
  <property fmtid="{D5CDD505-2E9C-101B-9397-08002B2CF9AE}" pid="8" name="roundFormat">
    <vt:lpwstr>$'000</vt:lpwstr>
  </property>
</Properties>
</file>